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1f9996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1f9996.xml"/>
</Relationships>

</file>

<file path=word/charts/_rels/chart6c501f999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771011c2.xlsx"/></Relationships>

</file>

<file path=word/charts/chart6c501f999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Poverty Rates by Age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Town of Dunn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1.07</c:v>
                </c:pt>
                <c:pt idx="1">
                  <c:v>2.51</c:v>
                </c:pt>
                <c:pt idx="2">
                  <c:v>2.54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12.77</c:v>
                </c:pt>
                <c:pt idx="1">
                  <c:v>5.35</c:v>
                </c:pt>
                <c:pt idx="2">
                  <c:v>8.66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10.45</c:v>
                </c:pt>
                <c:pt idx="1">
                  <c:v>8.14</c:v>
                </c:pt>
                <c:pt idx="2">
                  <c:v>13.25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2025-02-06T09:33:42Z</dcterms:modified>
  <cp:category/>
</cp:coreProperties>
</file>