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charts/chart228c2635265d.xml" ContentType="application/vnd.openxmlformats-officedocument.drawingml.chart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graphictitle"/>
      </w:pPr>
      <w:r>
        <w:drawing>
          <wp:inline distT="0" distB="0" distL="0" distR="0">
            <wp:extent cx="6400800" cy="457200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7"/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chart" Target="charts/chart228c2635265d.xml"/>
</Relationships>

</file>

<file path=word/charts/_rels/chart228c2635265d.xml.rels><?xml version="1.0" encoding="UTF-8" standalone="yes"?><Relationships  xmlns="http://schemas.openxmlformats.org/package/2006/relationships"><Relationship Id="rId1" Type="http://schemas.openxmlformats.org/officeDocument/2006/relationships/package" Target="../embeddings/data228c26b236b8.xlsx"/></Relationships>

</file>

<file path=word/charts/chart228c2635265d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 xmlns:c="http://schemas.openxmlformats.org/drawingml/2006/chart" xmlns:a="http://schemas.openxmlformats.org/drawingml/2006/main" xmlns:r="http://schemas.openxmlformats.org/officeDocument/2006/relationships">
      <c:tx>
        <c:rich>
          <a:bodyPr/>
          <a:lstStyle/>
          <a:p>
            <a:pPr>
              <a:defRPr/>
            </a:pPr>
            <a:r>
              <a:rPr cap="none" sz="12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rPr>
              <a:t>Population by Age Group (City of Edgerton)</a:t>
            </a:r>
          </a:p>
        </c:rich>
      </c:tx>
      <c:layout/>
      <c:overlay val="0"/>
    </c:title>
    <c:autoTitleDeleted val="0"/>
    <c:plotArea xmlns:c="http://schemas.openxmlformats.org/drawingml/2006/chart" xmlns:a="http://schemas.openxmlformats.org/drawingml/2006/main" xmlns:r="http://schemas.openxmlformats.org/officeDocument/2006/relationships"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rgbClr val="4477AA">
                <a:alpha val="100000"/>
              </a:srgbClr>
            </a:solidFill>
            <a:ln w="25400">
              <a:solidFill>
                <a:srgbClr val="4477AA">
                  <a:alpha val="100000"/>
                </a:srgbClr>
              </a:solidFill>
            </a:ln>
            <a:effectLst/>
          </c:spPr>
          <c:invertIfNegative val="0"/>
          <c:dLbls>
            <c:dLblPos val="ctr"/>
            <c:numFmt formatCode="General" sourceLinked="0"/>
            <c:separator val=", "/>
            <c:showBubbleSize val="0"/>
            <c:showCatName val="0"/>
            <c:showLegendKey val="0"/>
            <c:showPercent val="0"/>
            <c:showSerName val="0"/>
            <c:showVal val="0"/>
            <c:txPr>
              <a:bodyPr/>
              <a:lstStyle/>
              <a:p>
                <a:pPr>
                  <a:defRPr cap="none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defRPr>
                </a:pPr>
              </a:p>
            </c:txPr>
          </c:dLbls>
          <c:cat>
            <c:strRef>
              <c:f>sheet1!$A$2:$A$19</c:f>
              <c:strCache>
                <c:ptCount val="18"/>
                <c:pt idx="0">
                  <c:v>Under 5 years</c:v>
                </c:pt>
                <c:pt idx="1">
                  <c:v>5 to 9 years</c:v>
                </c:pt>
                <c:pt idx="2">
                  <c:v>10 to 14 years</c:v>
                </c:pt>
                <c:pt idx="3">
                  <c:v>15 to 19 years</c:v>
                </c:pt>
                <c:pt idx="4">
                  <c:v>20 to 24 years</c:v>
                </c:pt>
                <c:pt idx="5">
                  <c:v>25 to 29 years</c:v>
                </c:pt>
                <c:pt idx="6">
                  <c:v>30 to 34 years</c:v>
                </c:pt>
                <c:pt idx="7">
                  <c:v>35 to 39 years</c:v>
                </c:pt>
                <c:pt idx="8">
                  <c:v>40 to 44 years</c:v>
                </c:pt>
                <c:pt idx="9">
                  <c:v>45 to 49 years</c:v>
                </c:pt>
                <c:pt idx="10">
                  <c:v>50 to 54 years</c:v>
                </c:pt>
                <c:pt idx="11">
                  <c:v>55 to 59 years</c:v>
                </c:pt>
                <c:pt idx="12">
                  <c:v>60 to 64 years</c:v>
                </c:pt>
                <c:pt idx="13">
                  <c:v>65 to 69 years</c:v>
                </c:pt>
                <c:pt idx="14">
                  <c:v>70 to 74 years</c:v>
                </c:pt>
                <c:pt idx="15">
                  <c:v>75 to 79 years</c:v>
                </c:pt>
                <c:pt idx="16">
                  <c:v>80 to 84 years</c:v>
                </c:pt>
                <c:pt idx="17">
                  <c:v>85 years and over</c:v>
                </c:pt>
              </c:strCache>
            </c:strRef>
          </c:cat>
          <c:val>
            <c:numRef>
              <c:f>sheet1!$B$2:$B$19</c:f>
              <c:numCache>
                <c:ptCount val="18"/>
                <c:pt idx="0">
                  <c:v>14</c:v>
                </c:pt>
                <c:pt idx="1">
                  <c:v>22</c:v>
                </c:pt>
                <c:pt idx="2">
                  <c:v>9</c:v>
                </c:pt>
                <c:pt idx="3">
                  <c:v>9</c:v>
                </c:pt>
                <c:pt idx="4">
                  <c:v>3</c:v>
                </c:pt>
                <c:pt idx="5">
                  <c:v>5</c:v>
                </c:pt>
                <c:pt idx="6">
                  <c:v>13</c:v>
                </c:pt>
                <c:pt idx="7">
                  <c:v>22</c:v>
                </c:pt>
                <c:pt idx="8">
                  <c:v>17</c:v>
                </c:pt>
                <c:pt idx="9">
                  <c:v>10</c:v>
                </c:pt>
                <c:pt idx="10">
                  <c:v>6</c:v>
                </c:pt>
                <c:pt idx="11">
                  <c:v>3</c:v>
                </c:pt>
                <c:pt idx="12">
                  <c:v>8</c:v>
                </c:pt>
                <c:pt idx="13">
                  <c:v>2</c:v>
                </c:pt>
                <c:pt idx="14">
                  <c:v>1</c:v>
                </c:pt>
                <c:pt idx="15">
                  <c:v>1</c:v>
                </c:pt>
                <c:pt idx="16">
                  <c:v>0</c:v>
                </c:pt>
                <c:pt idx="17">
                  <c:v>1</c:v>
                </c:pt>
              </c:numCache>
            </c:numRef>
          </c:val>
        </c:ser>
        <c:dLbls>
          <c:dLblPos val="ctr"/>
          <c:numFmt formatCode="General" sourceLinked="0"/>
          <c:separator val=", "/>
          <c:showBubbleSize val="0"/>
          <c:showCatName val="0"/>
          <c:showLegendKey val="0"/>
          <c:showPercent val="0"/>
          <c:showSerName val="0"/>
          <c:showVal val="0"/>
        </c:dLbls>
        <c:gapWidth val="150"/>
        <c:overlap val="-50"/>
        <c:axId val="64451712"/>
        <c:axId val="64453248"/>
      </c:barChart>
      <c:catAx>
        <c:axId val="64451712"/>
        <c:scaling>
          <c:orientation val="minMax"/>
        </c:scaling>
        <c:delete val="0"/>
        <c:axPos val="b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1620000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Age Group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General" sourceLinked="0"/>
        <c:crossAx val="64453248"/>
        <c:crosses val="autoZero"/>
      </c:catAx>
      <c:valAx>
        <c:axId val="64453248"/>
        <c:scaling>
          <c:orientation val="minMax"/>
        </c:scaling>
        <c:delete val="0"/>
        <c:axPos val="l"/>
        <c:majorGridlines>
          <c:spPr>
            <a:ln algn="ctr" w="9525">
              <a:solidFill>
                <a:srgbClr val="D9D9D9">
                  <a:alpha val="100000"/>
                </a:srgbClr>
              </a:solidFill>
              <a:prstDash val="solid"/>
            </a:ln>
          </c:spPr>
        </c:majorGridlines>
        <c:title>
          <c:tx>
            <c:rich>
              <a:bodyPr rot="0" vert="horz" anchor="ctr"/>
              <a:lstStyle/>
              <a:p>
                <a:pPr>
                  <a:defRPr/>
                </a:pPr>
                <a:r>
                  <a:rPr cap="none" sz="1000" i="0" b="0" u="none">
                    <a:solidFill>
                      <a:srgbClr val="000000">
                        <a:alpha val="100000"/>
                      </a:srgbClr>
                    </a:solidFill>
                    <a:latin typeface="Arial"/>
                    <a:cs typeface="Arial"/>
                    <a:ea typeface="Arial"/>
                    <a:sym typeface="Arial"/>
                  </a:rPr>
                  <a:t>Count of Population</a:t>
                </a:r>
              </a:p>
            </c:rich>
          </c:tx>
          <c:layout/>
          <c:overlay val="0"/>
        </c:title>
        <c:majorTickMark val="cross"/>
        <c:minorTickMark val="none"/>
        <c:tickLblPos val="nextTo"/>
        <c:txPr>
          <a:bodyPr rot="0" vert="horz"/>
          <a:lstStyle/>
          <a:p>
            <a:pPr>
              <a:defRPr cap="none" sz="1000" i="0" b="0" u="none">
                <a:solidFill>
                  <a:srgbClr val="000000">
                    <a:alpha val="100000"/>
                  </a:srgbClr>
                </a:solidFill>
                <a:latin typeface="Arial"/>
                <a:cs typeface="Arial"/>
                <a:ea typeface="Arial"/>
                <a:sym typeface="Arial"/>
              </a:defRPr>
            </a:pPr>
          </a:p>
        </c:txPr>
        <c:spPr>
          <a:ln algn="ctr" w="12700">
            <a:solidFill>
              <a:srgbClr val="999999">
                <a:alpha val="60000"/>
              </a:srgbClr>
            </a:solidFill>
            <a:prstDash val="solid"/>
          </a:ln>
        </c:spPr>
        <c:numFmt formatCode="#,##0" sourceLinked="0"/>
        <c:crossAx val="64451712"/>
        <c:crosses val="autoZero"/>
      </c:valAx>
    </c:plotArea>
    <c:plotVisOnly val="1"/>
    <c:dispBlanksAs val="gap"/>
    <c:showDLblsOverMax val="0"/>
  </c:chart>
  <c:txPr>
    <a:bodyPr/>
    <a:lstStyle/>
    <a:p>
      <a:pPr>
        <a:defRPr sz="1800"/>
      </a:pPr>
      <a:endParaRPr lang="fr-FR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2025-02-26T12:06:14Z</dcterms:modified>
  <cp:category/>
</cp:coreProperties>
</file>