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59" w:lineRule="auto"/>
        <w:jc w:val="center"/>
        <w:rPr>
          <w:b w:val="1"/>
          <w:bCs w:val="1"/>
          <w:color w:val="c5a05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259" w:lineRule="auto"/>
        <w:jc w:val="center"/>
        <w:rPr>
          <w:b w:val="1"/>
          <w:bCs w:val="1"/>
          <w:color w:val="c5a05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59" w:lineRule="auto"/>
        <w:jc w:val="center"/>
        <w:rPr>
          <w:b w:val="1"/>
          <w:bCs w:val="1"/>
          <w:color w:val="c5a05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59" w:lineRule="auto"/>
        <w:jc w:val="center"/>
        <w:rPr>
          <w:b w:val="1"/>
          <w:bCs w:val="1"/>
          <w:color w:val="c5a05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59" w:lineRule="auto"/>
        <w:jc w:val="center"/>
        <w:rPr>
          <w:color w:val="c5a059"/>
        </w:rPr>
      </w:pPr>
      <w:r w:rsidDel="00000000" w:rsidR="00000000" w:rsidRPr="00000000">
        <w:rPr>
          <w:b w:val="1"/>
          <w:bCs w:val="1"/>
          <w:color w:val="c5a059"/>
          <w:sz w:val="30"/>
          <w:szCs w:val="30"/>
          <w:rtl w:val="0"/>
        </w:rPr>
        <w:t xml:space="preserve">CAPÍTULO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07">
      <w:pPr>
        <w:spacing w:after="100" w:line="259" w:lineRule="auto"/>
        <w:jc w:val="center"/>
        <w:rPr>
          <w:color w:val="46505a"/>
          <w:sz w:val="26"/>
          <w:szCs w:val="26"/>
        </w:rPr>
      </w:pPr>
      <w:r w:rsidDel="00000000" w:rsidR="00000000" w:rsidRPr="00000000">
        <w:rPr>
          <w:color w:val="46505a"/>
          <w:sz w:val="26"/>
          <w:szCs w:val="26"/>
          <w:rtl w:val="0"/>
        </w:rPr>
        <w:t xml:space="preserve">Plataforma Móvil Integral para Lectores y Autores Independientes</w:t>
      </w:r>
    </w:p>
    <w:p w:rsidR="00000000" w:rsidDel="00000000" w:rsidP="00000000" w:rsidRDefault="00000000" w:rsidRPr="00000000" w14:paraId="00000008">
      <w:pPr>
        <w:spacing w:after="100" w:line="259" w:lineRule="auto"/>
        <w:jc w:val="center"/>
        <w:rPr>
          <w:color w:val="46505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="259" w:lineRule="auto"/>
        <w:jc w:val="center"/>
        <w:rPr>
          <w:rFonts w:ascii="Arial" w:cs="Arial" w:eastAsia="Arial" w:hAnsi="Arial"/>
          <w:color w:val="1f406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f4061"/>
          <w:sz w:val="22"/>
          <w:szCs w:val="22"/>
          <w:rtl w:val="0"/>
        </w:rPr>
        <w:t xml:space="preserve">Versión 1.0 · Arquitectura actual definida y arquitectura objetivo</w:t>
      </w:r>
    </w:p>
    <w:p w:rsidR="00000000" w:rsidDel="00000000" w:rsidP="00000000" w:rsidRDefault="00000000" w:rsidRPr="00000000" w14:paraId="0000000A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="259" w:lineRule="auto"/>
        <w:jc w:val="center"/>
        <w:rPr>
          <w:b w:val="1"/>
          <w:bCs w:val="1"/>
          <w:color w:val="1f40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360" w:line="259" w:lineRule="auto"/>
        <w:rPr>
          <w:color w:val="5b6570"/>
          <w:sz w:val="18"/>
          <w:szCs w:val="18"/>
        </w:rPr>
      </w:pPr>
      <w:r w:rsidDel="00000000" w:rsidR="00000000" w:rsidRPr="00000000">
        <w:rPr>
          <w:b w:val="1"/>
          <w:bCs w:val="1"/>
          <w:color w:val="5b6570"/>
          <w:sz w:val="18"/>
          <w:szCs w:val="18"/>
          <w:rtl w:val="0"/>
        </w:rPr>
        <w:t xml:space="preserve">Participantes: </w:t>
      </w:r>
      <w:r w:rsidDel="00000000" w:rsidR="00000000" w:rsidRPr="00000000">
        <w:rPr>
          <w:color w:val="5b6570"/>
          <w:sz w:val="18"/>
          <w:szCs w:val="18"/>
          <w:rtl w:val="0"/>
        </w:rPr>
        <w:t xml:space="preserve">John Francis Zapata Sanchez · Eduardo Alfredo Cortes-Monroy Castro · Constanza Belen Mena Aldana</w:t>
      </w:r>
    </w:p>
    <w:p w:rsidR="00000000" w:rsidDel="00000000" w:rsidP="00000000" w:rsidRDefault="00000000" w:rsidRPr="00000000" w14:paraId="0000001B">
      <w:pPr>
        <w:spacing w:after="100" w:line="259" w:lineRule="auto"/>
        <w:rPr>
          <w:color w:val="5b6570"/>
          <w:sz w:val="18"/>
          <w:szCs w:val="18"/>
        </w:rPr>
      </w:pPr>
      <w:r w:rsidDel="00000000" w:rsidR="00000000" w:rsidRPr="00000000">
        <w:rPr>
          <w:b w:val="1"/>
          <w:bCs w:val="1"/>
          <w:color w:val="5b6570"/>
          <w:sz w:val="18"/>
          <w:szCs w:val="18"/>
          <w:rtl w:val="0"/>
        </w:rPr>
        <w:t xml:space="preserve">Profesor: </w:t>
      </w:r>
      <w:r w:rsidDel="00000000" w:rsidR="00000000" w:rsidRPr="00000000">
        <w:rPr>
          <w:color w:val="5b6570"/>
          <w:sz w:val="18"/>
          <w:szCs w:val="18"/>
          <w:rtl w:val="0"/>
        </w:rPr>
        <w:t xml:space="preserve">Carlos Andres Herrera Machuca</w:t>
      </w:r>
    </w:p>
    <w:p w:rsidR="00000000" w:rsidDel="00000000" w:rsidP="00000000" w:rsidRDefault="00000000" w:rsidRPr="00000000" w14:paraId="0000001C">
      <w:pPr>
        <w:spacing w:after="10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Objetivo del documento</w:t>
      </w:r>
    </w:p>
    <w:p w:rsidR="00000000" w:rsidDel="00000000" w:rsidP="00000000" w:rsidRDefault="00000000" w:rsidRPr="00000000" w14:paraId="0000001E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Definir la arquitectura de software de Capítulo 0, mostrando los componentes principales, sus responsabilidades, la forma en que se comunican y la arquitectura objetivo para el MVP. Este documento complementa la propuesta técnica y el DER conceptual, y servirá como referencia para el desarrollo, integración, pruebas y despliegue del sistema.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2. Alcance y criterios de arquitectura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 móvil multiplataforma desarrollada en Flutter y Dart para Android e iOS.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centralizado mediante API REST desarrollada en Java con Spring Boot.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Persistencia relacional en PostgreSQL, alojada en Neon.tech.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Firebase Authentication como proveedor de identidad y emisión de tokens JWT.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con Google Books, Google Maps, Google ML Kit, Gemini API y Cloudinary.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Despliegue del backend en Render.com o Railway para pruebas y MVP.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evita duplicar responsabilidades entre servicios externos y la base de datos propia.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3. Arquitectura actual definida</w:t>
      </w:r>
    </w:p>
    <w:p w:rsidR="00000000" w:rsidDel="00000000" w:rsidP="00000000" w:rsidRDefault="00000000" w:rsidRPr="00000000" w14:paraId="00000028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El proyecto ya tiene definido un enfoque cliente-servidor. La aplicación móvil actúa como cliente principal y concentra la experiencia de usuario; el backend Spring Boot centraliza la lógica de negocio, permisos y acceso a datos; PostgreSQL mantiene la información persistente de Capítulo 0; y los servicios externos se integran únicamente para capacidades específicas.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4486b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 /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86b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 actual definida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Interfaz, navegación, estado de pantalla y consumo de la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Registro, inicio de sesión, Google Sign-In, recuperación de acceso y emisión de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 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Validación de JWT, reglas de negocio, moderación, acceso a datos e integración controlada con servicios externos.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Usuarios, perfiles, libros externos referenciados, libros autopublicados, capítulos, reseñas, comentarios, relaciones sociales, clubes, puntos lectores y demás datos persistentes.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Metadatos de libros, mapas, escaneo ISBN, recomendaciones IA y almacenamiento multimedia.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4. Arquitectura objetivo del MVP</w:t>
      </w:r>
    </w:p>
    <w:p w:rsidR="00000000" w:rsidDel="00000000" w:rsidP="00000000" w:rsidRDefault="00000000" w:rsidRPr="00000000" w14:paraId="00000037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 arquitectura objetivo mantiene el mismo enfoque, pero formaliza la separación de responsabilidades para evitar que Flutter acceda directamente a PostgreSQL o concentre lógica sensible. El backend será el punto de entrada para las operaciones persistentes y protegidas.</w:t>
      </w:r>
    </w:p>
    <w:p w:rsidR="00000000" w:rsidDel="00000000" w:rsidP="00000000" w:rsidRDefault="00000000" w:rsidRPr="00000000" w14:paraId="00000038">
      <w:pPr>
        <w:spacing w:after="100" w:line="259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365990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5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="259" w:lineRule="auto"/>
        <w:jc w:val="center"/>
        <w:rPr/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Figura 1. Arquitectura lógica objetivo de Capítulo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5. Componentes y responsabilidades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24486b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86b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86b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Flutter + 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Presentar la interfaz, gestionar navegación y consumir endpoints protegidos o públicos.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API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Java + 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Aplicar reglas de negocio, autorizar acciones, coordinar integraciones y devolver respuestas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PostgreSQL / 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los datos propios de la plataforma con integridad relacional.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Autenticar usuarios y emitir JWT; Capítulo 0 no almacena contraseñas.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Catálogo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Google Books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Entregar metadatos bibliográficos. Solo se guardan referencias/metadatos necesarios cuando el usuario interactúa con un libro.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Google Maps 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Visualizar puntos lectores y ubicación del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Escáner ISBN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Google ML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Leer códigos ISBN en el dispositivo para facilitar búsquedas bibliográficas.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Asistente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Generar recomendaciones y apoyo lector; sus respuestas no se persisten como entidades del dominio.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Almacenar portadas, avatares y fotografías; PostgreSQL guarda referencias/URLs.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Hosting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Render /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Ejecutar y exponer la API REST del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6. Arquitectura interna del backend</w:t>
      </w:r>
    </w:p>
    <w:p w:rsidR="00000000" w:rsidDel="00000000" w:rsidP="00000000" w:rsidRDefault="00000000" w:rsidRPr="00000000" w14:paraId="0000005E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El backend se organizará mediante una arquitectura multicapa de Spring Boot, manteniendo responsabilidades separadas y facilitando pruebas y mantenimiento.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4486b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86b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Expone endpoints REST, recibe solicitudes y devuelve respuestas HTTP. No concentra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Contiene la lógica de negocio, validaciones funcionales, permisos y coordinación entre repositorios e integraciones.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Acceso a PostgreSQL mediante JPA/Hibernate.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Entity /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Representación del modelo persistente definido a partir del DER y del modelo relacional.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DTO /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Define contratos de entrada/salida sin exponer directamente las entidades de persistencia.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 los JWT de Firebase y determina la identidad autenticada para endpoints protegidos.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Integration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Encapsula llamadas a APIs externas cuando estas deban realizarse desde el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7. Flujos principales de comunicación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7.1 Autenticación</w:t>
      </w:r>
    </w:p>
    <w:p w:rsidR="00000000" w:rsidDel="00000000" w:rsidP="00000000" w:rsidRDefault="00000000" w:rsidRPr="00000000" w14:paraId="00000072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Flutter autentica al usuario con Firebase. Firebase devuelve un JWT. Flutter envía el token al backend en las solicitudes protegidas y Spring Boot valida el token antes de ejecutar la operación.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7.2 Catálogo de libros externos</w:t>
      </w:r>
    </w:p>
    <w:p w:rsidR="00000000" w:rsidDel="00000000" w:rsidP="00000000" w:rsidRDefault="00000000" w:rsidRPr="00000000" w14:paraId="00000074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 aplicación consulta metadatos de Google Books. Cuando el usuario guarda, reseña, agrega a una lista o marca como favorito un libro externo, el backend conserva únicamente la referencia y los metadatos necesarios; no almacena el contenido completo del libro.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7.3 Libros autopublicados</w:t>
      </w:r>
    </w:p>
    <w:p w:rsidR="00000000" w:rsidDel="00000000" w:rsidP="00000000" w:rsidRDefault="00000000" w:rsidRPr="00000000" w14:paraId="00000076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 creación de una “historia” en la interfaz corresponde a un libro u obra autopublicada. El backend persiste el libro y sus capítulos en PostgreSQL. Las portadas se almacenan en Cloudinary y la base conserva su referencia.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7.4 Reseñas y moderación</w:t>
      </w:r>
    </w:p>
    <w:p w:rsidR="00000000" w:rsidDel="00000000" w:rsidP="00000000" w:rsidRDefault="00000000" w:rsidRPr="00000000" w14:paraId="00000078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Las reseñas pueden mostrarse con la identidad del usuario o de forma anónima. En ambos casos el backend mantiene la relación interna con el autor para edición, control de duplicados y moderación. Usuarios, libros autopublicados, comentarios y reseñas pueden ser reportados.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7.5 Perfiles privados</w:t>
      </w:r>
    </w:p>
    <w:p w:rsidR="00000000" w:rsidDel="00000000" w:rsidP="00000000" w:rsidRDefault="00000000" w:rsidRPr="00000000" w14:paraId="0000007A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Si un perfil es privado, una nueva relación de seguimiento queda pendiente hasta que el propietario la acepte o rechace. Este flujo no requiere un sistema general de mensajería o notificaciones.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7.6 Puntos lectores y clubes</w:t>
      </w:r>
    </w:p>
    <w:p w:rsidR="00000000" w:rsidDel="00000000" w:rsidP="00000000" w:rsidRDefault="00000000" w:rsidRPr="00000000" w14:paraId="0000007C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Los puntos lectores provienen de registros validados. Para el MVP, clubes y encuentros son gestionados por el equipo de Capítulo 0; los usuarios pueden consultar clubes y gestionar su membresía cuando corresponda.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7.7 Escaneo ISBN</w:t>
      </w:r>
    </w:p>
    <w:p w:rsidR="00000000" w:rsidDel="00000000" w:rsidP="00000000" w:rsidRDefault="00000000" w:rsidRPr="00000000" w14:paraId="0000007E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ML Kit obtiene el ISBN localmente en el dispositivo. El ISBN se utiliza para buscar información bibliográfica; no constituye una entidad propia.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7.8 Asistente IA</w:t>
      </w:r>
    </w:p>
    <w:p w:rsidR="00000000" w:rsidDel="00000000" w:rsidP="00000000" w:rsidRDefault="00000000" w:rsidRPr="00000000" w14:paraId="00000080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Las solicitudes de ayuda lectora se envían a Gemini. La respuesta se presenta al usuario como apoyo contextual y no forma parte del modelo persistente principal.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8. Seguridad y control de acceso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contraseñas y credenciales son responsabilidad de Firebase Authentication.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endpoints que modifican información persistente requieren autenticación y validación de JWT.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backend valida permisos sobre recursos propios antes de editar, ocultar o eliminar contenido.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anonimato de una reseña es solo de presentación pública; el sistema conserva trazabilidad interna.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perfiles privados requieren aprobación de solicitudes de seguimiento.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datos sensibles de configuración y moderación no se exponen directamente desde las entidades de persistencia.</w:t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9. Arquitectura de despliegue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24486b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86b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Destino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86b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Android (Google Play para MVP) / compilación 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HTTPS hacia backend y servicios móviles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Render.com o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API REST pública mediante HTTPS.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Neon.tech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Conexión privada desde backend mediante credenciales de entorno.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Google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Autenticación y validación de identidad.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Cloudinary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Carga/lectura de imágenes mediante referencias seguras.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APIs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Google Books / Gemini / Maps / ML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Integraciones específicas según la funcionalidad.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10. Decisiones arquitectónicas vigentes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Flutter no accede directamente a PostgreSQL.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Boot actúa como capa central de negocio y persistencia.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Firebase gestiona identidad, no el dominio social de Capítulo 0.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Libro es el concepto único para catálogo externo y autopublicación; “historia” queda como término de interfaz.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Books no se replica íntegramente: solo se persisten referencias y metadatos cuando existe interacción del usuario.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Cloudinary almacena archivos multimedia y PostgreSQL conserva sus referencias.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Clubes y encuentros no son creados libremente por usuarios durante el MVP.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respuestas de Gemini y los estados temporales de UI no forman parte del modelo persistente.</w:t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11. Evolución posterior al MVP</w:t>
      </w:r>
    </w:p>
    <w:p w:rsidR="00000000" w:rsidDel="00000000" w:rsidP="00000000" w:rsidRDefault="00000000" w:rsidRPr="00000000" w14:paraId="000000A9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 arquitectura permite incorporar funcionalidades futuras sin alterar el núcleo del sistema, entre ellas cuentas organizacionales verificadas para gestionar clubes, notificaciones de actividad, nuevas preferencias sincronizadas, soporte geoespacial avanzado y ampliaciones del sistema de moderación. Estas capacidades quedan fuera de la arquitectura funcional obligatoria del MVP.</w:t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12. Próximos entregables relacionados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 relacional y diccionario de datos a partir del DER conceptual.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DER definitivo.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y documentación de endpoints REST.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Estructura de paquetes y módulos del backend Spring Boot.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despliegue final una vez seleccionados definitivamente Render.com o Railway.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Actualización de planificación y Carta Gantt con tareas, responsables y dependencias.</w:t>
      </w:r>
    </w:p>
    <w:sectPr>
      <w:footerReference r:id="rId8" w:type="default"/>
      <w:pgSz w:h="15840" w:w="12240" w:orient="portrait"/>
      <w:pgMar w:bottom="936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color w:val="787878"/>
        <w:sz w:val="14"/>
        <w:szCs w:val="14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828282"/>
        <w:sz w:val="16"/>
        <w:szCs w:val="16"/>
        <w:u w:val="none"/>
        <w:shd w:fill="auto" w:val="clear"/>
        <w:vertAlign w:val="baseline"/>
        <w:rtl w:val="0"/>
      </w:rPr>
      <w:t xml:space="preserve">Capítulo 0 · Arquitectura de Software </w:t>
    </w:r>
    <w:r w:rsidDel="00000000" w:rsidR="00000000" w:rsidRPr="00000000">
      <w:rPr>
        <w:rFonts w:ascii="Arial" w:cs="Arial" w:eastAsia="Arial" w:hAnsi="Arial"/>
        <w:color w:val="787878"/>
        <w:sz w:val="14"/>
        <w:szCs w:val="14"/>
        <w:rtl w:val="0"/>
      </w:rPr>
      <w:t xml:space="preserve">· Version 1.0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06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d527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061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allout" w:customStyle="1">
    <w:name w:val="Callout"/>
    <w:pPr>
      <w:spacing w:after="120" w:before="120"/>
      <w:ind w:left="259" w:right="259"/>
    </w:pPr>
    <w:rPr>
      <w:rFonts w:ascii="Aptos" w:hAnsi="Aptos"/>
      <w:color w:val="2d4150"/>
      <w:sz w:val="19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5WkQ6S+m+KblmE+VH8F2NveOA==">CgMxLjA4AHIhMXM5NTg2a1dfMlotaE1Lczc5WHJLTllVbmZ6cThnMWc3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