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Play" w:hAnsi="Play"/>
          <w:b/>
          <w:color w:val="4B2418"/>
          <w:sz w:val="48"/>
        </w:rPr>
        <w:t>REORGANIZACIÓN SOLID DEL FRONTEND</w:t>
      </w:r>
    </w:p>
    <w:tbl>
      <w:tblPr>
        <w:tblW w:type="auto" w:w="0"/>
        <w:jc w:val="center"/>
        <w:tblLayout w:type="fixed"/>
        <w:tblLook w:firstColumn="1" w:firstRow="1" w:lastColumn="0" w:lastRow="0" w:noHBand="0" w:noVBand="1" w:val="04A0"/>
      </w:tblPr>
      <w:tblGrid>
        <w:gridCol w:w="1944"/>
        <w:gridCol w:w="7992"/>
      </w:tblGrid>
      <w:tr>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tcPr>
          <w:p>
            <w:r>
              <w:rPr>
                <w:rFonts w:ascii="Calibri" w:hAnsi="Calibri"/>
                <w:b/>
                <w:color w:val="FFFFFF"/>
                <w:sz w:val="18"/>
              </w:rPr>
              <w:t>Equipo</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tcPr>
          <w:p>
            <w:r>
              <w:rPr>
                <w:rFonts w:ascii="Georgia" w:hAnsi="Georgia"/>
                <w:b w:val="0"/>
                <w:color w:val="2C211D"/>
                <w:sz w:val="17"/>
              </w:rPr>
              <w:t>John Francis Zapata Sanchez · Eduardo Alfredo Cortes-Monroy Castro · Constanza Belen Mena Aldana</w:t>
            </w:r>
          </w:p>
        </w:tc>
      </w:tr>
      <w:tr>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tcPr>
          <w:p>
            <w:r>
              <w:rPr>
                <w:rFonts w:ascii="Calibri" w:hAnsi="Calibri"/>
                <w:b/>
                <w:color w:val="FFFFFF"/>
                <w:sz w:val="18"/>
              </w:rPr>
              <w:t>Fecha</w:t>
            </w:r>
          </w:p>
        </w:tc>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tcPr>
          <w:p>
            <w:r>
              <w:rPr>
                <w:rFonts w:ascii="Georgia" w:hAnsi="Georgia"/>
                <w:b w:val="0"/>
                <w:color w:val="2C211D"/>
                <w:sz w:val="17"/>
              </w:rPr>
              <w:t>01-11-2026</w:t>
            </w:r>
          </w:p>
        </w:tc>
      </w:tr>
      <w:tr>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tcPr>
          <w:p>
            <w:r>
              <w:rPr>
                <w:rFonts w:ascii="Calibri" w:hAnsi="Calibri"/>
                <w:b/>
                <w:color w:val="FFFFFF"/>
                <w:sz w:val="18"/>
              </w:rPr>
              <w:t>Estado</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tcPr>
          <w:p>
            <w:r>
              <w:rPr>
                <w:rFonts w:ascii="Georgia" w:hAnsi="Georgia"/>
                <w:b w:val="0"/>
                <w:color w:val="2C211D"/>
                <w:sz w:val="17"/>
              </w:rPr>
              <w:t>Implementado y validado</w:t>
            </w:r>
          </w:p>
        </w:tc>
      </w:tr>
    </w:tbl>
    <w:p/>
    <w:tbl>
      <w:tblPr>
        <w:tblW w:type="auto" w:w="0"/>
        <w:jc w:val="center"/>
        <w:tblLook w:firstColumn="1" w:firstRow="1" w:lastColumn="0" w:lastRow="0" w:noHBand="0" w:noVBand="1" w:val="04A0"/>
      </w:tblPr>
      <w:tblGrid>
        <w:gridCol w:w="10224"/>
      </w:tblGrid>
      <w:tr>
        <w:tc>
          <w:tcPr>
            <w:tcW w:type="dxa" w:w="10224"/>
            <w:shd w:fill="F7EFE2"/>
            <w:tcBorders>
              <w:top w:val="single" w:sz="6" w:color="C5A059"/>
              <w:left w:val="single" w:sz="6" w:color="C5A059"/>
              <w:bottom w:val="single" w:sz="6" w:color="C5A059"/>
              <w:right w:val="single" w:sz="6" w:color="C5A059"/>
              <w:insideH w:val="single" w:sz="6" w:color="C5A059"/>
              <w:insideV w:val="single" w:sz="6" w:color="C5A059"/>
            </w:tcBorders>
            <w:tcMar>
              <w:top w:w="130" w:type="dxa"/>
              <w:start w:w="160" w:type="dxa"/>
              <w:bottom w:w="130" w:type="dxa"/>
              <w:end w:w="160" w:type="dxa"/>
            </w:tcMar>
          </w:tcPr>
          <w:p>
            <w:pPr>
              <w:spacing w:after="0"/>
            </w:pPr>
            <w:r>
              <w:rPr>
                <w:rFonts w:ascii="Georgia" w:hAnsi="Georgia"/>
                <w:b w:val="0"/>
                <w:color w:val="2C211D"/>
                <w:sz w:val="19"/>
              </w:rPr>
              <w:t>El frontend de Capítulo 0 fue reorganizado utilizando los principios SOLID como criterio de diseño, con énfasis en la separación de responsabilidades, la reducción de archivos monolíticos y una estructura más mantenible para la futura integración con Spring Boot y PostgreSQL.</w:t>
            </w:r>
          </w:p>
        </w:tc>
      </w:tr>
    </w:tbl>
    <w:p>
      <w:pPr>
        <w:spacing w:before="160" w:after="80"/>
      </w:pPr>
      <w:r>
        <w:rPr>
          <w:rFonts w:ascii="Calibri" w:hAnsi="Calibri"/>
          <w:b/>
          <w:color w:val="4B2418"/>
          <w:sz w:val="30"/>
        </w:rPr>
        <w:t>1. Objetivo</w:t>
      </w:r>
    </w:p>
    <w:p>
      <w:pPr>
        <w:spacing w:after="70" w:line="259" w:lineRule="auto"/>
      </w:pPr>
      <w:r>
        <w:rPr>
          <w:rFonts w:ascii="Georgia" w:hAnsi="Georgia"/>
          <w:b w:val="0"/>
          <w:color w:val="2C211D"/>
          <w:sz w:val="20"/>
        </w:rPr>
        <w:t>Mejorar la mantenibilidad del frontend Flutter sin modificar la interfaz, los textos ni el comportamiento existente. La reorganización se realizó de forma incremental, validando cada módulo antes de continuar con el siguiente.</w:t>
      </w:r>
    </w:p>
    <w:p>
      <w:pPr>
        <w:spacing w:before="160" w:after="80"/>
      </w:pPr>
      <w:r>
        <w:rPr>
          <w:rFonts w:ascii="Calibri" w:hAnsi="Calibri"/>
          <w:b/>
          <w:color w:val="4B2418"/>
          <w:sz w:val="30"/>
        </w:rPr>
        <w:t>2. Criterio SOLID aplicado</w:t>
      </w:r>
    </w:p>
    <w:tbl>
      <w:tblPr>
        <w:tblW w:type="auto" w:w="0"/>
        <w:jc w:val="center"/>
        <w:tblLayout w:type="fixed"/>
        <w:tblLook w:firstColumn="1" w:firstRow="1" w:lastColumn="0" w:lastRow="0" w:noHBand="0" w:noVBand="1" w:val="04A0"/>
      </w:tblPr>
      <w:tblGrid>
        <w:gridCol w:w="2952"/>
        <w:gridCol w:w="6984"/>
      </w:tblGrid>
      <w:tr>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vAlign w:val="center"/>
          </w:tcPr>
          <w:p>
            <w:pPr>
              <w:spacing w:after="0"/>
            </w:pPr>
            <w:r>
              <w:rPr>
                <w:rFonts w:ascii="Calibri" w:hAnsi="Calibri"/>
                <w:b/>
                <w:color w:val="FFFFFF"/>
                <w:sz w:val="18"/>
              </w:rPr>
              <w:t>Principio</w:t>
            </w:r>
          </w:p>
        </w:tc>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vAlign w:val="center"/>
          </w:tcPr>
          <w:p>
            <w:pPr>
              <w:spacing w:after="0"/>
            </w:pPr>
            <w:r>
              <w:rPr>
                <w:rFonts w:ascii="Calibri" w:hAnsi="Calibri"/>
                <w:b/>
                <w:color w:val="FFFFFF"/>
                <w:sz w:val="18"/>
              </w:rPr>
              <w:t>Aplicación en Capítulo 0</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S · Responsabilidad Única</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Pantallas principales coordinan estado y navegación; widgets, diálogos, datos y servicios se separan por responsabilidad.</w:t>
            </w:r>
          </w:p>
        </w:tc>
      </w:tr>
      <w:tr>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O · Abierto/Cerrado</w:t>
            </w:r>
          </w:p>
        </w:tc>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La estructura permite agregar nuevas secciones o componentes sin reescribir pantallas completas.</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L · Sustitución de Liskov</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Se conservan contratos, modelos y callbacks existentes, evitando cambios incompatibles entre componentes.</w:t>
            </w:r>
          </w:p>
        </w:tc>
      </w:tr>
      <w:tr>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I · Segregación de Interfaces</w:t>
            </w:r>
          </w:p>
        </w:tc>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Los componentes reciben únicamente los datos y acciones que necesitan, evitando dependencias innecesarias.</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D · Inversión de Dependencias</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Se mantiene preparada la separación entre presentación y acceso a datos para sustituir almacenamiento local por backend posteriormente.</w:t>
            </w:r>
          </w:p>
        </w:tc>
      </w:tr>
    </w:tbl>
    <w:p>
      <w:pPr>
        <w:spacing w:after="0"/>
      </w:pPr>
    </w:p>
    <w:p>
      <w:pPr>
        <w:spacing w:before="160" w:after="80"/>
      </w:pPr>
      <w:r>
        <w:rPr>
          <w:rFonts w:ascii="Calibri" w:hAnsi="Calibri"/>
          <w:b/>
          <w:color w:val="4B2418"/>
          <w:sz w:val="30"/>
        </w:rPr>
        <w:t>3. Organización del frontend</w:t>
      </w:r>
    </w:p>
    <w:tbl>
      <w:tblPr>
        <w:tblW w:type="auto" w:w="0"/>
        <w:jc w:val="center"/>
        <w:tblLayout w:type="fixed"/>
        <w:tblLook w:firstColumn="1" w:firstRow="1" w:lastColumn="0" w:lastRow="0" w:noHBand="0" w:noVBand="1" w:val="04A0"/>
      </w:tblPr>
      <w:tblGrid>
        <w:gridCol w:w="2952"/>
        <w:gridCol w:w="6984"/>
      </w:tblGrid>
      <w:tr>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vAlign w:val="center"/>
          </w:tcPr>
          <w:p>
            <w:pPr>
              <w:spacing w:after="0"/>
            </w:pPr>
            <w:r>
              <w:rPr>
                <w:rFonts w:ascii="Calibri" w:hAnsi="Calibri"/>
                <w:b/>
                <w:color w:val="FFFFFF"/>
                <w:sz w:val="18"/>
              </w:rPr>
              <w:t>Carpeta</w:t>
            </w:r>
          </w:p>
        </w:tc>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vAlign w:val="center"/>
          </w:tcPr>
          <w:p>
            <w:pPr>
              <w:spacing w:after="0"/>
            </w:pPr>
            <w:r>
              <w:rPr>
                <w:rFonts w:ascii="Calibri" w:hAnsi="Calibri"/>
                <w:b/>
                <w:color w:val="FFFFFF"/>
                <w:sz w:val="18"/>
              </w:rPr>
              <w:t>Responsabilidad</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models/</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Modelos de datos y estructuras utilizadas por cada funcionalidad.</w:t>
            </w:r>
          </w:p>
        </w:tc>
      </w:tr>
      <w:tr>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data/ · services/</w:t>
            </w:r>
          </w:p>
        </w:tc>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Datos temporales, persistencia local y acceso a fuentes de información.</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presentation/screens/</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Pantallas que coordinan estado, navegación y flujo principal.</w:t>
            </w:r>
          </w:p>
        </w:tc>
      </w:tr>
      <w:tr>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presentation/widgets/</w:t>
            </w:r>
          </w:p>
        </w:tc>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Componentes visuales y secciones reutilizables o con responsabilidad específica.</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presentation/dialogs/</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Diálogos, sheets y flujos secundarios separados de las pantallas principales.</w:t>
            </w:r>
          </w:p>
        </w:tc>
      </w:tr>
    </w:tbl>
    <w:p>
      <w:pPr>
        <w:spacing w:after="0"/>
      </w:pPr>
    </w:p>
    <w:p>
      <w:pPr>
        <w:spacing w:before="160" w:after="80"/>
      </w:pPr>
      <w:r>
        <w:rPr>
          <w:rFonts w:ascii="Calibri" w:hAnsi="Calibri"/>
          <w:b/>
          <w:color w:val="4B2418"/>
          <w:sz w:val="30"/>
        </w:rPr>
        <w:t>4. Módulos reorganizados</w:t>
      </w:r>
    </w:p>
    <w:p>
      <w:pPr>
        <w:spacing w:after="70" w:line="259" w:lineRule="auto"/>
      </w:pPr>
      <w:r>
        <w:rPr>
          <w:rFonts w:ascii="Georgia" w:hAnsi="Georgia"/>
          <w:b w:val="0"/>
          <w:color w:val="2C211D"/>
          <w:sz w:val="20"/>
        </w:rPr>
        <w:t>La reorganización se aplicó a los módulos principales del frontend: Auth, Home, Library, Maps, Profile y Writer.</w:t>
      </w:r>
    </w:p>
    <w:p>
      <w:pPr>
        <w:spacing w:after="70" w:line="259" w:lineRule="auto"/>
        <w:ind w:left="202"/>
      </w:pPr>
      <w:r>
        <w:rPr>
          <w:rFonts w:ascii="Georgia" w:hAnsi="Georgia"/>
          <w:b w:val="0"/>
          <w:color w:val="2C211D"/>
          <w:sz w:val="20"/>
        </w:rPr>
        <w:t>• Los archivos de mayor tamaño se dividieron por secciones funcionales, manteniendo las integraciones existentes entre módulos, el modo invitado y los flujos de navegación.</w:t>
      </w:r>
    </w:p>
    <w:p>
      <w:pPr>
        <w:spacing w:after="70" w:line="259" w:lineRule="auto"/>
        <w:ind w:left="202"/>
      </w:pPr>
      <w:r>
        <w:rPr>
          <w:rFonts w:ascii="Georgia" w:hAnsi="Georgia"/>
          <w:b w:val="0"/>
          <w:color w:val="2C211D"/>
          <w:sz w:val="20"/>
        </w:rPr>
        <w:t>• No se incorporó Provider, Riverpod, BLoC ni una capa de repositorios prematura; la arquitectura se mantuvo acorde al estado actual del proyecto.</w:t>
      </w:r>
    </w:p>
    <w:p>
      <w:pPr>
        <w:spacing w:before="160" w:after="80"/>
      </w:pPr>
      <w:r>
        <w:rPr>
          <w:rFonts w:ascii="Calibri" w:hAnsi="Calibri"/>
          <w:b/>
          <w:color w:val="4B2418"/>
          <w:sz w:val="30"/>
        </w:rPr>
        <w:t>5. Validación</w:t>
      </w:r>
    </w:p>
    <w:tbl>
      <w:tblPr>
        <w:tblW w:type="auto" w:w="0"/>
        <w:jc w:val="center"/>
        <w:tblLayout w:type="fixed"/>
        <w:tblLook w:firstColumn="1" w:firstRow="1" w:lastColumn="0" w:lastRow="0" w:noHBand="0" w:noVBand="1" w:val="04A0"/>
      </w:tblPr>
      <w:tblGrid>
        <w:gridCol w:w="2952"/>
        <w:gridCol w:w="6984"/>
      </w:tblGrid>
      <w:tr>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vAlign w:val="center"/>
          </w:tcPr>
          <w:p>
            <w:pPr>
              <w:spacing w:after="0"/>
            </w:pPr>
            <w:r>
              <w:rPr>
                <w:rFonts w:ascii="Calibri" w:hAnsi="Calibri"/>
                <w:b/>
                <w:color w:val="FFFFFF"/>
                <w:sz w:val="18"/>
              </w:rPr>
              <w:t>Validación</w:t>
            </w:r>
          </w:p>
        </w:tc>
        <w:tc>
          <w:tcPr>
            <w:tcW w:type="dxa" w:w="5112"/>
            <w:shd w:fill="4B2418"/>
            <w:tcBorders>
              <w:top w:val="single" w:sz="4" w:color="4B2418"/>
              <w:left w:val="single" w:sz="4" w:color="4B2418"/>
              <w:bottom w:val="single" w:sz="4" w:color="4B2418"/>
              <w:right w:val="single" w:sz="4" w:color="4B2418"/>
              <w:insideH w:val="single" w:sz="4" w:color="4B2418"/>
              <w:insideV w:val="single" w:sz="4" w:color="4B2418"/>
            </w:tcBorders>
            <w:tcMar>
              <w:top w:w="90" w:type="dxa"/>
              <w:start w:w="100" w:type="dxa"/>
              <w:bottom w:w="90" w:type="dxa"/>
              <w:end w:w="100" w:type="dxa"/>
            </w:tcMar>
            <w:vAlign w:val="center"/>
          </w:tcPr>
          <w:p>
            <w:pPr>
              <w:spacing w:after="0"/>
            </w:pPr>
            <w:r>
              <w:rPr>
                <w:rFonts w:ascii="Calibri" w:hAnsi="Calibri"/>
                <w:b/>
                <w:color w:val="FFFFFF"/>
                <w:sz w:val="18"/>
              </w:rPr>
              <w:t>Resultado</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flutter analyze</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Revisión estática ejecutada durante las fases de reorganización, dejando los módulos sin errores ni warnings pendientes.</w:t>
            </w:r>
          </w:p>
        </w:tc>
      </w:tr>
      <w:tr>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Pruebas funcionales</w:t>
            </w:r>
          </w:p>
        </w:tc>
        <w:tc>
          <w:tcPr>
            <w:tcW w:type="dxa" w:w="5112"/>
            <w:shd w:fill="F7EFE2"/>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Se verificaron manualmente navegación, formularios, diálogos, persistencia, guest mode y acciones principales.</w:t>
            </w:r>
          </w:p>
        </w:tc>
      </w:tr>
      <w:tr>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color w:val="2C211D"/>
                <w:sz w:val="17"/>
              </w:rPr>
              <w:t>Compatibilidad</w:t>
            </w:r>
          </w:p>
        </w:tc>
        <w:tc>
          <w:tcPr>
            <w:tcW w:type="dxa" w:w="5112"/>
            <w:shd w:fill="FFFDF9"/>
            <w:tcBorders>
              <w:top w:val="single" w:sz="4" w:color="D8C6B5"/>
              <w:left w:val="single" w:sz="4" w:color="D8C6B5"/>
              <w:bottom w:val="single" w:sz="4" w:color="D8C6B5"/>
              <w:right w:val="single" w:sz="4" w:color="D8C6B5"/>
              <w:insideH w:val="single" w:sz="4" w:color="D8C6B5"/>
              <w:insideV w:val="single" w:sz="4" w:color="D8C6B5"/>
            </w:tcBorders>
            <w:tcMar>
              <w:top w:w="90" w:type="dxa"/>
              <w:start w:w="100" w:type="dxa"/>
              <w:bottom w:w="90" w:type="dxa"/>
              <w:end w:w="100" w:type="dxa"/>
            </w:tcMar>
            <w:vAlign w:val="center"/>
          </w:tcPr>
          <w:p>
            <w:pPr>
              <w:spacing w:after="0"/>
            </w:pPr>
            <w:r>
              <w:rPr>
                <w:rFonts w:ascii="Georgia" w:hAnsi="Georgia"/>
                <w:b w:val="0"/>
                <w:color w:val="2C211D"/>
                <w:sz w:val="17"/>
              </w:rPr>
              <w:t>Se conservaron UI, textos, callbacks, modelos y comportamiento previo.</w:t>
            </w:r>
          </w:p>
        </w:tc>
      </w:tr>
    </w:tbl>
    <w:p>
      <w:pPr>
        <w:spacing w:after="0"/>
      </w:pPr>
    </w:p>
    <w:p>
      <w:pPr>
        <w:spacing w:before="160" w:after="80"/>
      </w:pPr>
      <w:r>
        <w:rPr>
          <w:rFonts w:ascii="Calibri" w:hAnsi="Calibri"/>
          <w:b/>
          <w:color w:val="4B2418"/>
          <w:sz w:val="30"/>
        </w:rPr>
        <w:t>6. Estado final</w:t>
      </w:r>
    </w:p>
    <w:tbl>
      <w:tblPr>
        <w:tblW w:type="auto" w:w="0"/>
        <w:jc w:val="center"/>
        <w:tblLook w:firstColumn="1" w:firstRow="1" w:lastColumn="0" w:lastRow="0" w:noHBand="0" w:noVBand="1" w:val="04A0"/>
      </w:tblPr>
      <w:tblGrid>
        <w:gridCol w:w="10224"/>
      </w:tblGrid>
      <w:tr>
        <w:tc>
          <w:tcPr>
            <w:tcW w:type="dxa" w:w="10224"/>
            <w:shd w:fill="F7EFE2"/>
            <w:tcBorders>
              <w:top w:val="single" w:sz="6" w:color="C5A059"/>
              <w:left w:val="single" w:sz="6" w:color="C5A059"/>
              <w:bottom w:val="single" w:sz="6" w:color="C5A059"/>
              <w:right w:val="single" w:sz="6" w:color="C5A059"/>
              <w:insideH w:val="single" w:sz="6" w:color="C5A059"/>
              <w:insideV w:val="single" w:sz="6" w:color="C5A059"/>
            </w:tcBorders>
            <w:tcMar>
              <w:top w:w="130" w:type="dxa"/>
              <w:start w:w="160" w:type="dxa"/>
              <w:bottom w:w="130" w:type="dxa"/>
              <w:end w:w="160" w:type="dxa"/>
            </w:tcMar>
          </w:tcPr>
          <w:p>
            <w:pPr>
              <w:spacing w:after="0"/>
            </w:pPr>
            <w:r>
              <w:rPr>
                <w:rFonts w:ascii="Georgia" w:hAnsi="Georgia"/>
                <w:b w:val="0"/>
                <w:color w:val="2C211D"/>
                <w:sz w:val="19"/>
              </w:rPr>
              <w:t>La reorganización SOLID del frontend se considera finalizada. Capítulo 0 cuenta ahora con una base de código más modular, legible y preparada para evolucionar hacia la integración del backend Spring Boot, autenticación con Firebase y persistencia en PostgreSQL sin rehacer la estructura de presentación.</w:t>
            </w:r>
          </w:p>
        </w:tc>
      </w:tr>
    </w:tbl>
    <w:sectPr w:rsidR="00FC693F" w:rsidRPr="0006063C" w:rsidSect="00034616">
      <w:head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B2418"/>
        <w:sz w:val="16"/>
      </w:rPr>
      <w:t>CAPÍTULO 0  ·  Reorganización basada en SOLID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