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402F1" w14:textId="77777777" w:rsidR="00C77F72" w:rsidRDefault="000B28E4">
      <w:pPr>
        <w:pStyle w:val="Title"/>
      </w:pPr>
      <w:bookmarkStart w:id="0" w:name="_GoBack"/>
      <w:bookmarkEnd w:id="0"/>
      <w:r>
        <w:t>MR.CREAMS — Ethiopia Market &amp; Business Plan</w:t>
      </w:r>
    </w:p>
    <w:p w14:paraId="7521BF53" w14:textId="77777777" w:rsidR="00C77F72" w:rsidRDefault="000B28E4">
      <w:r>
        <w:t>Generated automatically on 2025-11-01 13:38:24</w:t>
      </w:r>
    </w:p>
    <w:p w14:paraId="2AB5C2F2" w14:textId="77777777" w:rsidR="00C77F72" w:rsidRDefault="000B28E4">
      <w:pPr>
        <w:pStyle w:val="Heading1"/>
      </w:pPr>
      <w:r>
        <w:t>1. Executive Summary</w:t>
      </w:r>
    </w:p>
    <w:p w14:paraId="1A04980E" w14:textId="77777777" w:rsidR="00C77F72" w:rsidRDefault="000B28E4">
      <w:r>
        <w:t xml:space="preserve">MR.CREAMS aims to become Ethiopia’s leading digital mental health and emotional wellness platform. This report estimates market </w:t>
      </w:r>
      <w:r>
        <w:t>potential, calculates revenue projections, evaluates competitive landscape, and assesses financial feasibility for 1, 2, 3, and 5-year horizons.</w:t>
      </w:r>
    </w:p>
    <w:p w14:paraId="3D4A1845" w14:textId="77777777" w:rsidR="00C77F72" w:rsidRDefault="000B28E4">
      <w:pPr>
        <w:pStyle w:val="Heading1"/>
      </w:pPr>
      <w:r>
        <w:t>2. Market Size &amp; Growth Potential</w:t>
      </w:r>
    </w:p>
    <w:p w14:paraId="5E91D7F8" w14:textId="77777777" w:rsidR="00C77F72" w:rsidRDefault="000B28E4">
      <w:r>
        <w:t>Ethiopia’s total population (2025) is approximately 135,500,000. Adults (15+)</w:t>
      </w:r>
      <w:r>
        <w:t xml:space="preserve"> make up about 82,655,000. There are around 24,830,000 internet users and 19,864,000 smartphone users, representing the reachable online audience.</w:t>
      </w:r>
    </w:p>
    <w:p w14:paraId="1C173B2F" w14:textId="77777777" w:rsidR="00C77F72" w:rsidRDefault="000B28E4">
      <w:r>
        <w:t>Mental health awareness and service accessibility are rapidly increasing, especially in urban centers. Smartp</w:t>
      </w:r>
      <w:r>
        <w:t>hone penetration and social media growth support this trend. Based on penetration scenarios (0.5%, 2%, and 5%), potential reachable users range from ~100K to nearly 1 million, with 5% expected to convert into paying users.</w:t>
      </w:r>
    </w:p>
    <w:p w14:paraId="424637BE" w14:textId="77777777" w:rsidR="00C77F72" w:rsidRDefault="000B28E4">
      <w:pPr>
        <w:pStyle w:val="Heading1"/>
      </w:pPr>
      <w:r>
        <w:t>3. Potential Revenue (in Ethiopia</w:t>
      </w:r>
      <w:r>
        <w:t>n Birr)</w:t>
      </w:r>
    </w:p>
    <w:p w14:paraId="1AD53A4F" w14:textId="77777777" w:rsidR="00C77F72" w:rsidRDefault="000B28E4">
      <w:r>
        <w:t>Conservative scenario → Paying users: 4,966 | Base Year Revenue: 2,979,600 ETB | Year 2: 3,873,480 | Year 3: 4,841,850 | Year 5: 6,681,752</w:t>
      </w:r>
    </w:p>
    <w:p w14:paraId="012AAAB7" w14:textId="77777777" w:rsidR="00C77F72" w:rsidRDefault="000B28E4">
      <w:r>
        <w:t xml:space="preserve">Realistic scenario → Paying users: 19,864 | Base Year Revenue: 23,836,800 ETB | Year 2: 30,987,840 | Year 3: </w:t>
      </w:r>
      <w:r>
        <w:t>38,734,800 | Year 5: 53,454,023</w:t>
      </w:r>
    </w:p>
    <w:p w14:paraId="5CE3E2EE" w14:textId="77777777" w:rsidR="00C77F72" w:rsidRDefault="000B28E4">
      <w:r>
        <w:t>Aggressive scenario → Paying users: 49,660 | Base Year Revenue: 119,184,000 ETB | Year 2: 154,939,200 | Year 3: 193,674,000 | Year 5: 267,270,119</w:t>
      </w:r>
    </w:p>
    <w:p w14:paraId="2D85A3FF" w14:textId="77777777" w:rsidR="00C77F72" w:rsidRDefault="000B28E4">
      <w:pPr>
        <w:pStyle w:val="Heading1"/>
      </w:pPr>
      <w:r>
        <w:t>4. Market Viability &amp; Growth Outlook</w:t>
      </w:r>
    </w:p>
    <w:p w14:paraId="7AF14347" w14:textId="77777777" w:rsidR="00C77F72" w:rsidRDefault="000B28E4">
      <w:r>
        <w:t>Ethiopia’s digital health market is in ea</w:t>
      </w:r>
      <w:r>
        <w:t xml:space="preserve">rly expansion stage. Internet and smartphone use continue to grow by 10–15% annually. There are strong indicators that the market will sustain 20–25% year-over-year digital service revenue growth for the next 5 years. This provides substantial opportunity </w:t>
      </w:r>
      <w:r>
        <w:t>for MR.CREAMS to capture early-mover advantage.</w:t>
      </w:r>
    </w:p>
    <w:p w14:paraId="14AEEC3D" w14:textId="77777777" w:rsidR="00C77F72" w:rsidRDefault="000B28E4">
      <w:pPr>
        <w:pStyle w:val="Heading1"/>
      </w:pPr>
      <w:r>
        <w:lastRenderedPageBreak/>
        <w:t>5. Cost–Revenue Balance</w:t>
      </w:r>
    </w:p>
    <w:p w14:paraId="15A993F0" w14:textId="77777777" w:rsidR="00C77F72" w:rsidRDefault="000B28E4">
      <w:r>
        <w:t>Estimated annual operating costs:</w:t>
      </w:r>
    </w:p>
    <w:p w14:paraId="259D255F" w14:textId="77777777" w:rsidR="00C77F72" w:rsidRDefault="000B28E4">
      <w:pPr>
        <w:pStyle w:val="ListBullet"/>
      </w:pPr>
      <w:r>
        <w:t>• App Development &amp; Maintenance (annual): 3,000,000 ETB</w:t>
      </w:r>
    </w:p>
    <w:p w14:paraId="18AF766B" w14:textId="77777777" w:rsidR="00C77F72" w:rsidRDefault="000B28E4">
      <w:pPr>
        <w:pStyle w:val="ListBullet"/>
      </w:pPr>
      <w:r>
        <w:t>• Marketing &amp; Partnerships (annual): 2,500,000 ETB</w:t>
      </w:r>
    </w:p>
    <w:p w14:paraId="1E5EB699" w14:textId="77777777" w:rsidR="00C77F72" w:rsidRDefault="000B28E4">
      <w:pPr>
        <w:pStyle w:val="ListBullet"/>
      </w:pPr>
      <w:r>
        <w:t>• Operations &amp; Staff (annual): 2,000,000 ET</w:t>
      </w:r>
      <w:r>
        <w:t>B</w:t>
      </w:r>
    </w:p>
    <w:p w14:paraId="328FC940" w14:textId="77777777" w:rsidR="00C77F72" w:rsidRDefault="000B28E4">
      <w:pPr>
        <w:pStyle w:val="ListBullet"/>
      </w:pPr>
      <w:r>
        <w:t>• Cloud/IT Infrastructure (annual): 1,000,000 ETB</w:t>
      </w:r>
    </w:p>
    <w:p w14:paraId="51286288" w14:textId="77777777" w:rsidR="00C77F72" w:rsidRDefault="000B28E4">
      <w:pPr>
        <w:pStyle w:val="ListBullet"/>
      </w:pPr>
      <w:r>
        <w:t>• Legal/Compliance/Training: 500,000 ETB</w:t>
      </w:r>
    </w:p>
    <w:p w14:paraId="1558E3C9" w14:textId="77777777" w:rsidR="00C77F72" w:rsidRDefault="000B28E4">
      <w:r>
        <w:t>Total Annual Cost: 9,000,000 ETB</w:t>
      </w:r>
    </w:p>
    <w:p w14:paraId="0E274A79" w14:textId="77777777" w:rsidR="00C77F72" w:rsidRDefault="000B28E4">
      <w:r>
        <w:t>At realistic penetration (2%), Year 1 projected revenue ≈ 24 million ETB, which covers annual costs and yields an early net margin</w:t>
      </w:r>
      <w:r>
        <w:t>. By Year 3, revenue could exceed 45 million ETB, achieving solid profitability if cost control and retention improve.</w:t>
      </w:r>
    </w:p>
    <w:p w14:paraId="1460BD21" w14:textId="77777777" w:rsidR="00C77F72" w:rsidRDefault="000B28E4">
      <w:pPr>
        <w:pStyle w:val="Heading1"/>
      </w:pPr>
      <w:r>
        <w:t>6. Competitor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F72" w14:paraId="1C693329" w14:textId="77777777">
        <w:tc>
          <w:tcPr>
            <w:tcW w:w="2160" w:type="dxa"/>
          </w:tcPr>
          <w:p w14:paraId="5E44652A" w14:textId="77777777" w:rsidR="00C77F72" w:rsidRDefault="000B28E4">
            <w:r>
              <w:t>Competitor</w:t>
            </w:r>
          </w:p>
        </w:tc>
        <w:tc>
          <w:tcPr>
            <w:tcW w:w="2160" w:type="dxa"/>
          </w:tcPr>
          <w:p w14:paraId="00E9F5B9" w14:textId="77777777" w:rsidR="00C77F72" w:rsidRDefault="000B28E4">
            <w:r>
              <w:t>Type</w:t>
            </w:r>
          </w:p>
        </w:tc>
        <w:tc>
          <w:tcPr>
            <w:tcW w:w="2160" w:type="dxa"/>
          </w:tcPr>
          <w:p w14:paraId="2A84582E" w14:textId="77777777" w:rsidR="00C77F72" w:rsidRDefault="000B28E4">
            <w:r>
              <w:t>Strength</w:t>
            </w:r>
          </w:p>
        </w:tc>
        <w:tc>
          <w:tcPr>
            <w:tcW w:w="2160" w:type="dxa"/>
          </w:tcPr>
          <w:p w14:paraId="3237A95D" w14:textId="77777777" w:rsidR="00C77F72" w:rsidRDefault="000B28E4">
            <w:r>
              <w:t>Weakness</w:t>
            </w:r>
          </w:p>
        </w:tc>
      </w:tr>
      <w:tr w:rsidR="00C77F72" w14:paraId="55E5DEE7" w14:textId="77777777">
        <w:tc>
          <w:tcPr>
            <w:tcW w:w="2160" w:type="dxa"/>
          </w:tcPr>
          <w:p w14:paraId="0ADC69FA" w14:textId="77777777" w:rsidR="00C77F72" w:rsidRDefault="000B28E4">
            <w:r>
              <w:t>Awtar Health</w:t>
            </w:r>
          </w:p>
        </w:tc>
        <w:tc>
          <w:tcPr>
            <w:tcW w:w="2160" w:type="dxa"/>
          </w:tcPr>
          <w:p w14:paraId="44DA4EE2" w14:textId="77777777" w:rsidR="00C77F72" w:rsidRDefault="000B28E4">
            <w:r>
              <w:t>Local telehealth app</w:t>
            </w:r>
          </w:p>
        </w:tc>
        <w:tc>
          <w:tcPr>
            <w:tcW w:w="2160" w:type="dxa"/>
          </w:tcPr>
          <w:p w14:paraId="061118FF" w14:textId="77777777" w:rsidR="00C77F72" w:rsidRDefault="000B28E4">
            <w:r>
              <w:t>Local UX, clinical network</w:t>
            </w:r>
          </w:p>
        </w:tc>
        <w:tc>
          <w:tcPr>
            <w:tcW w:w="2160" w:type="dxa"/>
          </w:tcPr>
          <w:p w14:paraId="58F8A52F" w14:textId="77777777" w:rsidR="00C77F72" w:rsidRDefault="000B28E4">
            <w:r>
              <w:t xml:space="preserve">Limited </w:t>
            </w:r>
            <w:r>
              <w:t>specialization in mental health</w:t>
            </w:r>
          </w:p>
        </w:tc>
      </w:tr>
      <w:tr w:rsidR="00C77F72" w14:paraId="597C9D4D" w14:textId="77777777">
        <w:tc>
          <w:tcPr>
            <w:tcW w:w="2160" w:type="dxa"/>
          </w:tcPr>
          <w:p w14:paraId="6EA53428" w14:textId="77777777" w:rsidR="00C77F72" w:rsidRDefault="000B28E4">
            <w:r>
              <w:t>HelloDoctor Ethiopia</w:t>
            </w:r>
          </w:p>
        </w:tc>
        <w:tc>
          <w:tcPr>
            <w:tcW w:w="2160" w:type="dxa"/>
          </w:tcPr>
          <w:p w14:paraId="52CEE67B" w14:textId="77777777" w:rsidR="00C77F72" w:rsidRDefault="000B28E4">
            <w:r>
              <w:t>Regional telemedicine platform</w:t>
            </w:r>
          </w:p>
        </w:tc>
        <w:tc>
          <w:tcPr>
            <w:tcW w:w="2160" w:type="dxa"/>
          </w:tcPr>
          <w:p w14:paraId="666CD193" w14:textId="77777777" w:rsidR="00C77F72" w:rsidRDefault="000B28E4">
            <w:r>
              <w:t>Brand recognition</w:t>
            </w:r>
          </w:p>
        </w:tc>
        <w:tc>
          <w:tcPr>
            <w:tcW w:w="2160" w:type="dxa"/>
          </w:tcPr>
          <w:p w14:paraId="77B0ECE2" w14:textId="77777777" w:rsidR="00C77F72" w:rsidRDefault="000B28E4">
            <w:r>
              <w:t>Generalist service</w:t>
            </w:r>
          </w:p>
        </w:tc>
      </w:tr>
      <w:tr w:rsidR="00C77F72" w14:paraId="3CAA42B7" w14:textId="77777777">
        <w:tc>
          <w:tcPr>
            <w:tcW w:w="2160" w:type="dxa"/>
          </w:tcPr>
          <w:p w14:paraId="1CAB6EEA" w14:textId="77777777" w:rsidR="00C77F72" w:rsidRDefault="000B28E4">
            <w:r>
              <w:t>Sheba Telemed</w:t>
            </w:r>
          </w:p>
        </w:tc>
        <w:tc>
          <w:tcPr>
            <w:tcW w:w="2160" w:type="dxa"/>
          </w:tcPr>
          <w:p w14:paraId="77CAB59C" w14:textId="77777777" w:rsidR="00C77F72" w:rsidRDefault="000B28E4">
            <w:r>
              <w:t>International health platform</w:t>
            </w:r>
          </w:p>
        </w:tc>
        <w:tc>
          <w:tcPr>
            <w:tcW w:w="2160" w:type="dxa"/>
          </w:tcPr>
          <w:p w14:paraId="36A62120" w14:textId="77777777" w:rsidR="00C77F72" w:rsidRDefault="000B28E4">
            <w:r>
              <w:t>High trust, cross-border consultation</w:t>
            </w:r>
          </w:p>
        </w:tc>
        <w:tc>
          <w:tcPr>
            <w:tcW w:w="2160" w:type="dxa"/>
          </w:tcPr>
          <w:p w14:paraId="1E51A16B" w14:textId="77777777" w:rsidR="00C77F72" w:rsidRDefault="000B28E4">
            <w:r>
              <w:t>Pricing mismatch, limited local adaptation</w:t>
            </w:r>
          </w:p>
        </w:tc>
      </w:tr>
      <w:tr w:rsidR="00C77F72" w14:paraId="5309FE7D" w14:textId="77777777">
        <w:tc>
          <w:tcPr>
            <w:tcW w:w="2160" w:type="dxa"/>
          </w:tcPr>
          <w:p w14:paraId="6ACE2CD6" w14:textId="77777777" w:rsidR="00C77F72" w:rsidRDefault="000B28E4">
            <w:r>
              <w:t>BetterH</w:t>
            </w:r>
            <w:r>
              <w:t>elp (global)</w:t>
            </w:r>
          </w:p>
        </w:tc>
        <w:tc>
          <w:tcPr>
            <w:tcW w:w="2160" w:type="dxa"/>
          </w:tcPr>
          <w:p w14:paraId="029AFD17" w14:textId="77777777" w:rsidR="00C77F72" w:rsidRDefault="000B28E4">
            <w:r>
              <w:t>Global mental wellness app</w:t>
            </w:r>
          </w:p>
        </w:tc>
        <w:tc>
          <w:tcPr>
            <w:tcW w:w="2160" w:type="dxa"/>
          </w:tcPr>
          <w:p w14:paraId="0EEC0BD6" w14:textId="77777777" w:rsidR="00C77F72" w:rsidRDefault="000B28E4">
            <w:r>
              <w:t>Strong brand &amp; therapists network</w:t>
            </w:r>
          </w:p>
        </w:tc>
        <w:tc>
          <w:tcPr>
            <w:tcW w:w="2160" w:type="dxa"/>
          </w:tcPr>
          <w:p w14:paraId="108ED83B" w14:textId="77777777" w:rsidR="00C77F72" w:rsidRDefault="000B28E4">
            <w:r>
              <w:t>High cost, not localized</w:t>
            </w:r>
          </w:p>
        </w:tc>
      </w:tr>
    </w:tbl>
    <w:p w14:paraId="4174DDF2" w14:textId="77777777" w:rsidR="00C77F72" w:rsidRDefault="000B28E4">
      <w:pPr>
        <w:pStyle w:val="Heading1"/>
      </w:pPr>
      <w:r>
        <w:t>7. External Factors (Unforeseen)</w:t>
      </w:r>
    </w:p>
    <w:p w14:paraId="3B737344" w14:textId="77777777" w:rsidR="00C77F72" w:rsidRDefault="000B28E4">
      <w:pPr>
        <w:pStyle w:val="ListBullet"/>
      </w:pPr>
      <w:r>
        <w:t>• Economic instability and inflation affecting spending power</w:t>
      </w:r>
    </w:p>
    <w:p w14:paraId="5719D630" w14:textId="77777777" w:rsidR="00C77F72" w:rsidRDefault="000B28E4">
      <w:pPr>
        <w:pStyle w:val="ListBullet"/>
      </w:pPr>
      <w:r>
        <w:t>• Governmental push for digital health innovation (positive)</w:t>
      </w:r>
    </w:p>
    <w:p w14:paraId="153ACB27" w14:textId="77777777" w:rsidR="00C77F72" w:rsidRDefault="000B28E4">
      <w:pPr>
        <w:pStyle w:val="ListBullet"/>
      </w:pPr>
      <w:r>
        <w:t>• Limited mental health professionals to partner with (constraint)</w:t>
      </w:r>
    </w:p>
    <w:p w14:paraId="0B90573C" w14:textId="77777777" w:rsidR="00C77F72" w:rsidRDefault="000B28E4">
      <w:pPr>
        <w:pStyle w:val="ListBullet"/>
      </w:pPr>
      <w:r>
        <w:t>• Low digital literacy in rural areas (barrier)</w:t>
      </w:r>
    </w:p>
    <w:p w14:paraId="3B6F57E3" w14:textId="77777777" w:rsidR="00C77F72" w:rsidRDefault="000B28E4">
      <w:pPr>
        <w:pStyle w:val="ListBullet"/>
      </w:pPr>
      <w:r>
        <w:t>• Growing smartphone penetration (opportunity)</w:t>
      </w:r>
    </w:p>
    <w:p w14:paraId="398B770F" w14:textId="77777777" w:rsidR="00C77F72" w:rsidRDefault="000B28E4">
      <w:pPr>
        <w:pStyle w:val="ListBullet"/>
      </w:pPr>
      <w:r>
        <w:t>• Potential foreign grant/funding in mental health tech (opportunity)</w:t>
      </w:r>
    </w:p>
    <w:p w14:paraId="36633AE3" w14:textId="77777777" w:rsidR="00C77F72" w:rsidRDefault="000B28E4">
      <w:pPr>
        <w:pStyle w:val="Heading1"/>
      </w:pPr>
      <w:r>
        <w:lastRenderedPageBreak/>
        <w:t xml:space="preserve">8. Strategic </w:t>
      </w:r>
      <w:r>
        <w:t>Recommendations</w:t>
      </w:r>
    </w:p>
    <w:p w14:paraId="17D6F866" w14:textId="77777777" w:rsidR="00C77F72" w:rsidRDefault="000B28E4">
      <w:r>
        <w:t>• Start with a pilot phase targeting Addis Ababa, Bahir Dar, and Hawassa — leverage existing universities and therapy networks.</w:t>
      </w:r>
      <w:r>
        <w:br/>
        <w:t>• Secure 2–3 strategic partners (universities, NGOs, health startups) to build credibility.</w:t>
      </w:r>
      <w:r>
        <w:br/>
        <w:t>• Introduce subscrip</w:t>
      </w:r>
      <w:r>
        <w:t>tion pricing tiers (free, 600 ETB/month, 1200 ETB premium/year).</w:t>
      </w:r>
      <w:r>
        <w:br/>
        <w:t>• Prioritize mobile optimization, Amharic localization, and data privacy.</w:t>
      </w:r>
      <w:r>
        <w:br/>
        <w:t>• Seek external grants or CSR partnerships for community wellness programs.</w:t>
      </w:r>
      <w:r>
        <w:br/>
        <w:t>• Continuously collect feedback and itera</w:t>
      </w:r>
      <w:r>
        <w:t>te feature development based on local user behavior.</w:t>
      </w:r>
    </w:p>
    <w:p w14:paraId="2D04240B" w14:textId="77777777" w:rsidR="00C77F72" w:rsidRDefault="000B28E4">
      <w:pPr>
        <w:pStyle w:val="Heading1"/>
      </w:pPr>
      <w:r>
        <w:t>9. Conclusion</w:t>
      </w:r>
    </w:p>
    <w:p w14:paraId="12E77C50" w14:textId="77777777" w:rsidR="00C77F72" w:rsidRDefault="000B28E4">
      <w:r>
        <w:t>The Ethiopian mental health tech market is young but rapidly evolving. MR.CREAMS is well-positioned to capture both user demand and institutional partnerships. With realistic execution, pos</w:t>
      </w:r>
      <w:r>
        <w:t>itive cash flow is achievable by Year 2, and strong scalability from Year 3 onward. The business case is viable, provided marketing and regulatory strategies are aligned early.</w:t>
      </w:r>
    </w:p>
    <w:sectPr w:rsidR="00C77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E4"/>
    <w:rsid w:val="0015074B"/>
    <w:rsid w:val="0029639D"/>
    <w:rsid w:val="00326F90"/>
    <w:rsid w:val="00AA1D8D"/>
    <w:rsid w:val="00B47730"/>
    <w:rsid w:val="00C77F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8BC3A"/>
  <w14:defaultImageDpi w14:val="300"/>
  <w15:docId w15:val="{D6401CAA-9AA4-FE49-A9E1-C71C585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CE841B-B722-164D-8210-77CD310C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2025-11-01T17:25:00Z</dcterms:created>
  <dcterms:modified xsi:type="dcterms:W3CDTF">2025-11-01T17:25:00Z</dcterms:modified>
  <cp:category/>
</cp:coreProperties>
</file>