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b/>
          <w:bCs/>
          <w:color w:val="000000"/>
          <w:sz w:val="36"/>
          <w:szCs w:val="36"/>
        </w:rPr>
      </w:pPr>
      <w:r>
        <w:rPr>
          <w:rFonts w:hint="eastAsia" w:ascii="黑体" w:hAnsi="黑体" w:eastAsia="黑体" w:cs="黑体"/>
          <w:b/>
          <w:bCs/>
          <w:color w:val="000000"/>
          <w:sz w:val="36"/>
          <w:szCs w:val="36"/>
        </w:rPr>
        <w:t>光大理财“阳光橙增盈抗通胀1号（1年最低持有）”理财产品</w:t>
      </w:r>
    </w:p>
    <w:p>
      <w:pPr>
        <w:jc w:val="center"/>
        <w:rPr>
          <w:rFonts w:ascii="黑体" w:hAnsi="黑体" w:eastAsia="黑体" w:cs="黑体"/>
          <w:b/>
          <w:bCs/>
          <w:color w:val="000000"/>
          <w:sz w:val="36"/>
          <w:szCs w:val="36"/>
        </w:rPr>
      </w:pPr>
      <w:r>
        <w:rPr>
          <w:rFonts w:hint="eastAsia" w:ascii="黑体" w:hAnsi="黑体" w:eastAsia="黑体" w:cs="黑体"/>
          <w:b/>
          <w:bCs/>
          <w:color w:val="000000"/>
          <w:sz w:val="36"/>
          <w:szCs w:val="36"/>
        </w:rPr>
        <w:t>风险揭示书</w:t>
      </w:r>
    </w:p>
    <w:p>
      <w:pPr>
        <w:spacing w:line="360" w:lineRule="auto"/>
        <w:rPr>
          <w:rFonts w:ascii="宋体" w:hAnsi="宋体" w:cs="宋体"/>
          <w:color w:val="000000"/>
        </w:rPr>
      </w:pPr>
      <w:r>
        <w:rPr>
          <w:rFonts w:hint="eastAsia" w:ascii="宋体" w:hAnsi="宋体" w:cs="宋体"/>
          <w:color w:val="000000"/>
        </w:rPr>
        <w:t>尊敬的投资者：</w:t>
      </w:r>
    </w:p>
    <w:p>
      <w:pPr>
        <w:spacing w:line="360" w:lineRule="auto"/>
        <w:ind w:firstLine="420" w:firstLineChars="200"/>
        <w:rPr>
          <w:rFonts w:ascii="宋体" w:hAnsi="宋体" w:cs="宋体"/>
          <w:color w:val="000000"/>
        </w:rPr>
      </w:pPr>
      <w:r>
        <w:rPr>
          <w:rFonts w:hint="eastAsia" w:ascii="宋体" w:hAnsi="宋体" w:cs="宋体"/>
          <w:color w:val="000000"/>
        </w:rPr>
        <w:t>由于理财资金在管理运用过程中可能面临多种风险因素，根据中国银行保险监督管理委员会（以下简称“中国银保监会”）相关监管规定，</w:t>
      </w:r>
      <w:r>
        <w:rPr>
          <w:rFonts w:ascii="宋体" w:hAnsi="宋体" w:cs="宋体"/>
          <w:b/>
          <w:bCs/>
          <w:color w:val="000000"/>
          <w:u w:val="single"/>
        </w:rPr>
        <w:t>光大理财有限责任公司（以下简称“光大理财”）作为本理财产品的产品管理人郑重提示您：在您选择购买理财产品前，请仔细阅读本理财产品完整</w:t>
      </w:r>
      <w:r>
        <w:rPr>
          <w:rFonts w:hint="eastAsia" w:ascii="宋体" w:hAnsi="宋体" w:cs="宋体"/>
          <w:b/>
          <w:bCs/>
          <w:color w:val="000000"/>
          <w:u w:val="single"/>
        </w:rPr>
        <w:t>销售文件，</w:t>
      </w:r>
      <w:r>
        <w:rPr>
          <w:rFonts w:ascii="宋体" w:hAnsi="宋体" w:cs="宋体"/>
          <w:b/>
          <w:bCs/>
          <w:color w:val="000000"/>
          <w:u w:val="single"/>
        </w:rPr>
        <w:t>包括</w:t>
      </w:r>
      <w:r>
        <w:rPr>
          <w:rFonts w:hint="eastAsia" w:ascii="宋体" w:hAnsi="宋体" w:cs="宋体"/>
          <w:b/>
          <w:bCs/>
          <w:color w:val="000000"/>
          <w:u w:val="single"/>
        </w:rPr>
        <w:t>理财产品投资协议书、销售（代理销售）协议书、理财产品说明书、风险揭示书、投资者权益须知等</w:t>
      </w:r>
      <w:r>
        <w:rPr>
          <w:rFonts w:ascii="宋体" w:hAnsi="宋体" w:cs="宋体"/>
          <w:b/>
          <w:bCs/>
          <w:color w:val="000000"/>
          <w:u w:val="single"/>
        </w:rPr>
        <w:t>，了解理财产品具体情况；在您购买理财产品后，请关注本理财产品的信息披露，及时获取相关信息。</w:t>
      </w:r>
    </w:p>
    <w:p>
      <w:pPr>
        <w:spacing w:line="360" w:lineRule="auto"/>
        <w:ind w:firstLine="420"/>
        <w:rPr>
          <w:rFonts w:ascii="宋体" w:hAnsi="宋体"/>
          <w:b/>
          <w:bCs/>
          <w:color w:val="000000"/>
        </w:rPr>
      </w:pPr>
      <w:r>
        <w:rPr>
          <w:rFonts w:hint="eastAsia" w:ascii="宋体" w:hAnsi="宋体"/>
          <w:b/>
          <w:bCs/>
          <w:color w:val="000000"/>
        </w:rPr>
        <w:t>一、风险揭示</w:t>
      </w:r>
    </w:p>
    <w:p>
      <w:pPr>
        <w:spacing w:line="360" w:lineRule="auto"/>
        <w:ind w:firstLine="420" w:firstLineChars="200"/>
        <w:rPr>
          <w:rFonts w:ascii="宋体" w:hAnsi="宋体" w:cs="宋体"/>
          <w:color w:val="000000"/>
        </w:rPr>
      </w:pPr>
      <w:r>
        <w:rPr>
          <w:rFonts w:hint="eastAsia" w:ascii="宋体" w:hAnsi="宋体" w:cs="宋体"/>
          <w:color w:val="000000"/>
        </w:rPr>
        <w:t>请投资者根据自身理财目标、投资经验、财务状况、风险承受能力以及其他相关情况慎重考虑购买理财产品。本风险揭示书列示的风险指理财产品项下可能涉及的风险，包括但不限于：</w:t>
      </w:r>
    </w:p>
    <w:p>
      <w:pPr>
        <w:spacing w:line="360" w:lineRule="auto"/>
        <w:ind w:firstLine="422" w:firstLineChars="200"/>
        <w:rPr>
          <w:rFonts w:ascii="宋体" w:hAnsi="宋体" w:cs="宋体"/>
          <w:color w:val="000000"/>
        </w:rPr>
      </w:pPr>
      <w:r>
        <w:rPr>
          <w:rFonts w:hint="eastAsia" w:ascii="宋体" w:hAnsi="宋体" w:cs="宋体"/>
          <w:b/>
          <w:bCs/>
          <w:color w:val="000000"/>
        </w:rPr>
        <w:t>1.政策风险：</w:t>
      </w:r>
      <w:r>
        <w:rPr>
          <w:rFonts w:hint="eastAsia" w:ascii="宋体" w:hAnsi="宋体" w:cs="宋体"/>
          <w:color w:val="000000"/>
        </w:rPr>
        <w:t>本理财产品是根据当前的相关法律法规、监管规定和国家政策设计的。如国家宏观政策以及市场相关法律法规、监管规定发生变化，可能影响理财产品的发行、交易、投资、兑付等工作流程的正常进行，从而影响本理财产品的投资运作，则投资者可能面临本金和收益遭受部分甚至全部损失的风险。</w:t>
      </w:r>
    </w:p>
    <w:p>
      <w:pPr>
        <w:spacing w:line="360" w:lineRule="auto"/>
        <w:ind w:firstLine="422" w:firstLineChars="200"/>
        <w:rPr>
          <w:rFonts w:ascii="宋体" w:hAnsi="宋体" w:cs="宋体"/>
          <w:color w:val="000000"/>
        </w:rPr>
      </w:pPr>
      <w:r>
        <w:rPr>
          <w:rFonts w:hint="eastAsia" w:ascii="宋体" w:hAnsi="宋体" w:cs="宋体"/>
          <w:b/>
          <w:bCs/>
          <w:color w:val="000000"/>
        </w:rPr>
        <w:t>2.信用风险：</w:t>
      </w:r>
      <w:r>
        <w:rPr>
          <w:rFonts w:hint="eastAsia" w:ascii="宋体" w:hAnsi="宋体" w:cs="宋体"/>
          <w:color w:val="000000"/>
        </w:rPr>
        <w:t>投资者面临本理财产品所投资的资产或资产组合项下义务人可能出现信用违约情形，则投资者可能面临本金和收益遭受部分甚至全部损失的风险。</w:t>
      </w:r>
    </w:p>
    <w:p>
      <w:pPr>
        <w:spacing w:line="360" w:lineRule="auto"/>
        <w:ind w:firstLine="422" w:firstLineChars="200"/>
        <w:rPr>
          <w:rFonts w:ascii="宋体" w:hAnsi="宋体" w:cs="宋体"/>
          <w:color w:val="000000"/>
        </w:rPr>
      </w:pPr>
      <w:r>
        <w:rPr>
          <w:rFonts w:hint="eastAsia" w:ascii="宋体" w:hAnsi="宋体" w:cs="宋体"/>
          <w:b/>
          <w:bCs/>
          <w:color w:val="000000"/>
        </w:rPr>
        <w:t>3.市场风险：</w:t>
      </w:r>
      <w:r>
        <w:rPr>
          <w:rFonts w:hint="eastAsia" w:ascii="宋体" w:hAnsi="宋体" w:cs="宋体"/>
          <w:color w:val="000000"/>
        </w:rPr>
        <w:t>在理财产品销售文件约定的投资范围内，产品可能面临国家政策、经济周期、利率、汇率等因素发生变化。受以上情况及未来可能出现的其他重要市场因素变化的影响，本理财产品所投资的资产或资产组合价值可能出现波动，从而影响本理财产品的收益，则投资者可能面临本金和收益遭受部分甚至全部损失的风险。</w:t>
      </w:r>
    </w:p>
    <w:p>
      <w:pPr>
        <w:spacing w:line="360" w:lineRule="auto"/>
        <w:ind w:firstLine="422" w:firstLineChars="200"/>
        <w:rPr>
          <w:rFonts w:ascii="宋体" w:hAnsi="宋体" w:cs="宋体"/>
          <w:color w:val="000000"/>
        </w:rPr>
      </w:pPr>
      <w:r>
        <w:rPr>
          <w:rFonts w:hint="eastAsia" w:ascii="宋体" w:hAnsi="宋体" w:cs="宋体"/>
          <w:b/>
          <w:bCs/>
          <w:color w:val="000000"/>
        </w:rPr>
        <w:t>4.流动性风险：</w:t>
      </w:r>
      <w:r>
        <w:rPr>
          <w:rFonts w:hint="eastAsia" w:ascii="宋体" w:hAnsi="宋体" w:cs="宋体"/>
          <w:color w:val="000000"/>
        </w:rPr>
        <w:t>若在开放日发生巨额赎回，产品管理人可以根据本理财产品当时的资产组合状况决定接受全额赎回或部分延期赎回；投资者在本理财产品的暂停赎回日（若有，以公告披露为准）</w:t>
      </w:r>
      <w:r>
        <w:rPr>
          <w:rFonts w:hint="eastAsia" w:ascii="宋体" w:hAnsi="宋体" w:cs="宋体"/>
          <w:color w:val="000000"/>
          <w:highlight w:val="none"/>
          <w:lang w:val="en-US" w:eastAsia="zh-CN"/>
        </w:rPr>
        <w:t>以及最低持有期内</w:t>
      </w:r>
      <w:r>
        <w:rPr>
          <w:rFonts w:hint="eastAsia" w:ascii="宋体" w:hAnsi="宋体" w:cs="宋体"/>
          <w:color w:val="000000"/>
        </w:rPr>
        <w:t>无提前终止权或赎回权。上述情况将导致投资者在需要资金时不能随时变现，并在本理财产品的理财期限内使投资者丧失其他投资机会。</w:t>
      </w:r>
    </w:p>
    <w:p>
      <w:pPr>
        <w:spacing w:line="360" w:lineRule="auto"/>
        <w:ind w:firstLine="422" w:firstLineChars="200"/>
        <w:rPr>
          <w:rFonts w:ascii="宋体" w:hAnsi="宋体" w:cs="宋体"/>
          <w:color w:val="000000"/>
        </w:rPr>
      </w:pPr>
      <w:r>
        <w:rPr>
          <w:rFonts w:hint="eastAsia" w:ascii="宋体" w:hAnsi="宋体" w:cs="宋体"/>
          <w:b/>
          <w:bCs/>
          <w:color w:val="000000"/>
        </w:rPr>
        <w:t>5.管理风险：</w:t>
      </w:r>
      <w:r>
        <w:rPr>
          <w:rFonts w:hint="eastAsia" w:ascii="宋体" w:hAnsi="宋体" w:cs="宋体"/>
          <w:color w:val="000000"/>
        </w:rPr>
        <w:t>在本理财产品运作过程中，投资管理各方受经验、技能、执行力等综合因素的限制，可能会对本理财产品的运作和管理造成一定影响，则投资者可能面临本金和收益遭受部分甚至全部损失的风险。</w:t>
      </w:r>
    </w:p>
    <w:p>
      <w:pPr>
        <w:spacing w:line="360" w:lineRule="auto"/>
        <w:ind w:firstLine="422" w:firstLineChars="200"/>
        <w:rPr>
          <w:rFonts w:ascii="宋体" w:hAnsi="宋体" w:cs="宋体"/>
          <w:szCs w:val="21"/>
        </w:rPr>
      </w:pPr>
      <w:r>
        <w:rPr>
          <w:rFonts w:hint="eastAsia" w:ascii="宋体" w:hAnsi="宋体" w:cs="宋体"/>
          <w:b/>
          <w:bCs/>
          <w:szCs w:val="21"/>
        </w:rPr>
        <w:t>6.操作风险：</w:t>
      </w:r>
      <w:r>
        <w:rPr>
          <w:rFonts w:hint="eastAsia" w:ascii="宋体" w:hAnsi="宋体" w:cs="宋体"/>
          <w:szCs w:val="21"/>
        </w:rPr>
        <w:t>如本理财产品管理人由于内部作业、人员管理、系统操作及事务处理不当或失误等，则投资者可能面临本金和收益遭受部分甚至全部损失的风险。</w:t>
      </w:r>
    </w:p>
    <w:p>
      <w:pPr>
        <w:spacing w:line="360" w:lineRule="auto"/>
        <w:ind w:firstLine="422" w:firstLineChars="200"/>
        <w:rPr>
          <w:rFonts w:ascii="宋体" w:hAnsi="宋体" w:cs="宋体"/>
          <w:szCs w:val="21"/>
        </w:rPr>
      </w:pPr>
      <w:r>
        <w:rPr>
          <w:rFonts w:hint="eastAsia" w:ascii="宋体" w:hAnsi="宋体" w:cs="宋体"/>
          <w:b/>
          <w:bCs/>
          <w:szCs w:val="21"/>
        </w:rPr>
        <w:t>7.产品不成立风险：</w:t>
      </w:r>
      <w:r>
        <w:rPr>
          <w:rFonts w:hint="eastAsia" w:ascii="宋体" w:hAnsi="宋体" w:cs="宋体"/>
          <w:szCs w:val="21"/>
        </w:rPr>
        <w:t>如果因募集规模低于理财产品说明书约定的最低规模或其他因素导致本理财产品不能成立的情形，产品管理人有权宣布本理财产品不成立，投资者将面临产品不成立再投资的风险。</w:t>
      </w:r>
    </w:p>
    <w:p>
      <w:pPr>
        <w:spacing w:line="360" w:lineRule="auto"/>
        <w:ind w:firstLine="422" w:firstLineChars="200"/>
        <w:rPr>
          <w:rFonts w:hint="eastAsia" w:ascii="宋体" w:hAnsi="宋体" w:cs="宋体"/>
          <w:b/>
          <w:bCs/>
          <w:szCs w:val="21"/>
        </w:rPr>
      </w:pPr>
      <w:r>
        <w:rPr>
          <w:rFonts w:hint="eastAsia" w:ascii="宋体" w:hAnsi="宋体" w:cs="宋体"/>
          <w:b/>
          <w:bCs/>
          <w:szCs w:val="21"/>
        </w:rPr>
        <w:t>8.兑付延期风险：</w:t>
      </w:r>
      <w:r>
        <w:rPr>
          <w:rFonts w:hint="eastAsia" w:ascii="宋体" w:hAnsi="宋体" w:cs="宋体"/>
          <w:szCs w:val="21"/>
        </w:rPr>
        <w:t>因缺乏意愿交易对手、市场成交量不足、资产限制赎回、暂停交易、所投资产发生风险或不能及时变现、发生不可抗力（包括但不限于政府行为、自然灾害、疫情等），及其他产品管理人认为需要延期兑付的情形，可能引发产品管理人不能按时支付清算资金，从而致使投资者可能面临产品兑付延期、兑付方案调整等风险，投资者由此可能面临本金和收益遭受部分甚至全部损失的风险。</w:t>
      </w:r>
    </w:p>
    <w:p>
      <w:pPr>
        <w:spacing w:line="360" w:lineRule="auto"/>
        <w:ind w:firstLine="422" w:firstLineChars="200"/>
        <w:rPr>
          <w:rFonts w:ascii="宋体" w:hAnsi="宋体" w:cs="宋体"/>
          <w:szCs w:val="21"/>
        </w:rPr>
      </w:pPr>
      <w:r>
        <w:rPr>
          <w:rFonts w:hint="eastAsia" w:ascii="宋体" w:hAnsi="宋体" w:cs="宋体"/>
          <w:b/>
          <w:bCs/>
          <w:szCs w:val="21"/>
        </w:rPr>
        <w:t>9.提前终止风险：</w:t>
      </w:r>
      <w:r>
        <w:rPr>
          <w:rFonts w:hint="eastAsia" w:ascii="宋体" w:hAnsi="宋体" w:cs="宋体"/>
          <w:szCs w:val="21"/>
        </w:rPr>
        <w:t>为保护投资者利益，在本理财产品存续期间，产品管理人可根据本理财产品说明书约定的情况提前终止本理财产品。同时，由于</w:t>
      </w:r>
      <w:r>
        <w:rPr>
          <w:rFonts w:ascii="宋体" w:hAnsi="宋体" w:cs="宋体"/>
          <w:szCs w:val="21"/>
        </w:rPr>
        <w:t>不可抗力及/或意外事件导致产品管理人无法继续履行理财产品</w:t>
      </w:r>
      <w:r>
        <w:rPr>
          <w:rFonts w:hint="eastAsia" w:ascii="宋体" w:hAnsi="宋体" w:cs="宋体"/>
          <w:szCs w:val="21"/>
        </w:rPr>
        <w:t>销售文件约定</w:t>
      </w:r>
      <w:r>
        <w:rPr>
          <w:rFonts w:ascii="宋体" w:hAnsi="宋体" w:cs="宋体"/>
          <w:szCs w:val="21"/>
        </w:rPr>
        <w:t>的，产品管理人有权提前</w:t>
      </w:r>
      <w:r>
        <w:rPr>
          <w:rFonts w:hint="eastAsia" w:ascii="宋体" w:hAnsi="宋体" w:cs="宋体"/>
          <w:szCs w:val="21"/>
        </w:rPr>
        <w:t>终止部分或全部</w:t>
      </w:r>
      <w:r>
        <w:rPr>
          <w:rFonts w:ascii="宋体" w:hAnsi="宋体" w:cs="宋体"/>
          <w:szCs w:val="21"/>
        </w:rPr>
        <w:t>理财产品</w:t>
      </w:r>
      <w:r>
        <w:rPr>
          <w:rFonts w:hint="eastAsia" w:ascii="宋体" w:hAnsi="宋体" w:cs="宋体"/>
          <w:szCs w:val="21"/>
        </w:rPr>
        <w:t>销售文件</w:t>
      </w:r>
      <w:r>
        <w:rPr>
          <w:rFonts w:ascii="宋体" w:hAnsi="宋体" w:cs="宋体"/>
          <w:szCs w:val="21"/>
        </w:rPr>
        <w:t>，并将发生不可抗力及/或意外事件后剩余的投资者应得理财资金划付至投资者清算账户</w:t>
      </w:r>
      <w:r>
        <w:rPr>
          <w:rFonts w:hint="eastAsia" w:ascii="宋体" w:hAnsi="宋体" w:cs="宋体"/>
          <w:szCs w:val="21"/>
        </w:rPr>
        <w:t>。此外，如国家宏观政策、市场相关法律、行政法规或政策等发生变化，可能导致理财产品提前终止</w:t>
      </w:r>
      <w:r>
        <w:rPr>
          <w:rFonts w:hint="eastAsia" w:ascii="宋体" w:hAnsi="宋体" w:cs="宋体"/>
          <w:color w:val="000000"/>
          <w:szCs w:val="21"/>
        </w:rPr>
        <w:t>。上述情况下，</w:t>
      </w:r>
      <w:r>
        <w:rPr>
          <w:rFonts w:hint="eastAsia" w:ascii="宋体" w:hAnsi="宋体" w:cs="宋体"/>
          <w:szCs w:val="21"/>
        </w:rPr>
        <w:t>投资者可能面临产品提前终止后再投资的风险。</w:t>
      </w:r>
    </w:p>
    <w:p>
      <w:pPr>
        <w:spacing w:line="360" w:lineRule="auto"/>
        <w:ind w:firstLine="422" w:firstLineChars="200"/>
        <w:rPr>
          <w:rFonts w:ascii="宋体" w:hAnsi="宋体" w:cs="宋体"/>
          <w:szCs w:val="21"/>
        </w:rPr>
      </w:pPr>
      <w:r>
        <w:rPr>
          <w:rFonts w:hint="eastAsia" w:ascii="宋体" w:hAnsi="宋体" w:cs="宋体"/>
          <w:b/>
          <w:bCs/>
          <w:szCs w:val="21"/>
        </w:rPr>
        <w:t>10.信息传递风险：</w:t>
      </w:r>
      <w:r>
        <w:rPr>
          <w:rFonts w:hint="eastAsia" w:ascii="宋体" w:hAnsi="宋体" w:cs="宋体"/>
          <w:szCs w:val="21"/>
        </w:rPr>
        <w:t>产品管理人将按照本理财产品销售文件中规定的信息披露方式及披露途径向投资者公示本理财产品的各类信息和重大事件，投资者应及时查询了解。如投资者未及时查询相关信息或由于不可抗力及/或意外事件的影响使得投资者无法及时了解理财产品信息，进而影响投资者的投资决策，因此而产生的责任和风险由投资者自行承担。投资者预留的有效联系方式发生变更的，亦应及时通知产品管理人。如投资者未及时告知产品管理人联系方式变更或产品管理人在其认为需要时无法及时联系到投资者的，可能会影响投资者的投资决策，因此产生的责任和风险由投资者自行承担。</w:t>
      </w:r>
    </w:p>
    <w:p>
      <w:pPr>
        <w:spacing w:line="360" w:lineRule="auto"/>
        <w:ind w:firstLine="422" w:firstLineChars="200"/>
        <w:rPr>
          <w:rFonts w:ascii="仿宋_GB2312" w:hAnsi="仿宋_GB2312" w:eastAsia="仿宋_GB2312"/>
          <w:color w:val="000000"/>
          <w:sz w:val="24"/>
        </w:rPr>
      </w:pPr>
      <w:r>
        <w:rPr>
          <w:rFonts w:hint="eastAsia" w:ascii="宋体" w:hAnsi="宋体" w:cs="宋体"/>
          <w:b/>
          <w:bCs/>
          <w:szCs w:val="21"/>
        </w:rPr>
        <w:t>11.销售风险：</w:t>
      </w:r>
      <w:r>
        <w:rPr>
          <w:rFonts w:hint="eastAsia" w:ascii="宋体" w:hAnsi="宋体" w:cs="宋体"/>
          <w:szCs w:val="21"/>
        </w:rPr>
        <w:t>本理财产品通过代理销售渠道销售，投资者</w:t>
      </w:r>
      <w:r>
        <w:rPr>
          <w:rFonts w:hint="eastAsia" w:ascii="宋体" w:hAnsi="宋体" w:cs="宋体"/>
          <w:szCs w:val="21"/>
          <w:lang w:val="en-US" w:eastAsia="zh-CN"/>
        </w:rPr>
        <w:t>认/申购</w:t>
      </w:r>
      <w:r>
        <w:rPr>
          <w:rFonts w:hint="eastAsia" w:ascii="宋体" w:hAnsi="宋体" w:cs="宋体"/>
          <w:szCs w:val="21"/>
        </w:rPr>
        <w:t>理财产品的资金由销售服务机构从投资者资金账户扣收；份额赎回时，赎回资金按本理财产品销售文件约定划付至销售服务机构清算账户后，由销售服务机构向投资者划付投资者应得赎回资金。如因投资者资金账户余额不足，或销售服务机构未及时足额划付资金，或销售服务机构清算账户内资金被依法冻结或扣划，或销售服务机构清算账户处于被挂失、冻结、注销或其他非正常状态等原因而导致交易失败，对于因上述原因导致的交易失败可能带来的任何损失及预期损失，投资者须自行承担或向销售服务机构依法主张。</w:t>
      </w:r>
    </w:p>
    <w:p>
      <w:pPr>
        <w:spacing w:line="360" w:lineRule="auto"/>
        <w:ind w:firstLine="422" w:firstLineChars="200"/>
        <w:rPr>
          <w:rFonts w:ascii="宋体" w:hAnsi="宋体" w:cs="宋体"/>
          <w:b/>
          <w:bCs/>
          <w:szCs w:val="21"/>
        </w:rPr>
      </w:pPr>
      <w:r>
        <w:rPr>
          <w:rFonts w:hint="eastAsia" w:ascii="宋体" w:hAnsi="宋体" w:cs="宋体"/>
          <w:b/>
          <w:bCs/>
          <w:szCs w:val="21"/>
        </w:rPr>
        <w:t>1</w:t>
      </w:r>
      <w:r>
        <w:rPr>
          <w:rFonts w:ascii="宋体" w:hAnsi="宋体" w:cs="宋体"/>
          <w:b/>
          <w:bCs/>
          <w:szCs w:val="21"/>
        </w:rPr>
        <w:t>2</w:t>
      </w:r>
      <w:r>
        <w:rPr>
          <w:rFonts w:hint="eastAsia" w:ascii="宋体" w:hAnsi="宋体" w:cs="宋体"/>
          <w:b/>
          <w:bCs/>
          <w:szCs w:val="21"/>
        </w:rPr>
        <w:t>.标的资产的特别投资风险</w:t>
      </w:r>
      <w:r>
        <w:rPr>
          <w:rFonts w:ascii="宋体" w:hAnsi="宋体" w:cs="宋体"/>
          <w:b/>
          <w:bCs/>
          <w:szCs w:val="21"/>
        </w:rPr>
        <w:t>：</w:t>
      </w:r>
    </w:p>
    <w:p>
      <w:pPr>
        <w:spacing w:line="360" w:lineRule="auto"/>
        <w:ind w:firstLine="420" w:firstLineChars="200"/>
        <w:rPr>
          <w:rFonts w:ascii="宋体" w:hAnsi="宋体" w:cs="宋体"/>
          <w:szCs w:val="21"/>
        </w:rPr>
      </w:pPr>
      <w:r>
        <w:rPr>
          <w:rFonts w:ascii="宋体" w:hAnsi="宋体" w:cs="宋体"/>
          <w:szCs w:val="21"/>
        </w:rPr>
        <w:t>本理财产品</w:t>
      </w:r>
      <w:r>
        <w:rPr>
          <w:rFonts w:hint="eastAsia" w:ascii="宋体" w:hAnsi="宋体" w:cs="宋体"/>
          <w:szCs w:val="21"/>
        </w:rPr>
        <w:t>可</w:t>
      </w:r>
      <w:r>
        <w:rPr>
          <w:rFonts w:ascii="宋体" w:hAnsi="宋体" w:cs="宋体"/>
          <w:szCs w:val="21"/>
        </w:rPr>
        <w:t>投资非标准化债权类资产，或将出现如下标的资产的特别投资风险：</w:t>
      </w:r>
    </w:p>
    <w:p>
      <w:pPr>
        <w:spacing w:line="360" w:lineRule="auto"/>
        <w:ind w:firstLine="422" w:firstLineChars="200"/>
        <w:rPr>
          <w:rFonts w:ascii="宋体" w:hAnsi="宋体"/>
        </w:rPr>
      </w:pPr>
      <w:r>
        <w:rPr>
          <w:rFonts w:hint="eastAsia" w:ascii="宋体" w:hAnsi="宋体"/>
          <w:b/>
          <w:bCs/>
        </w:rPr>
        <w:t>（</w:t>
      </w:r>
      <w:r>
        <w:rPr>
          <w:rFonts w:ascii="宋体" w:hAnsi="宋体"/>
          <w:b/>
          <w:bCs/>
        </w:rPr>
        <w:t>1</w:t>
      </w:r>
      <w:r>
        <w:rPr>
          <w:rFonts w:hint="eastAsia" w:ascii="宋体" w:hAnsi="宋体"/>
          <w:b/>
          <w:bCs/>
        </w:rPr>
        <w:t>）资产选择风险</w:t>
      </w:r>
      <w:r>
        <w:rPr>
          <w:rFonts w:ascii="宋体" w:hAnsi="宋体"/>
          <w:b/>
          <w:bCs/>
        </w:rPr>
        <w:t>：</w:t>
      </w:r>
      <w:r>
        <w:rPr>
          <w:rFonts w:ascii="宋体" w:hAnsi="宋体"/>
        </w:rPr>
        <w:t>在标的资产选择及投资时，受制于产品管理人的管理能力，可能因标的资产选择失败而直接影响标的资产投资收益甚至发生投资失败的风险，</w:t>
      </w:r>
      <w:r>
        <w:rPr>
          <w:rFonts w:hint="eastAsia" w:ascii="宋体" w:hAnsi="宋体" w:cs="宋体"/>
          <w:szCs w:val="21"/>
        </w:rPr>
        <w:t>则投资者可能面临本金和收益遭受部分甚至全部损失的风险</w:t>
      </w:r>
      <w:r>
        <w:rPr>
          <w:rFonts w:ascii="宋体" w:hAnsi="宋体"/>
        </w:rPr>
        <w:t>；</w:t>
      </w:r>
    </w:p>
    <w:p>
      <w:pPr>
        <w:spacing w:line="360" w:lineRule="auto"/>
        <w:ind w:firstLine="422" w:firstLineChars="200"/>
        <w:rPr>
          <w:rFonts w:ascii="宋体" w:hAnsi="宋体"/>
        </w:rPr>
      </w:pPr>
      <w:r>
        <w:rPr>
          <w:rFonts w:ascii="宋体" w:hAnsi="宋体"/>
          <w:b/>
          <w:bCs/>
        </w:rPr>
        <w:t>（2）资产经营风险：</w:t>
      </w:r>
      <w:r>
        <w:rPr>
          <w:rFonts w:ascii="宋体" w:hAnsi="宋体"/>
        </w:rPr>
        <w:t>本理财产品投资的标的资产可能由于经济周期、行业竞争、市场前景、管理能力、盈利模式、财务状况等变化发生经营不善，甚至可能发生资不抵债、破产清算、被兼并收购等状况，</w:t>
      </w:r>
      <w:r>
        <w:rPr>
          <w:rFonts w:hint="eastAsia" w:ascii="宋体" w:hAnsi="宋体" w:cs="宋体"/>
          <w:szCs w:val="21"/>
        </w:rPr>
        <w:t>则投资者可能面临本金和收益遭受部分甚至全部损失的风险</w:t>
      </w:r>
      <w:r>
        <w:rPr>
          <w:rFonts w:ascii="宋体" w:hAnsi="宋体"/>
        </w:rPr>
        <w:t>。</w:t>
      </w:r>
    </w:p>
    <w:p>
      <w:pPr>
        <w:spacing w:line="360" w:lineRule="auto"/>
        <w:ind w:firstLine="422" w:firstLineChars="200"/>
        <w:rPr>
          <w:rFonts w:ascii="宋体" w:hAnsi="宋体" w:cs="宋体"/>
          <w:szCs w:val="21"/>
        </w:rPr>
      </w:pPr>
      <w:r>
        <w:rPr>
          <w:rFonts w:hint="eastAsia" w:ascii="宋体" w:hAnsi="宋体" w:cs="宋体"/>
          <w:b/>
          <w:szCs w:val="21"/>
        </w:rPr>
        <w:t>1</w:t>
      </w:r>
      <w:r>
        <w:rPr>
          <w:rFonts w:hint="eastAsia" w:ascii="宋体" w:hAnsi="宋体" w:cs="宋体"/>
          <w:b/>
          <w:szCs w:val="21"/>
          <w:lang w:val="en-US" w:eastAsia="zh-CN"/>
        </w:rPr>
        <w:t>3</w:t>
      </w:r>
      <w:r>
        <w:rPr>
          <w:rFonts w:hint="eastAsia" w:ascii="宋体" w:hAnsi="宋体" w:cs="宋体"/>
          <w:b/>
          <w:szCs w:val="21"/>
        </w:rPr>
        <w:t>.其它风险</w:t>
      </w:r>
      <w:r>
        <w:rPr>
          <w:rFonts w:hint="eastAsia" w:ascii="宋体" w:hAnsi="宋体" w:cs="宋体"/>
          <w:szCs w:val="21"/>
        </w:rPr>
        <w:t>：自然灾害、疫情、严重传染病、金融市场危机、战争等不能预见、不能避免、不能克服的不可抗力因素，及</w:t>
      </w:r>
      <w:r>
        <w:rPr>
          <w:rFonts w:ascii="宋体" w:hAnsi="宋体" w:cs="宋体"/>
          <w:szCs w:val="21"/>
        </w:rPr>
        <w:t>/</w:t>
      </w:r>
      <w:r>
        <w:rPr>
          <w:rFonts w:hint="eastAsia" w:ascii="宋体" w:hAnsi="宋体" w:cs="宋体"/>
          <w:szCs w:val="21"/>
        </w:rPr>
        <w:t>或系统故障、通讯故障、投资市场停止交易等意外事件</w:t>
      </w:r>
      <w:r>
        <w:rPr>
          <w:rFonts w:ascii="宋体" w:hAnsi="宋体" w:cs="宋体"/>
          <w:szCs w:val="21"/>
        </w:rPr>
        <w:t>非产品管理人所能控制的原因</w:t>
      </w:r>
      <w:r>
        <w:rPr>
          <w:rFonts w:hint="eastAsia" w:ascii="宋体" w:hAnsi="宋体" w:cs="宋体"/>
          <w:szCs w:val="21"/>
        </w:rPr>
        <w:t>发生，可能对本理财产品的受理、成立、投资运作、资金返还、信息披露、公告通知等造成影响，甚至可能导致本理财产品本金和收益率的降低或损失，以及本金或收益延迟支付。对于由不可抗力及</w:t>
      </w:r>
      <w:r>
        <w:rPr>
          <w:rFonts w:ascii="宋体" w:hAnsi="宋体" w:cs="宋体"/>
          <w:szCs w:val="21"/>
        </w:rPr>
        <w:t>/或</w:t>
      </w:r>
      <w:r>
        <w:rPr>
          <w:rFonts w:hint="eastAsia" w:ascii="宋体" w:hAnsi="宋体" w:cs="宋体"/>
          <w:szCs w:val="21"/>
        </w:rPr>
        <w:t>意外事件风险导致的任何损失和延迟支付，投资者须自行承担。</w:t>
      </w:r>
    </w:p>
    <w:p>
      <w:pPr>
        <w:spacing w:line="360" w:lineRule="auto"/>
        <w:ind w:firstLine="422" w:firstLineChars="200"/>
        <w:rPr>
          <w:rFonts w:ascii="宋体" w:hAnsi="宋体"/>
          <w:b/>
          <w:bCs/>
          <w:color w:val="000000"/>
        </w:rPr>
      </w:pPr>
      <w:r>
        <w:rPr>
          <w:rFonts w:hint="eastAsia" w:ascii="宋体" w:hAnsi="宋体"/>
          <w:b/>
          <w:bCs/>
          <w:color w:val="000000"/>
        </w:rPr>
        <w:t>二、投资者提示</w:t>
      </w:r>
    </w:p>
    <w:p>
      <w:pPr>
        <w:spacing w:line="360" w:lineRule="auto"/>
        <w:ind w:firstLine="422" w:firstLineChars="200"/>
        <w:rPr>
          <w:rFonts w:ascii="宋体" w:hAnsi="宋体" w:cs="宋体"/>
          <w:b/>
          <w:bCs/>
          <w:color w:val="000000"/>
          <w:u w:val="single"/>
        </w:rPr>
      </w:pPr>
      <w:r>
        <w:rPr>
          <w:rFonts w:ascii="宋体" w:hAnsi="宋体" w:cs="宋体"/>
          <w:b/>
          <w:bCs/>
          <w:color w:val="000000"/>
          <w:u w:val="single"/>
        </w:rPr>
        <w:t>1.理财非存款、产品有风险、投资须谨慎。</w:t>
      </w:r>
    </w:p>
    <w:p>
      <w:pPr>
        <w:spacing w:line="360" w:lineRule="auto"/>
        <w:ind w:firstLine="422" w:firstLineChars="200"/>
        <w:rPr>
          <w:rFonts w:ascii="宋体" w:hAnsi="宋体" w:cs="宋体"/>
          <w:b/>
          <w:bCs/>
          <w:color w:val="000000"/>
        </w:rPr>
      </w:pPr>
      <w:r>
        <w:rPr>
          <w:rFonts w:ascii="宋体" w:hAnsi="宋体" w:cs="宋体"/>
          <w:b/>
          <w:bCs/>
          <w:color w:val="000000"/>
        </w:rPr>
        <w:t>2</w:t>
      </w:r>
      <w:r>
        <w:rPr>
          <w:rFonts w:hint="eastAsia" w:ascii="宋体" w:hAnsi="宋体" w:cs="宋体"/>
          <w:b/>
          <w:bCs/>
          <w:color w:val="000000"/>
        </w:rPr>
        <w:t>.本理财产品不保证本金及收益，您的本金可能因市场变动而蒙受相应损失</w:t>
      </w:r>
      <w:r>
        <w:rPr>
          <w:rFonts w:ascii="宋体" w:hAnsi="宋体" w:cs="宋体"/>
          <w:b/>
          <w:bCs/>
          <w:color w:val="000000"/>
        </w:rPr>
        <w:t>。</w:t>
      </w:r>
      <w:r>
        <w:rPr>
          <w:rFonts w:hint="eastAsia" w:ascii="宋体" w:hAnsi="宋体" w:cs="宋体"/>
          <w:b/>
          <w:bCs/>
          <w:color w:val="000000"/>
        </w:rPr>
        <w:t>投资者应充分认识投资风险，谨慎投资。</w:t>
      </w:r>
    </w:p>
    <w:p>
      <w:pPr>
        <w:spacing w:line="360" w:lineRule="auto"/>
        <w:ind w:firstLine="422" w:firstLineChars="200"/>
        <w:rPr>
          <w:rFonts w:ascii="宋体" w:hAnsi="宋体" w:cs="宋体"/>
          <w:b/>
          <w:bCs/>
          <w:color w:val="000000"/>
        </w:rPr>
      </w:pPr>
      <w:r>
        <w:rPr>
          <w:rFonts w:ascii="宋体" w:hAnsi="宋体" w:cs="宋体"/>
          <w:b/>
          <w:bCs/>
          <w:color w:val="000000"/>
        </w:rPr>
        <w:t>3</w:t>
      </w:r>
      <w:r>
        <w:rPr>
          <w:rFonts w:hint="eastAsia" w:ascii="宋体" w:hAnsi="宋体" w:cs="宋体"/>
          <w:b/>
          <w:bCs/>
          <w:color w:val="000000"/>
        </w:rPr>
        <w:t>.本理财产品过往业绩不代表其未来表现，不等于理财产品实际收益，投资须谨慎。</w:t>
      </w:r>
    </w:p>
    <w:p>
      <w:pPr>
        <w:spacing w:line="360" w:lineRule="auto"/>
        <w:ind w:firstLine="420" w:firstLineChars="200"/>
        <w:rPr>
          <w:rFonts w:ascii="宋体" w:hAnsi="宋体" w:cs="宋体"/>
          <w:color w:val="000000"/>
          <w:szCs w:val="21"/>
        </w:rPr>
      </w:pPr>
      <w:r>
        <w:rPr>
          <w:rFonts w:hint="eastAsia" w:ascii="宋体" w:hAnsi="宋体" w:cs="宋体"/>
          <w:color w:val="000000"/>
          <w:szCs w:val="21"/>
        </w:rPr>
        <w:t>4.本理财产品类型为混合类，期限为持续运作,产品管理人对本理财产品的内部风险评级为</w:t>
      </w:r>
      <w:r>
        <w:rPr>
          <w:rFonts w:hint="eastAsia" w:ascii="宋体" w:hAnsi="宋体" w:cs="宋体"/>
          <w:b/>
          <w:bCs/>
          <w:color w:val="000000"/>
          <w:szCs w:val="21"/>
        </w:rPr>
        <w:t>三星级</w:t>
      </w:r>
      <w:r>
        <w:rPr>
          <w:rFonts w:hint="eastAsia" w:ascii="宋体" w:hAnsi="宋体" w:cs="宋体"/>
          <w:color w:val="000000"/>
          <w:szCs w:val="21"/>
        </w:rPr>
        <w:t>。按照光大理财产品内部风险评级，本产品适合</w:t>
      </w:r>
      <w:r>
        <w:rPr>
          <w:rFonts w:ascii="宋体" w:hAnsi="宋体" w:cs="宋体"/>
          <w:color w:val="000000"/>
          <w:szCs w:val="21"/>
        </w:rPr>
        <w:t>风险承受能力评估等级为</w:t>
      </w:r>
      <w:r>
        <w:rPr>
          <w:rFonts w:hint="eastAsia" w:ascii="宋体" w:hAnsi="宋体" w:cs="宋体"/>
          <w:b/>
          <w:bCs/>
          <w:color w:val="000000"/>
          <w:szCs w:val="21"/>
        </w:rPr>
        <w:t>平衡型</w:t>
      </w:r>
      <w:r>
        <w:rPr>
          <w:rFonts w:ascii="宋体" w:hAnsi="宋体" w:cs="宋体"/>
          <w:color w:val="000000"/>
          <w:szCs w:val="21"/>
        </w:rPr>
        <w:t>及以上</w:t>
      </w:r>
      <w:r>
        <w:rPr>
          <w:rFonts w:hint="eastAsia" w:ascii="宋体" w:hAnsi="宋体" w:cs="宋体"/>
          <w:color w:val="000000"/>
          <w:szCs w:val="21"/>
        </w:rPr>
        <w:t>的投资者。本产品通过销售服务机构渠道销售时，产品风险评级应当以销售服务机构最终披露的评级结果为准。本理财产品不保证本金和收益，投资者还应了解所购买理财产品的投资风险、类型特点和投资存在的最不利投资情形。例如，假设投资者购买本理财产品的本金为50万元人民币，在投资组合资产全部亏损的</w:t>
      </w:r>
      <w:r>
        <w:rPr>
          <w:rFonts w:hint="eastAsia" w:ascii="宋体" w:hAnsi="宋体"/>
          <w:b/>
          <w:bCs/>
        </w:rPr>
        <w:t>最不利情况下，投资者理财产品本金及收益可能面临全部损失。请投资者充分认识投资风险，谨慎投资</w:t>
      </w:r>
      <w:r>
        <w:rPr>
          <w:rFonts w:hint="eastAsia" w:ascii="宋体" w:hAnsi="宋体" w:cs="宋体"/>
          <w:color w:val="000000"/>
          <w:szCs w:val="21"/>
        </w:rPr>
        <w:t>。</w:t>
      </w:r>
    </w:p>
    <w:p>
      <w:pPr>
        <w:spacing w:line="360" w:lineRule="auto"/>
        <w:ind w:firstLine="420" w:firstLineChars="200"/>
        <w:rPr>
          <w:rFonts w:ascii="宋体" w:hAnsi="宋体" w:cs="宋体"/>
          <w:color w:val="000000"/>
          <w:szCs w:val="21"/>
        </w:rPr>
      </w:pPr>
      <w:r>
        <w:rPr>
          <w:rFonts w:hint="eastAsia" w:ascii="宋体" w:hAnsi="宋体" w:cs="宋体"/>
          <w:color w:val="000000"/>
          <w:szCs w:val="21"/>
        </w:rPr>
        <w:t>5.本产品全部销售工作及投资者适当性评估由销售服务机构负责。个人投资者应确保其在销售服务机构所作的风险承受能力评估结果由投资者本人填写，且风险承受能力等级不低于本产品风险评级。</w:t>
      </w:r>
      <w:r>
        <w:rPr>
          <w:rFonts w:hint="eastAsia" w:ascii="宋体" w:hAnsi="宋体" w:cs="宋体"/>
          <w:b/>
          <w:bCs/>
          <w:color w:val="000000"/>
          <w:szCs w:val="21"/>
          <w:u w:val="single"/>
        </w:rPr>
        <w:t>如个人投资者的</w:t>
      </w:r>
      <w:r>
        <w:rPr>
          <w:rFonts w:ascii="宋体" w:hAnsi="宋体" w:cs="宋体"/>
          <w:b/>
          <w:bCs/>
          <w:color w:val="000000"/>
          <w:szCs w:val="21"/>
          <w:u w:val="single"/>
        </w:rPr>
        <w:t>风险承受能力评估已超过一年，</w:t>
      </w:r>
      <w:r>
        <w:rPr>
          <w:rFonts w:hint="eastAsia" w:ascii="宋体" w:hAnsi="宋体" w:cs="宋体"/>
          <w:b/>
          <w:bCs/>
          <w:color w:val="000000"/>
          <w:szCs w:val="21"/>
          <w:u w:val="single"/>
        </w:rPr>
        <w:t>或影响您风险承受能力的因素发生变化，请及时完成风险承受能力的重新评估，并对评估结果签字确认</w:t>
      </w:r>
      <w:r>
        <w:rPr>
          <w:rFonts w:ascii="宋体" w:hAnsi="宋体" w:cs="宋体"/>
          <w:b/>
          <w:bCs/>
          <w:color w:val="000000"/>
          <w:szCs w:val="21"/>
          <w:u w:val="single"/>
        </w:rPr>
        <w:t>。</w:t>
      </w:r>
      <w:r>
        <w:rPr>
          <w:rFonts w:hint="eastAsia" w:ascii="宋体" w:hAnsi="宋体" w:cs="宋体"/>
          <w:color w:val="000000"/>
          <w:szCs w:val="21"/>
        </w:rPr>
        <w:t>机构投资者无需进行风险承受能力评估。</w:t>
      </w:r>
    </w:p>
    <w:p>
      <w:pPr>
        <w:spacing w:line="360" w:lineRule="auto"/>
        <w:ind w:firstLine="420" w:firstLineChars="200"/>
        <w:rPr>
          <w:rFonts w:ascii="宋体" w:hAnsi="宋体"/>
          <w:color w:val="000000"/>
        </w:rPr>
      </w:pPr>
      <w:r>
        <w:rPr>
          <w:rFonts w:hint="eastAsia" w:ascii="宋体" w:hAnsi="宋体" w:cs="宋体"/>
          <w:color w:val="000000"/>
          <w:szCs w:val="21"/>
        </w:rPr>
        <w:t>6.</w:t>
      </w:r>
      <w:r>
        <w:rPr>
          <w:rFonts w:hint="eastAsia" w:ascii="宋体" w:hAnsi="宋体"/>
          <w:color w:val="000000"/>
        </w:rPr>
        <w:t>本理财产品的销售文件包括理财产品投资协议书、销售（代理销售）协议书、理财产品说明书、风险揭示书、投资者权益须知等，投资者签署本理财产品各项销售文件并将资金委托给光大理财运作是投资者真实的意思表示。</w:t>
      </w:r>
    </w:p>
    <w:p>
      <w:pPr>
        <w:spacing w:line="360" w:lineRule="auto"/>
        <w:ind w:firstLine="420" w:firstLineChars="200"/>
        <w:rPr>
          <w:rFonts w:ascii="宋体" w:hAnsi="宋体" w:cs="宋体"/>
          <w:color w:val="000000"/>
          <w:szCs w:val="21"/>
        </w:rPr>
      </w:pPr>
      <w:r>
        <w:rPr>
          <w:rFonts w:ascii="宋体" w:hAnsi="宋体" w:cs="宋体"/>
          <w:color w:val="000000"/>
          <w:szCs w:val="21"/>
        </w:rPr>
        <w:t>7.光大理财及销售服务机构将据相关法律、法规严格履行投资者信息保密责任，除监管机构或司法机关等有权机构外，不得对</w:t>
      </w:r>
      <w:r>
        <w:rPr>
          <w:rFonts w:hint="eastAsia" w:ascii="宋体" w:hAnsi="宋体" w:cs="宋体"/>
          <w:color w:val="000000"/>
          <w:szCs w:val="21"/>
        </w:rPr>
        <w:t>其他第三方商业机构提供任何投资者信息。</w:t>
      </w:r>
    </w:p>
    <w:p>
      <w:pPr>
        <w:spacing w:line="360" w:lineRule="auto"/>
        <w:ind w:firstLine="420" w:firstLineChars="200"/>
        <w:rPr>
          <w:rFonts w:ascii="宋体" w:hAnsi="宋体" w:cs="宋体"/>
          <w:color w:val="000000"/>
          <w:szCs w:val="21"/>
        </w:rPr>
      </w:pPr>
      <w:r>
        <w:rPr>
          <w:rFonts w:ascii="宋体" w:hAnsi="宋体" w:cs="宋体"/>
          <w:color w:val="000000"/>
          <w:szCs w:val="21"/>
        </w:rPr>
        <w:br w:type="page"/>
      </w:r>
    </w:p>
    <w:p>
      <w:pPr>
        <w:spacing w:line="360" w:lineRule="auto"/>
        <w:jc w:val="left"/>
        <w:rPr>
          <w:rFonts w:ascii="宋体" w:hAnsi="宋体"/>
          <w:color w:val="000000"/>
        </w:rPr>
      </w:pPr>
    </w:p>
    <w:p>
      <w:pPr>
        <w:spacing w:line="360" w:lineRule="auto"/>
        <w:jc w:val="left"/>
        <w:rPr>
          <w:rFonts w:ascii="宋体" w:hAnsi="宋体"/>
          <w:color w:val="000000"/>
        </w:rPr>
      </w:pPr>
    </w:p>
    <w:p>
      <w:pPr>
        <w:spacing w:line="360" w:lineRule="auto"/>
        <w:jc w:val="center"/>
        <w:rPr>
          <w:rFonts w:ascii="黑体" w:hAnsi="黑体" w:eastAsia="黑体" w:cs="黑体"/>
          <w:color w:val="000000"/>
          <w:sz w:val="32"/>
          <w:szCs w:val="32"/>
        </w:rPr>
      </w:pPr>
      <w:r>
        <w:rPr>
          <w:rFonts w:hint="eastAsia" w:ascii="黑体" w:hAnsi="黑体" w:eastAsia="黑体" w:cs="黑体"/>
          <w:color w:val="000000"/>
          <w:sz w:val="32"/>
          <w:szCs w:val="32"/>
        </w:rPr>
        <w:t>投资者风险确认函</w:t>
      </w:r>
    </w:p>
    <w:p>
      <w:pPr>
        <w:spacing w:line="360" w:lineRule="auto"/>
        <w:jc w:val="center"/>
        <w:rPr>
          <w:rFonts w:ascii="宋体" w:hAnsi="宋体"/>
          <w:color w:val="000000"/>
          <w:sz w:val="28"/>
        </w:rPr>
      </w:pPr>
    </w:p>
    <w:p>
      <w:pPr>
        <w:spacing w:line="360" w:lineRule="auto"/>
        <w:ind w:firstLine="420" w:firstLineChars="200"/>
        <w:rPr>
          <w:rFonts w:ascii="宋体" w:hAnsi="宋体"/>
          <w:color w:val="000000"/>
        </w:rPr>
      </w:pPr>
      <w:r>
        <w:rPr>
          <w:rFonts w:ascii="宋体" w:hAnsi="宋体"/>
          <w:color w:val="000000"/>
        </w:rPr>
        <w:t>本人</w:t>
      </w:r>
      <w:r>
        <w:rPr>
          <w:rFonts w:hint="eastAsia" w:ascii="宋体" w:hAnsi="宋体"/>
          <w:color w:val="000000"/>
        </w:rPr>
        <w:t>/本公司</w:t>
      </w:r>
      <w:r>
        <w:rPr>
          <w:rFonts w:ascii="宋体" w:hAnsi="宋体"/>
          <w:color w:val="000000"/>
        </w:rPr>
        <w:t>确认已经收到本</w:t>
      </w:r>
      <w:r>
        <w:rPr>
          <w:rFonts w:hint="eastAsia" w:ascii="宋体" w:hAnsi="宋体"/>
          <w:color w:val="000000"/>
        </w:rPr>
        <w:t>理财产品的</w:t>
      </w:r>
      <w:r>
        <w:rPr>
          <w:rFonts w:ascii="宋体" w:hAnsi="宋体"/>
          <w:color w:val="000000"/>
        </w:rPr>
        <w:t>风险揭示书，且已经认真阅读</w:t>
      </w:r>
      <w:r>
        <w:rPr>
          <w:rFonts w:hint="eastAsia" w:ascii="宋体" w:hAnsi="宋体"/>
          <w:b/>
          <w:bCs/>
          <w:color w:val="000000"/>
        </w:rPr>
        <w:t>本理财产品完整销售文件包括理财产品投资协议书、销售（代理销售）协议书、理财产品说明书、风险揭示书、投资者权益须知等</w:t>
      </w:r>
      <w:r>
        <w:rPr>
          <w:rFonts w:ascii="宋体" w:hAnsi="宋体"/>
          <w:color w:val="000000"/>
        </w:rPr>
        <w:t>，充分了解并清楚知晓理财产品的风险，愿意承担相关风险，接受</w:t>
      </w:r>
      <w:r>
        <w:rPr>
          <w:rFonts w:hint="eastAsia" w:ascii="宋体" w:hAnsi="宋体"/>
          <w:color w:val="000000"/>
        </w:rPr>
        <w:t>本</w:t>
      </w:r>
      <w:r>
        <w:rPr>
          <w:rFonts w:ascii="宋体" w:hAnsi="宋体"/>
          <w:color w:val="000000"/>
        </w:rPr>
        <w:t>理财产品</w:t>
      </w:r>
      <w:r>
        <w:rPr>
          <w:rFonts w:hint="eastAsia" w:ascii="宋体" w:hAnsi="宋体"/>
          <w:color w:val="000000"/>
        </w:rPr>
        <w:t>销售文件的</w:t>
      </w:r>
      <w:r>
        <w:rPr>
          <w:rFonts w:ascii="宋体" w:hAnsi="宋体"/>
          <w:color w:val="000000"/>
        </w:rPr>
        <w:t>全部</w:t>
      </w:r>
      <w:r>
        <w:rPr>
          <w:rFonts w:hint="eastAsia" w:ascii="宋体" w:hAnsi="宋体"/>
          <w:color w:val="000000"/>
        </w:rPr>
        <w:t>约定</w:t>
      </w:r>
      <w:r>
        <w:rPr>
          <w:rFonts w:ascii="宋体" w:hAnsi="宋体"/>
          <w:color w:val="000000"/>
        </w:rPr>
        <w:t>。本人确认理解</w:t>
      </w:r>
      <w:r>
        <w:rPr>
          <w:rFonts w:hint="eastAsia" w:ascii="宋体" w:hAnsi="宋体"/>
          <w:color w:val="000000"/>
        </w:rPr>
        <w:t>并认可</w:t>
      </w:r>
      <w:r>
        <w:rPr>
          <w:rFonts w:ascii="宋体" w:hAnsi="宋体"/>
          <w:color w:val="000000"/>
        </w:rPr>
        <w:t>投资本理财产品将涉及的所有风险，并将承担且有能力承担该等风险。</w:t>
      </w:r>
    </w:p>
    <w:p>
      <w:pPr>
        <w:spacing w:line="360" w:lineRule="auto"/>
        <w:ind w:firstLine="420" w:firstLineChars="200"/>
        <w:rPr>
          <w:rFonts w:ascii="宋体" w:hAnsi="宋体"/>
          <w:color w:val="000000"/>
        </w:rPr>
      </w:pPr>
      <w:r>
        <w:rPr>
          <w:rFonts w:ascii="宋体" w:hAnsi="宋体"/>
          <w:color w:val="000000"/>
        </w:rPr>
        <w:t>经</w:t>
      </w:r>
      <w:r>
        <w:rPr>
          <w:rFonts w:hint="eastAsia" w:ascii="宋体" w:hAnsi="宋体"/>
          <w:color w:val="000000"/>
        </w:rPr>
        <w:t>销售服务机构</w:t>
      </w:r>
      <w:r>
        <w:rPr>
          <w:rFonts w:ascii="宋体" w:hAnsi="宋体"/>
          <w:color w:val="000000"/>
        </w:rPr>
        <w:t>评估，本人的风险承受能力评级结果为:__________</w:t>
      </w:r>
      <w:r>
        <w:rPr>
          <w:rFonts w:hint="eastAsia" w:ascii="宋体" w:hAnsi="宋体"/>
          <w:color w:val="000000"/>
          <w:szCs w:val="21"/>
        </w:rPr>
        <w:t>（仅个人投资者填写），风险承受能力不低于本理财产品的风险评级，适合购买本理财产品。</w:t>
      </w:r>
      <w:r>
        <w:rPr>
          <w:rFonts w:hint="eastAsia" w:ascii="宋体" w:hAnsi="宋体"/>
          <w:b/>
          <w:bCs/>
          <w:color w:val="000000"/>
        </w:rPr>
        <w:t>如影响自身风险承受能力的因素发生变化，本人将及时完成风险承受能力的重新评估。</w:t>
      </w:r>
      <w:r>
        <w:rPr>
          <w:rFonts w:hint="eastAsia" w:ascii="宋体" w:hAnsi="宋体"/>
          <w:color w:val="000000"/>
        </w:rPr>
        <w:t>机构投资者无需进行风险承受能力评估。</w:t>
      </w:r>
    </w:p>
    <w:p>
      <w:pPr>
        <w:pStyle w:val="3"/>
        <w:numPr>
          <w:ilvl w:val="1"/>
          <w:numId w:val="0"/>
        </w:numPr>
        <w:ind w:right="210" w:rightChars="100"/>
      </w:pPr>
    </w:p>
    <w:p>
      <w:pPr>
        <w:spacing w:line="360" w:lineRule="auto"/>
        <w:ind w:firstLine="420" w:firstLineChars="200"/>
        <w:rPr>
          <w:rFonts w:ascii="宋体" w:hAnsi="宋体"/>
          <w:color w:val="000000"/>
        </w:rPr>
      </w:pPr>
      <w:r>
        <w:rPr>
          <w:rFonts w:ascii="宋体" w:hAnsi="宋体"/>
          <w:color w:val="000000"/>
        </w:rPr>
        <w:t>投资者须亲笔抄录以下内容：</w:t>
      </w:r>
      <w:r>
        <w:rPr>
          <w:rFonts w:ascii="宋体" w:hAnsi="宋体"/>
          <w:b/>
          <w:bCs/>
          <w:color w:val="000000"/>
        </w:rPr>
        <w:t>“</w:t>
      </w:r>
      <w:r>
        <w:rPr>
          <w:rFonts w:hint="eastAsia" w:ascii="宋体" w:hAnsi="宋体"/>
          <w:b/>
          <w:bCs/>
          <w:color w:val="000000"/>
        </w:rPr>
        <w:t>本人已经阅读风险揭示，愿意承担投资风险</w:t>
      </w:r>
      <w:r>
        <w:rPr>
          <w:rFonts w:ascii="宋体" w:hAnsi="宋体"/>
          <w:b/>
          <w:bCs/>
          <w:color w:val="000000"/>
        </w:rPr>
        <w:t>。”</w:t>
      </w:r>
    </w:p>
    <w:p>
      <w:pPr>
        <w:spacing w:line="360" w:lineRule="auto"/>
        <w:ind w:firstLine="420"/>
        <w:rPr>
          <w:rFonts w:ascii="宋体" w:hAnsi="宋体"/>
          <w:color w:val="000000"/>
        </w:rPr>
      </w:pPr>
      <w:r>
        <w:rPr>
          <w:rFonts w:ascii="宋体" w:hAnsi="宋体"/>
          <w:color w:val="000000"/>
        </w:rPr>
        <w:t>______________________________________________________________________</w:t>
      </w:r>
    </w:p>
    <w:p>
      <w:pPr>
        <w:spacing w:line="360" w:lineRule="auto"/>
        <w:rPr>
          <w:rFonts w:ascii="宋体" w:hAnsi="宋体"/>
          <w:color w:val="000000"/>
        </w:rPr>
      </w:pPr>
    </w:p>
    <w:p>
      <w:pPr>
        <w:spacing w:line="360" w:lineRule="auto"/>
        <w:ind w:firstLine="420"/>
        <w:jc w:val="left"/>
        <w:rPr>
          <w:rFonts w:ascii="宋体" w:hAnsi="宋体"/>
          <w:color w:val="000000"/>
          <w:szCs w:val="21"/>
        </w:rPr>
      </w:pPr>
    </w:p>
    <w:p>
      <w:pPr>
        <w:spacing w:line="360" w:lineRule="auto"/>
        <w:rPr>
          <w:rFonts w:ascii="宋体" w:hAnsi="宋体"/>
          <w:color w:val="000000"/>
        </w:rPr>
      </w:pPr>
      <w:r>
        <w:rPr>
          <w:rFonts w:hint="eastAsia" w:ascii="宋体" w:hAnsi="宋体"/>
          <w:color w:val="000000"/>
        </w:rPr>
        <w:t>个人投资者签字：</w:t>
      </w:r>
    </w:p>
    <w:p>
      <w:pPr>
        <w:spacing w:line="360" w:lineRule="auto"/>
        <w:rPr>
          <w:rFonts w:ascii="宋体" w:hAnsi="宋体"/>
          <w:color w:val="000000"/>
        </w:rPr>
      </w:pPr>
    </w:p>
    <w:p>
      <w:pPr>
        <w:spacing w:line="360" w:lineRule="auto"/>
        <w:rPr>
          <w:rFonts w:ascii="宋体" w:hAnsi="宋体"/>
          <w:color w:val="000000"/>
        </w:rPr>
      </w:pPr>
    </w:p>
    <w:p>
      <w:pPr>
        <w:spacing w:line="360" w:lineRule="auto"/>
        <w:rPr>
          <w:rFonts w:ascii="宋体" w:hAnsi="宋体"/>
          <w:color w:val="000000"/>
        </w:rPr>
      </w:pPr>
      <w:r>
        <w:rPr>
          <w:rFonts w:hint="eastAsia" w:ascii="宋体" w:hAnsi="宋体"/>
          <w:color w:val="000000"/>
        </w:rPr>
        <w:t>机构投资者（盖章）：</w:t>
      </w:r>
    </w:p>
    <w:p>
      <w:pPr>
        <w:spacing w:line="360" w:lineRule="auto"/>
        <w:rPr>
          <w:rFonts w:ascii="宋体" w:hAnsi="宋体"/>
          <w:color w:val="000000"/>
        </w:rPr>
      </w:pPr>
      <w:r>
        <w:rPr>
          <w:rFonts w:hint="eastAsia" w:ascii="宋体" w:hAnsi="宋体"/>
          <w:color w:val="000000"/>
        </w:rPr>
        <w:t>机构投资者法定代表人或授权代表（签字或盖章）：</w:t>
      </w:r>
    </w:p>
    <w:p>
      <w:pPr>
        <w:spacing w:line="360" w:lineRule="auto"/>
        <w:jc w:val="left"/>
        <w:rPr>
          <w:rFonts w:ascii="宋体" w:hAnsi="宋体"/>
          <w:color w:val="000000"/>
        </w:rPr>
      </w:pPr>
    </w:p>
    <w:p>
      <w:pPr>
        <w:spacing w:line="360" w:lineRule="auto"/>
        <w:jc w:val="center"/>
        <w:rPr>
          <w:rFonts w:ascii="黑体" w:hAnsi="黑体" w:eastAsia="黑体" w:cs="黑体"/>
          <w:b/>
          <w:bCs/>
          <w:color w:val="000000"/>
          <w:sz w:val="36"/>
          <w:szCs w:val="36"/>
        </w:rPr>
      </w:pPr>
      <w:r>
        <w:rPr>
          <w:rFonts w:hint="eastAsia" w:ascii="黑体" w:hAnsi="黑体" w:eastAsia="黑体" w:cs="黑体"/>
          <w:b/>
          <w:bCs/>
          <w:color w:val="000000"/>
          <w:sz w:val="36"/>
          <w:szCs w:val="36"/>
        </w:rPr>
        <w:br w:type="page"/>
      </w:r>
    </w:p>
    <w:p>
      <w:pPr>
        <w:spacing w:line="360" w:lineRule="auto"/>
        <w:ind w:firstLine="420" w:firstLineChars="200"/>
        <w:rPr>
          <w:rFonts w:ascii="宋体" w:hAnsi="宋体"/>
          <w:color w:val="000000"/>
        </w:rPr>
      </w:pPr>
    </w:p>
    <w:p>
      <w:pPr>
        <w:spacing w:line="360" w:lineRule="auto"/>
        <w:jc w:val="center"/>
        <w:rPr>
          <w:rFonts w:ascii="黑体" w:hAnsi="黑体" w:eastAsia="黑体" w:cs="黑体"/>
          <w:b/>
          <w:bCs/>
          <w:color w:val="000000"/>
          <w:sz w:val="36"/>
          <w:szCs w:val="36"/>
        </w:rPr>
      </w:pPr>
      <w:r>
        <w:rPr>
          <w:rFonts w:hint="eastAsia" w:ascii="黑体" w:hAnsi="黑体" w:eastAsia="黑体" w:cs="黑体"/>
          <w:b/>
          <w:bCs/>
          <w:color w:val="000000"/>
          <w:sz w:val="36"/>
          <w:szCs w:val="36"/>
        </w:rPr>
        <w:t>投资者权益须知</w:t>
      </w:r>
    </w:p>
    <w:p>
      <w:pPr>
        <w:spacing w:line="360" w:lineRule="auto"/>
        <w:rPr>
          <w:rFonts w:ascii="宋体" w:hAnsi="宋体"/>
          <w:color w:val="000000"/>
        </w:rPr>
      </w:pPr>
      <w:r>
        <w:rPr>
          <w:rFonts w:hint="eastAsia" w:ascii="宋体" w:hAnsi="宋体"/>
          <w:color w:val="000000"/>
        </w:rPr>
        <w:t>尊敬的投资者：</w:t>
      </w:r>
    </w:p>
    <w:p>
      <w:pPr>
        <w:spacing w:line="360" w:lineRule="auto"/>
        <w:ind w:firstLine="420" w:firstLineChars="200"/>
        <w:rPr>
          <w:rFonts w:ascii="宋体" w:hAnsi="宋体"/>
          <w:color w:val="000000"/>
        </w:rPr>
      </w:pPr>
      <w:r>
        <w:rPr>
          <w:rFonts w:hint="eastAsia" w:ascii="宋体" w:hAnsi="宋体"/>
          <w:color w:val="000000"/>
        </w:rPr>
        <w:t>理财非存款，产品有风险，投资须谨慎。为方便您办理</w:t>
      </w:r>
      <w:r>
        <w:rPr>
          <w:rFonts w:hint="eastAsia" w:ascii="宋体 (标题)" w:hAnsi="宋体 (标题)" w:eastAsia="宋体 (标题)" w:cs="宋体 (标题)"/>
          <w:szCs w:val="21"/>
        </w:rPr>
        <w:t>光大理财有限责任公司（以下简称“光大理财”）</w:t>
      </w:r>
      <w:r>
        <w:rPr>
          <w:rFonts w:hint="eastAsia" w:ascii="宋体" w:hAnsi="宋体"/>
          <w:color w:val="000000"/>
        </w:rPr>
        <w:t>理财业务，请仔细阅读以下内容。如对理财产品销售文件或购买流程等有不明之处，请及时与销售服务机构相关人员进行咨询；在购买理财产品后，请关注理财产品的信息披露情况，及时获取相关信息；如对理财产品有任何意见或建议，请关注产品管理人相关联络方式并予以反馈，或通过销售服务机构转达。</w:t>
      </w:r>
    </w:p>
    <w:p>
      <w:pPr>
        <w:spacing w:line="360" w:lineRule="auto"/>
        <w:ind w:firstLine="422" w:firstLineChars="200"/>
        <w:rPr>
          <w:rFonts w:ascii="宋体" w:hAnsi="宋体"/>
          <w:b/>
          <w:bCs/>
          <w:color w:val="000000"/>
        </w:rPr>
      </w:pPr>
      <w:r>
        <w:rPr>
          <w:rFonts w:hint="eastAsia" w:ascii="宋体" w:hAnsi="宋体"/>
          <w:b/>
          <w:bCs/>
          <w:color w:val="000000"/>
        </w:rPr>
        <w:t>一、销售服务机构代理销售光大理财产品的流程</w:t>
      </w:r>
    </w:p>
    <w:p>
      <w:pPr>
        <w:spacing w:line="360" w:lineRule="auto"/>
        <w:ind w:firstLine="420" w:firstLineChars="200"/>
        <w:rPr>
          <w:rFonts w:ascii="宋体" w:hAnsi="宋体"/>
          <w:color w:val="000000"/>
        </w:rPr>
      </w:pPr>
      <w:r>
        <w:rPr>
          <w:rFonts w:hint="eastAsia" w:ascii="宋体" w:hAnsi="宋体"/>
          <w:color w:val="000000"/>
        </w:rPr>
        <w:t>（一）首次在销售服务机构购买理财产品的客户需开立相应资金账户，提供并确认正确的联系方式。</w:t>
      </w:r>
    </w:p>
    <w:p>
      <w:pPr>
        <w:spacing w:line="360" w:lineRule="auto"/>
        <w:ind w:firstLine="420" w:firstLineChars="200"/>
        <w:rPr>
          <w:rFonts w:ascii="宋体" w:hAnsi="宋体"/>
          <w:color w:val="000000"/>
        </w:rPr>
      </w:pPr>
      <w:r>
        <w:rPr>
          <w:rFonts w:hint="eastAsia" w:ascii="宋体" w:hAnsi="宋体"/>
          <w:color w:val="000000"/>
        </w:rPr>
        <w:t>（二）首次在销售服务机构购买光大理财产品的个人投资者需进行投资者风险承受能力评估，并确认</w:t>
      </w:r>
      <w:r>
        <w:rPr>
          <w:rFonts w:hint="eastAsia" w:ascii="宋体" w:hAnsi="宋体" w:cs="宋体"/>
          <w:color w:val="000000"/>
          <w:szCs w:val="21"/>
        </w:rPr>
        <w:t>风险承受能力等级不低于本产品风险评级</w:t>
      </w:r>
      <w:r>
        <w:rPr>
          <w:rFonts w:hint="eastAsia" w:ascii="宋体" w:hAnsi="宋体"/>
          <w:color w:val="000000"/>
        </w:rPr>
        <w:t>。</w:t>
      </w:r>
    </w:p>
    <w:p>
      <w:pPr>
        <w:spacing w:line="360" w:lineRule="auto"/>
        <w:ind w:firstLine="420" w:firstLineChars="200"/>
        <w:rPr>
          <w:rFonts w:ascii="宋体" w:hAnsi="宋体"/>
          <w:color w:val="000000"/>
        </w:rPr>
      </w:pPr>
      <w:r>
        <w:rPr>
          <w:rFonts w:hint="eastAsia" w:ascii="宋体" w:hAnsi="宋体"/>
          <w:color w:val="000000"/>
        </w:rPr>
        <w:t>（三）仔细阅读本理财产品完整销售文件（包括理财产品投资协议书、销售（代理销售）协议书、理财产品说明书、风险揭示书、投资者权益须知等），理解并确认理财产品条款及产品风险。</w:t>
      </w:r>
    </w:p>
    <w:p>
      <w:pPr>
        <w:spacing w:line="360" w:lineRule="auto"/>
        <w:ind w:firstLine="420" w:firstLineChars="200"/>
        <w:rPr>
          <w:rFonts w:ascii="宋体" w:hAnsi="宋体"/>
          <w:color w:val="000000"/>
        </w:rPr>
      </w:pPr>
      <w:r>
        <w:rPr>
          <w:rFonts w:hint="eastAsia" w:ascii="宋体" w:hAnsi="宋体"/>
          <w:color w:val="000000"/>
        </w:rPr>
        <w:t>（四）确定购买金额，完成交易申请，并在光大理财系统确认投资者购买份额后及时进行查询。</w:t>
      </w:r>
    </w:p>
    <w:p>
      <w:pPr>
        <w:spacing w:line="360" w:lineRule="auto"/>
        <w:ind w:firstLine="422" w:firstLineChars="200"/>
        <w:rPr>
          <w:rFonts w:ascii="宋体" w:hAnsi="宋体"/>
          <w:b/>
          <w:bCs/>
          <w:color w:val="000000"/>
        </w:rPr>
      </w:pPr>
      <w:r>
        <w:rPr>
          <w:rFonts w:hint="eastAsia" w:ascii="宋体" w:hAnsi="宋体"/>
          <w:b/>
          <w:bCs/>
          <w:color w:val="000000"/>
        </w:rPr>
        <w:t>二、光大理财产品内部风险评级</w:t>
      </w:r>
    </w:p>
    <w:p>
      <w:pPr>
        <w:spacing w:line="360" w:lineRule="auto"/>
        <w:ind w:firstLine="420" w:firstLineChars="200"/>
        <w:rPr>
          <w:rFonts w:ascii="宋体" w:hAnsi="宋体"/>
          <w:color w:val="000000"/>
        </w:rPr>
      </w:pPr>
      <w:r>
        <w:rPr>
          <w:rFonts w:hint="eastAsia" w:ascii="宋体" w:hAnsi="宋体"/>
          <w:color w:val="000000"/>
        </w:rPr>
        <w:t>光大理财发行的</w:t>
      </w:r>
      <w:r>
        <w:rPr>
          <w:rFonts w:ascii="宋体" w:hAnsi="宋体"/>
          <w:color w:val="000000"/>
        </w:rPr>
        <w:t>理财产品</w:t>
      </w:r>
      <w:r>
        <w:rPr>
          <w:rFonts w:hint="eastAsia" w:ascii="宋体" w:hAnsi="宋体"/>
          <w:color w:val="000000"/>
        </w:rPr>
        <w:t>内部</w:t>
      </w:r>
      <w:r>
        <w:rPr>
          <w:rFonts w:ascii="宋体" w:hAnsi="宋体"/>
          <w:color w:val="000000"/>
        </w:rPr>
        <w:t>风险评级共分为五级：低风险产品（</w:t>
      </w:r>
      <w:r>
        <w:rPr>
          <w:rFonts w:hint="eastAsia" w:ascii="宋体" w:hAnsi="宋体"/>
          <w:color w:val="000000"/>
        </w:rPr>
        <w:t>一星级</w:t>
      </w:r>
      <w:r>
        <w:rPr>
          <w:rFonts w:ascii="宋体" w:hAnsi="宋体"/>
          <w:color w:val="000000"/>
        </w:rPr>
        <w:t>）、</w:t>
      </w:r>
      <w:r>
        <w:rPr>
          <w:rFonts w:hint="eastAsia" w:ascii="宋体" w:hAnsi="宋体"/>
          <w:color w:val="000000"/>
        </w:rPr>
        <w:t>较低风险产品（二星级）、中风险产品（三星级）、较高风险产品（四星级）、高风险产品（五星级）。具体分类见下表：</w:t>
      </w:r>
    </w:p>
    <w:tbl>
      <w:tblPr>
        <w:tblStyle w:val="14"/>
        <w:tblW w:w="833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7"/>
        <w:gridCol w:w="2693"/>
        <w:gridCol w:w="3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2587" w:type="dxa"/>
            <w:vAlign w:val="center"/>
          </w:tcPr>
          <w:p>
            <w:pPr>
              <w:jc w:val="center"/>
              <w:rPr>
                <w:rFonts w:ascii="宋体" w:hAnsi="宋体" w:cs="宋体"/>
                <w:b/>
                <w:color w:val="000000"/>
                <w:sz w:val="22"/>
              </w:rPr>
            </w:pPr>
            <w:r>
              <w:rPr>
                <w:rFonts w:hint="eastAsia" w:ascii="宋体" w:hAnsi="宋体" w:cs="宋体"/>
                <w:b/>
                <w:bCs/>
                <w:color w:val="000000"/>
                <w:sz w:val="22"/>
              </w:rPr>
              <w:t>内部风险评级</w:t>
            </w:r>
          </w:p>
        </w:tc>
        <w:tc>
          <w:tcPr>
            <w:tcW w:w="2693" w:type="dxa"/>
            <w:vAlign w:val="center"/>
          </w:tcPr>
          <w:p>
            <w:pPr>
              <w:jc w:val="center"/>
              <w:rPr>
                <w:rFonts w:ascii="宋体" w:hAnsi="宋体" w:cs="宋体"/>
                <w:b/>
                <w:color w:val="000000"/>
                <w:sz w:val="22"/>
              </w:rPr>
            </w:pPr>
            <w:r>
              <w:rPr>
                <w:rFonts w:hint="eastAsia" w:ascii="宋体" w:hAnsi="宋体" w:cs="宋体"/>
                <w:b/>
                <w:bCs/>
                <w:color w:val="000000"/>
                <w:sz w:val="22"/>
              </w:rPr>
              <w:t>风险程度</w:t>
            </w:r>
          </w:p>
        </w:tc>
        <w:tc>
          <w:tcPr>
            <w:tcW w:w="3053" w:type="dxa"/>
          </w:tcPr>
          <w:p>
            <w:pPr>
              <w:jc w:val="center"/>
              <w:rPr>
                <w:rFonts w:ascii="宋体" w:hAnsi="宋体" w:cs="宋体"/>
                <w:b/>
                <w:bCs/>
                <w:color w:val="000000"/>
                <w:sz w:val="22"/>
              </w:rPr>
            </w:pPr>
            <w:r>
              <w:rPr>
                <w:rFonts w:hint="eastAsia" w:ascii="宋体" w:hAnsi="宋体" w:cs="宋体"/>
                <w:b/>
                <w:bCs/>
                <w:color w:val="000000"/>
                <w:sz w:val="22"/>
              </w:rPr>
              <w:t>适合的投资人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2587" w:type="dxa"/>
          </w:tcPr>
          <w:p>
            <w:pPr>
              <w:jc w:val="center"/>
              <w:rPr>
                <w:rFonts w:ascii="宋体" w:hAnsi="宋体" w:cs="宋体"/>
                <w:b w:val="0"/>
                <w:bCs/>
                <w:sz w:val="22"/>
              </w:rPr>
            </w:pPr>
            <w:r>
              <w:rPr>
                <w:rFonts w:hint="eastAsia" w:ascii="宋体" w:hAnsi="宋体" w:cs="宋体"/>
                <w:b w:val="0"/>
                <w:bCs/>
                <w:sz w:val="22"/>
              </w:rPr>
              <w:t>★</w:t>
            </w:r>
          </w:p>
        </w:tc>
        <w:tc>
          <w:tcPr>
            <w:tcW w:w="2693" w:type="dxa"/>
          </w:tcPr>
          <w:p>
            <w:pPr>
              <w:jc w:val="center"/>
              <w:rPr>
                <w:rFonts w:ascii="宋体" w:hAnsi="宋体" w:cs="宋体"/>
                <w:sz w:val="22"/>
              </w:rPr>
            </w:pPr>
            <w:r>
              <w:rPr>
                <w:rFonts w:hint="eastAsia" w:ascii="宋体" w:hAnsi="宋体" w:cs="宋体"/>
                <w:bCs/>
                <w:sz w:val="22"/>
              </w:rPr>
              <w:t>低</w:t>
            </w:r>
          </w:p>
        </w:tc>
        <w:tc>
          <w:tcPr>
            <w:tcW w:w="3053" w:type="dxa"/>
          </w:tcPr>
          <w:p>
            <w:pPr>
              <w:jc w:val="center"/>
              <w:rPr>
                <w:rFonts w:ascii="宋体" w:hAnsi="宋体" w:cs="宋体"/>
                <w:color w:val="000000"/>
                <w:sz w:val="22"/>
              </w:rPr>
            </w:pPr>
            <w:r>
              <w:rPr>
                <w:rFonts w:hint="eastAsia" w:ascii="宋体" w:hAnsi="宋体" w:cs="宋体"/>
                <w:color w:val="000000"/>
                <w:sz w:val="22"/>
              </w:rPr>
              <w:t>谨慎型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2587" w:type="dxa"/>
          </w:tcPr>
          <w:p>
            <w:pPr>
              <w:jc w:val="center"/>
              <w:rPr>
                <w:rFonts w:ascii="宋体" w:hAnsi="宋体" w:cs="宋体"/>
                <w:b w:val="0"/>
                <w:bCs/>
                <w:sz w:val="22"/>
              </w:rPr>
            </w:pPr>
            <w:r>
              <w:rPr>
                <w:rFonts w:hint="eastAsia" w:ascii="宋体" w:hAnsi="宋体" w:cs="宋体"/>
                <w:b w:val="0"/>
                <w:bCs/>
                <w:sz w:val="24"/>
                <w:szCs w:val="24"/>
              </w:rPr>
              <w:t>★★</w:t>
            </w:r>
          </w:p>
        </w:tc>
        <w:tc>
          <w:tcPr>
            <w:tcW w:w="2693" w:type="dxa"/>
          </w:tcPr>
          <w:p>
            <w:pPr>
              <w:jc w:val="center"/>
              <w:rPr>
                <w:rFonts w:ascii="宋体" w:hAnsi="宋体" w:cs="宋体"/>
                <w:sz w:val="22"/>
              </w:rPr>
            </w:pPr>
            <w:r>
              <w:rPr>
                <w:rFonts w:hint="eastAsia" w:ascii="宋体" w:hAnsi="宋体" w:cs="宋体"/>
                <w:sz w:val="22"/>
              </w:rPr>
              <w:t>较低</w:t>
            </w:r>
          </w:p>
        </w:tc>
        <w:tc>
          <w:tcPr>
            <w:tcW w:w="3053" w:type="dxa"/>
          </w:tcPr>
          <w:p>
            <w:pPr>
              <w:jc w:val="center"/>
              <w:rPr>
                <w:rFonts w:ascii="宋体" w:hAnsi="宋体" w:cs="宋体"/>
                <w:color w:val="000000"/>
                <w:sz w:val="22"/>
              </w:rPr>
            </w:pPr>
            <w:r>
              <w:rPr>
                <w:rFonts w:hint="eastAsia" w:ascii="宋体" w:hAnsi="宋体" w:cs="宋体"/>
                <w:sz w:val="22"/>
              </w:rPr>
              <w:t>稳健型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2587" w:type="dxa"/>
          </w:tcPr>
          <w:p>
            <w:pPr>
              <w:jc w:val="center"/>
              <w:rPr>
                <w:rFonts w:ascii="宋体" w:hAnsi="宋体" w:cs="宋体"/>
                <w:b/>
                <w:sz w:val="22"/>
              </w:rPr>
            </w:pPr>
            <w:r>
              <w:rPr>
                <w:rFonts w:hint="eastAsia" w:ascii="宋体" w:hAnsi="宋体" w:cs="宋体"/>
                <w:b/>
                <w:bCs/>
                <w:sz w:val="22"/>
              </w:rPr>
              <w:t>★★★</w:t>
            </w:r>
          </w:p>
        </w:tc>
        <w:tc>
          <w:tcPr>
            <w:tcW w:w="2693" w:type="dxa"/>
          </w:tcPr>
          <w:p>
            <w:pPr>
              <w:jc w:val="center"/>
              <w:rPr>
                <w:rFonts w:ascii="宋体" w:hAnsi="宋体" w:cs="宋体"/>
                <w:b/>
                <w:sz w:val="22"/>
              </w:rPr>
            </w:pPr>
            <w:r>
              <w:rPr>
                <w:rFonts w:hint="eastAsia" w:ascii="宋体" w:hAnsi="宋体" w:cs="宋体"/>
                <w:b/>
                <w:sz w:val="22"/>
              </w:rPr>
              <w:t>中</w:t>
            </w:r>
          </w:p>
        </w:tc>
        <w:tc>
          <w:tcPr>
            <w:tcW w:w="3053" w:type="dxa"/>
          </w:tcPr>
          <w:p>
            <w:pPr>
              <w:jc w:val="center"/>
              <w:rPr>
                <w:rFonts w:ascii="宋体" w:hAnsi="宋体" w:cs="宋体"/>
                <w:b/>
                <w:color w:val="000000"/>
                <w:sz w:val="22"/>
              </w:rPr>
            </w:pPr>
            <w:r>
              <w:rPr>
                <w:rFonts w:hint="eastAsia" w:ascii="宋体" w:hAnsi="宋体" w:cs="宋体"/>
                <w:b/>
                <w:color w:val="000000"/>
                <w:sz w:val="22"/>
              </w:rPr>
              <w:t>平衡型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2587" w:type="dxa"/>
          </w:tcPr>
          <w:p>
            <w:pPr>
              <w:jc w:val="center"/>
              <w:rPr>
                <w:rFonts w:ascii="宋体" w:hAnsi="宋体" w:cs="宋体"/>
                <w:b/>
                <w:sz w:val="22"/>
              </w:rPr>
            </w:pPr>
            <w:r>
              <w:rPr>
                <w:rFonts w:hint="eastAsia" w:ascii="宋体" w:hAnsi="宋体" w:cs="宋体"/>
                <w:bCs/>
                <w:sz w:val="22"/>
              </w:rPr>
              <w:t>★★★★</w:t>
            </w:r>
          </w:p>
        </w:tc>
        <w:tc>
          <w:tcPr>
            <w:tcW w:w="2693" w:type="dxa"/>
          </w:tcPr>
          <w:p>
            <w:pPr>
              <w:jc w:val="center"/>
              <w:rPr>
                <w:rFonts w:ascii="宋体" w:hAnsi="宋体" w:cs="宋体"/>
                <w:sz w:val="22"/>
              </w:rPr>
            </w:pPr>
            <w:r>
              <w:rPr>
                <w:rFonts w:hint="eastAsia" w:ascii="宋体" w:hAnsi="宋体" w:cs="宋体"/>
                <w:bCs/>
                <w:sz w:val="22"/>
              </w:rPr>
              <w:t>较高</w:t>
            </w:r>
          </w:p>
        </w:tc>
        <w:tc>
          <w:tcPr>
            <w:tcW w:w="3053" w:type="dxa"/>
          </w:tcPr>
          <w:p>
            <w:pPr>
              <w:jc w:val="center"/>
              <w:rPr>
                <w:rFonts w:ascii="宋体" w:hAnsi="宋体" w:cs="宋体"/>
                <w:color w:val="000000"/>
                <w:sz w:val="22"/>
              </w:rPr>
            </w:pPr>
            <w:r>
              <w:rPr>
                <w:rFonts w:hint="eastAsia" w:ascii="宋体" w:hAnsi="宋体" w:cs="宋体"/>
                <w:color w:val="000000"/>
                <w:sz w:val="22"/>
              </w:rPr>
              <w:t>进取型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2587" w:type="dxa"/>
            <w:tcBorders>
              <w:bottom w:val="single" w:color="auto" w:sz="4" w:space="0"/>
            </w:tcBorders>
          </w:tcPr>
          <w:p>
            <w:pPr>
              <w:jc w:val="center"/>
              <w:rPr>
                <w:rFonts w:ascii="宋体" w:hAnsi="宋体" w:cs="宋体"/>
                <w:b/>
                <w:bCs/>
                <w:sz w:val="22"/>
              </w:rPr>
            </w:pPr>
            <w:r>
              <w:rPr>
                <w:rFonts w:hint="eastAsia" w:ascii="宋体" w:hAnsi="宋体" w:cs="宋体"/>
                <w:bCs/>
                <w:sz w:val="22"/>
              </w:rPr>
              <w:t>★★★★★</w:t>
            </w:r>
          </w:p>
        </w:tc>
        <w:tc>
          <w:tcPr>
            <w:tcW w:w="2693" w:type="dxa"/>
            <w:tcBorders>
              <w:bottom w:val="single" w:color="auto" w:sz="4" w:space="0"/>
            </w:tcBorders>
          </w:tcPr>
          <w:p>
            <w:pPr>
              <w:jc w:val="center"/>
              <w:rPr>
                <w:rFonts w:ascii="宋体" w:hAnsi="宋体" w:cs="宋体"/>
                <w:sz w:val="22"/>
              </w:rPr>
            </w:pPr>
            <w:r>
              <w:rPr>
                <w:rFonts w:hint="eastAsia" w:ascii="宋体" w:hAnsi="宋体" w:cs="宋体"/>
                <w:bCs/>
                <w:sz w:val="22"/>
              </w:rPr>
              <w:t>高</w:t>
            </w:r>
          </w:p>
        </w:tc>
        <w:tc>
          <w:tcPr>
            <w:tcW w:w="3053" w:type="dxa"/>
            <w:tcBorders>
              <w:bottom w:val="single" w:color="auto" w:sz="4" w:space="0"/>
            </w:tcBorders>
          </w:tcPr>
          <w:p>
            <w:pPr>
              <w:jc w:val="center"/>
              <w:rPr>
                <w:rFonts w:ascii="宋体" w:hAnsi="宋体" w:cs="宋体"/>
                <w:color w:val="000000"/>
                <w:sz w:val="22"/>
              </w:rPr>
            </w:pPr>
            <w:r>
              <w:rPr>
                <w:rFonts w:hint="eastAsia" w:ascii="宋体" w:hAnsi="宋体" w:cs="宋体"/>
                <w:color w:val="000000"/>
                <w:sz w:val="22"/>
              </w:rPr>
              <w:t>激进型</w:t>
            </w:r>
          </w:p>
        </w:tc>
      </w:tr>
    </w:tbl>
    <w:p>
      <w:pPr>
        <w:spacing w:line="360" w:lineRule="auto"/>
        <w:ind w:firstLine="422" w:firstLineChars="200"/>
        <w:rPr>
          <w:rFonts w:ascii="宋体" w:hAnsi="宋体"/>
          <w:color w:val="000000"/>
        </w:rPr>
      </w:pPr>
      <w:r>
        <w:rPr>
          <w:rFonts w:hint="eastAsia" w:ascii="宋体" w:hAnsi="宋体"/>
          <w:b/>
          <w:bCs/>
          <w:color w:val="000000"/>
        </w:rPr>
        <w:t>本产品经光大理财内部风险评级为中风险产品（三星级）</w:t>
      </w:r>
      <w:r>
        <w:rPr>
          <w:rFonts w:hint="eastAsia" w:ascii="宋体" w:hAnsi="宋体"/>
          <w:color w:val="000000"/>
        </w:rPr>
        <w:t>，</w:t>
      </w:r>
      <w:r>
        <w:rPr>
          <w:rFonts w:ascii="宋体" w:hAnsi="宋体"/>
          <w:color w:val="000000"/>
        </w:rPr>
        <w:t>指</w:t>
      </w:r>
      <w:r>
        <w:rPr>
          <w:rFonts w:hint="eastAsia" w:ascii="宋体" w:hAnsi="宋体"/>
          <w:color w:val="000000"/>
        </w:rPr>
        <w:t>本</w:t>
      </w:r>
      <w:r>
        <w:rPr>
          <w:rFonts w:ascii="宋体" w:hAnsi="宋体"/>
          <w:color w:val="000000"/>
        </w:rPr>
        <w:t>理财产品的总体风险程度</w:t>
      </w:r>
      <w:r>
        <w:rPr>
          <w:rFonts w:hint="eastAsia" w:ascii="宋体" w:hAnsi="宋体"/>
          <w:color w:val="000000"/>
          <w:lang w:val="en-US" w:eastAsia="zh-CN"/>
        </w:rPr>
        <w:t>为中等</w:t>
      </w:r>
      <w:r>
        <w:rPr>
          <w:rFonts w:hint="eastAsia" w:ascii="宋体" w:hAnsi="宋体"/>
          <w:color w:val="000000"/>
        </w:rPr>
        <w:t>，</w:t>
      </w:r>
      <w:r>
        <w:rPr>
          <w:rFonts w:ascii="宋体" w:hAnsi="宋体"/>
          <w:color w:val="000000"/>
        </w:rPr>
        <w:t>管理人不承诺本金</w:t>
      </w:r>
      <w:r>
        <w:rPr>
          <w:rFonts w:hint="eastAsia" w:ascii="宋体" w:hAnsi="宋体"/>
          <w:color w:val="000000"/>
        </w:rPr>
        <w:t>及收益</w:t>
      </w:r>
      <w:r>
        <w:rPr>
          <w:rFonts w:ascii="宋体" w:hAnsi="宋体"/>
          <w:color w:val="000000"/>
        </w:rPr>
        <w:t>保障</w:t>
      </w:r>
      <w:r>
        <w:rPr>
          <w:rFonts w:hint="eastAsia" w:ascii="宋体" w:hAnsi="宋体"/>
          <w:color w:val="000000"/>
        </w:rPr>
        <w:t>。该产品通过代理销售机构渠道销售的，理财产品评级应当以代理销售机构最终披露的评级结果为准。</w:t>
      </w:r>
    </w:p>
    <w:p>
      <w:pPr>
        <w:spacing w:line="360" w:lineRule="auto"/>
        <w:ind w:firstLine="422" w:firstLineChars="200"/>
        <w:rPr>
          <w:rFonts w:ascii="宋体" w:hAnsi="宋体"/>
          <w:b/>
          <w:bCs/>
          <w:color w:val="000000"/>
        </w:rPr>
      </w:pPr>
      <w:r>
        <w:rPr>
          <w:rFonts w:hint="eastAsia" w:ascii="宋体" w:hAnsi="宋体"/>
          <w:b/>
          <w:bCs/>
          <w:color w:val="000000"/>
        </w:rPr>
        <w:t>三、投资者风险承受能力评估</w:t>
      </w:r>
    </w:p>
    <w:p>
      <w:pPr>
        <w:spacing w:line="360" w:lineRule="auto"/>
        <w:ind w:firstLine="420" w:firstLineChars="200"/>
        <w:jc w:val="left"/>
        <w:rPr>
          <w:rFonts w:ascii="宋体" w:hAnsi="宋体"/>
          <w:color w:val="000000"/>
        </w:rPr>
      </w:pPr>
      <w:r>
        <w:rPr>
          <w:rFonts w:hint="eastAsia" w:ascii="宋体" w:hAnsi="宋体"/>
          <w:color w:val="000000"/>
        </w:rPr>
        <w:t>（一）本产品全部销售工作及投资者适当性评估由销售服务机构负责。个人投资者首次通过销售服务机构购买光大理财产品，需要与销售服务机构签署相关协议，并按照该协议约定在销售服务机构销售渠道进行风险承受能力评估，并对评估结果签字确认。</w:t>
      </w:r>
    </w:p>
    <w:p>
      <w:pPr>
        <w:spacing w:line="360" w:lineRule="auto"/>
        <w:ind w:firstLine="420" w:firstLineChars="200"/>
        <w:jc w:val="left"/>
        <w:rPr>
          <w:rFonts w:ascii="宋体" w:hAnsi="宋体" w:cs="宋体"/>
          <w:color w:val="000000"/>
          <w:szCs w:val="21"/>
        </w:rPr>
      </w:pPr>
      <w:r>
        <w:rPr>
          <w:rFonts w:hint="eastAsia" w:ascii="宋体" w:hAnsi="宋体"/>
          <w:color w:val="000000"/>
        </w:rPr>
        <w:t>（二）个人投资者风险承受能力评估结果有效期为一年，</w:t>
      </w:r>
      <w:r>
        <w:rPr>
          <w:rFonts w:hint="eastAsia" w:ascii="宋体" w:hAnsi="宋体" w:cs="宋体"/>
          <w:color w:val="000000"/>
          <w:szCs w:val="21"/>
        </w:rPr>
        <w:t>如风险承受能力评估时效已超过一年，或</w:t>
      </w:r>
      <w:r>
        <w:rPr>
          <w:rFonts w:hint="eastAsia" w:ascii="宋体" w:hAnsi="宋体" w:cs="宋体"/>
          <w:b/>
          <w:bCs/>
          <w:color w:val="000000"/>
          <w:szCs w:val="21"/>
        </w:rPr>
        <w:t>影响风险承受能力的因素发生变化，请及时完成风险承受能力的重新评估。</w:t>
      </w:r>
    </w:p>
    <w:p>
      <w:pPr>
        <w:spacing w:line="360" w:lineRule="auto"/>
        <w:ind w:firstLine="420" w:firstLineChars="200"/>
        <w:jc w:val="left"/>
        <w:rPr>
          <w:rFonts w:ascii="宋体" w:hAnsi="宋体"/>
          <w:color w:val="000000"/>
        </w:rPr>
      </w:pPr>
      <w:r>
        <w:rPr>
          <w:rFonts w:hint="eastAsia" w:ascii="宋体" w:hAnsi="宋体" w:cs="宋体"/>
          <w:color w:val="000000"/>
          <w:szCs w:val="21"/>
        </w:rPr>
        <w:t>（三）</w:t>
      </w:r>
      <w:r>
        <w:rPr>
          <w:rFonts w:hint="eastAsia" w:ascii="宋体" w:hAnsi="宋体"/>
          <w:color w:val="000000"/>
        </w:rPr>
        <w:t>个人投资者风险承受能力评估流程</w:t>
      </w:r>
    </w:p>
    <w:p>
      <w:pPr>
        <w:spacing w:line="360" w:lineRule="auto"/>
        <w:ind w:firstLine="420" w:firstLineChars="200"/>
        <w:jc w:val="left"/>
        <w:rPr>
          <w:rFonts w:ascii="宋体" w:hAnsi="宋体"/>
          <w:color w:val="000000"/>
        </w:rPr>
      </w:pPr>
      <w:r>
        <w:rPr>
          <w:rFonts w:hint="eastAsia" w:ascii="宋体" w:hAnsi="宋体"/>
          <w:color w:val="000000"/>
        </w:rPr>
        <w:t>1.个人投资者在销售服务机构进行风险承受能力评估；</w:t>
      </w:r>
    </w:p>
    <w:p>
      <w:pPr>
        <w:spacing w:line="360" w:lineRule="auto"/>
        <w:ind w:firstLine="420" w:firstLineChars="200"/>
        <w:jc w:val="left"/>
        <w:rPr>
          <w:rFonts w:ascii="宋体" w:hAnsi="宋体"/>
          <w:color w:val="000000"/>
        </w:rPr>
      </w:pPr>
      <w:r>
        <w:rPr>
          <w:rFonts w:hint="eastAsia" w:ascii="宋体" w:hAnsi="宋体"/>
          <w:color w:val="000000"/>
        </w:rPr>
        <w:t>2.填写销售服务机构个人投资者风险承受能力测试问卷；</w:t>
      </w:r>
    </w:p>
    <w:p>
      <w:pPr>
        <w:spacing w:line="360" w:lineRule="auto"/>
        <w:ind w:firstLine="420" w:firstLineChars="200"/>
        <w:jc w:val="left"/>
        <w:rPr>
          <w:rFonts w:ascii="宋体" w:hAnsi="宋体"/>
          <w:color w:val="000000"/>
        </w:rPr>
      </w:pPr>
      <w:r>
        <w:rPr>
          <w:rFonts w:hint="eastAsia" w:ascii="宋体" w:hAnsi="宋体"/>
          <w:color w:val="000000"/>
        </w:rPr>
        <w:t>3.生成相应的个人投资者风险承受能力评估结果；</w:t>
      </w:r>
    </w:p>
    <w:p>
      <w:pPr>
        <w:spacing w:line="360" w:lineRule="auto"/>
        <w:ind w:firstLine="420" w:firstLineChars="200"/>
        <w:jc w:val="left"/>
        <w:rPr>
          <w:rFonts w:ascii="宋体" w:hAnsi="宋体"/>
          <w:color w:val="000000"/>
        </w:rPr>
      </w:pPr>
      <w:r>
        <w:rPr>
          <w:rFonts w:hint="eastAsia" w:ascii="宋体" w:hAnsi="宋体"/>
          <w:color w:val="000000"/>
        </w:rPr>
        <w:t>4.投资者对评估结果进行确认。</w:t>
      </w:r>
    </w:p>
    <w:p>
      <w:pPr>
        <w:spacing w:line="360" w:lineRule="auto"/>
        <w:ind w:firstLine="420" w:firstLineChars="200"/>
        <w:jc w:val="left"/>
        <w:rPr>
          <w:rFonts w:ascii="宋体" w:hAnsi="宋体"/>
          <w:color w:val="000000"/>
        </w:rPr>
      </w:pPr>
      <w:r>
        <w:rPr>
          <w:rFonts w:hint="eastAsia" w:ascii="宋体" w:hAnsi="宋体"/>
          <w:color w:val="000000"/>
        </w:rPr>
        <w:t>（四）</w:t>
      </w:r>
      <w:r>
        <w:rPr>
          <w:rFonts w:hint="eastAsia" w:ascii="宋体" w:hAnsi="宋体" w:cs="宋体"/>
          <w:color w:val="000000"/>
          <w:szCs w:val="21"/>
        </w:rPr>
        <w:t>风险承受能力评估结果</w:t>
      </w:r>
      <w:r>
        <w:rPr>
          <w:rFonts w:hint="eastAsia" w:ascii="宋体" w:hAnsi="宋体"/>
          <w:color w:val="000000"/>
        </w:rPr>
        <w:t>将作为评价个人投资者是否适合购买理财产品的重要因素，风险承受能力评级越高适合购买的理财产品风险评级越高，适合购买的理财产品类型越丰富。</w:t>
      </w:r>
    </w:p>
    <w:p>
      <w:pPr>
        <w:spacing w:line="360" w:lineRule="auto"/>
        <w:ind w:firstLine="420" w:firstLineChars="200"/>
        <w:jc w:val="left"/>
        <w:rPr>
          <w:rFonts w:ascii="宋体" w:hAnsi="宋体"/>
          <w:color w:val="000000"/>
        </w:rPr>
      </w:pPr>
      <w:r>
        <w:rPr>
          <w:rFonts w:hint="eastAsia" w:ascii="宋体" w:hAnsi="宋体"/>
          <w:color w:val="000000"/>
        </w:rPr>
        <w:t>（五）销售服务机构在代销过程中，可参考光大理财的产品风险评级结果，自行判断确定本产品的风险评级，但应确保</w:t>
      </w:r>
      <w:r>
        <w:rPr>
          <w:rFonts w:hint="eastAsia" w:ascii="宋体" w:hAnsi="宋体" w:cs="宋体"/>
          <w:color w:val="000000"/>
          <w:szCs w:val="21"/>
        </w:rPr>
        <w:t>个人投资者的风险承受能力等级不低于本产品风险评级</w:t>
      </w:r>
      <w:r>
        <w:rPr>
          <w:rFonts w:hint="eastAsia" w:ascii="宋体" w:hAnsi="宋体"/>
          <w:color w:val="000000"/>
        </w:rPr>
        <w:t>。</w:t>
      </w:r>
      <w:bookmarkStart w:id="0" w:name="_Hlk75178592"/>
      <w:r>
        <w:rPr>
          <w:rFonts w:hint="eastAsia" w:ascii="宋体" w:hAnsi="宋体"/>
          <w:color w:val="000000"/>
        </w:rPr>
        <w:t>销售服务机构评级与光大理财产品评级结果不一致的，销售服务机构应当采用对应较高风险等级的评级结果并予以披露。</w:t>
      </w:r>
      <w:bookmarkEnd w:id="0"/>
    </w:p>
    <w:p>
      <w:pPr>
        <w:spacing w:line="360" w:lineRule="auto"/>
        <w:ind w:firstLine="420" w:firstLineChars="200"/>
        <w:jc w:val="left"/>
        <w:rPr>
          <w:rFonts w:ascii="宋体" w:hAnsi="宋体"/>
          <w:color w:val="000000"/>
        </w:rPr>
      </w:pPr>
      <w:r>
        <w:rPr>
          <w:rFonts w:hint="eastAsia" w:ascii="宋体" w:hAnsi="宋体"/>
          <w:color w:val="000000"/>
        </w:rPr>
        <w:t>（六）机构投资者购买理财产品前无需进行风险评估能力测试。</w:t>
      </w:r>
    </w:p>
    <w:p>
      <w:pPr>
        <w:spacing w:line="360" w:lineRule="auto"/>
        <w:ind w:firstLine="422" w:firstLineChars="200"/>
        <w:rPr>
          <w:rFonts w:ascii="宋体" w:hAnsi="宋体"/>
          <w:b/>
          <w:bCs/>
          <w:color w:val="000000"/>
        </w:rPr>
      </w:pPr>
      <w:r>
        <w:rPr>
          <w:rFonts w:hint="eastAsia" w:ascii="宋体" w:hAnsi="宋体"/>
          <w:b/>
          <w:bCs/>
          <w:color w:val="000000"/>
        </w:rPr>
        <w:t>四、理财产品信息披露</w:t>
      </w:r>
    </w:p>
    <w:p>
      <w:pPr>
        <w:spacing w:line="360" w:lineRule="auto"/>
        <w:ind w:firstLine="420" w:firstLineChars="200"/>
        <w:jc w:val="left"/>
        <w:rPr>
          <w:rFonts w:ascii="宋体" w:hAnsi="宋体"/>
          <w:color w:val="000000"/>
        </w:rPr>
      </w:pPr>
      <w:r>
        <w:rPr>
          <w:rFonts w:hint="eastAsia" w:ascii="宋体" w:hAnsi="宋体"/>
          <w:color w:val="000000"/>
        </w:rPr>
        <w:t>关于本</w:t>
      </w:r>
      <w:r>
        <w:rPr>
          <w:rFonts w:ascii="宋体" w:hAnsi="宋体"/>
          <w:color w:val="000000"/>
        </w:rPr>
        <w:t>理财产品相关信息的披露方式、渠道和频率，您可以</w:t>
      </w:r>
      <w:r>
        <w:rPr>
          <w:rFonts w:hint="eastAsia" w:ascii="宋体" w:hAnsi="宋体"/>
          <w:color w:val="000000"/>
        </w:rPr>
        <w:t>在理财产品说明书</w:t>
      </w:r>
      <w:r>
        <w:rPr>
          <w:rFonts w:ascii="宋体" w:hAnsi="宋体"/>
          <w:color w:val="000000"/>
        </w:rPr>
        <w:t>“信息披露”</w:t>
      </w:r>
      <w:r>
        <w:rPr>
          <w:rFonts w:hint="eastAsia" w:ascii="宋体" w:hAnsi="宋体"/>
          <w:color w:val="000000"/>
        </w:rPr>
        <w:t>章节</w:t>
      </w:r>
      <w:r>
        <w:rPr>
          <w:rFonts w:ascii="宋体" w:hAnsi="宋体"/>
          <w:color w:val="000000"/>
        </w:rPr>
        <w:t>中</w:t>
      </w:r>
      <w:r>
        <w:rPr>
          <w:rFonts w:hint="eastAsia" w:ascii="宋体" w:hAnsi="宋体"/>
          <w:color w:val="000000"/>
        </w:rPr>
        <w:t>查找到相关约定</w:t>
      </w:r>
      <w:r>
        <w:rPr>
          <w:rFonts w:ascii="宋体" w:hAnsi="宋体"/>
          <w:color w:val="000000"/>
        </w:rPr>
        <w:t>，</w:t>
      </w:r>
      <w:r>
        <w:rPr>
          <w:rFonts w:hint="eastAsia" w:ascii="宋体" w:hAnsi="宋体"/>
          <w:color w:val="000000"/>
        </w:rPr>
        <w:t>并</w:t>
      </w:r>
      <w:r>
        <w:rPr>
          <w:rFonts w:ascii="宋体" w:hAnsi="宋体"/>
          <w:color w:val="000000"/>
        </w:rPr>
        <w:t>通过</w:t>
      </w:r>
      <w:r>
        <w:rPr>
          <w:rFonts w:hint="eastAsia" w:ascii="宋体" w:hAnsi="宋体"/>
          <w:color w:val="000000"/>
        </w:rPr>
        <w:t>产品</w:t>
      </w:r>
      <w:r>
        <w:rPr>
          <w:rFonts w:ascii="宋体" w:hAnsi="宋体"/>
          <w:color w:val="000000"/>
        </w:rPr>
        <w:t>管理人</w:t>
      </w:r>
      <w:r>
        <w:rPr>
          <w:rFonts w:hint="eastAsia" w:ascii="宋体" w:hAnsi="宋体"/>
          <w:color w:val="000000"/>
        </w:rPr>
        <w:t>官方网站或销售服务机构网上销售平台查询具体披露信息。相关信息在发布或发出之日视为通知送达，请您及时查询。</w:t>
      </w:r>
    </w:p>
    <w:p>
      <w:pPr>
        <w:spacing w:line="360" w:lineRule="auto"/>
        <w:ind w:firstLine="422" w:firstLineChars="200"/>
        <w:rPr>
          <w:rFonts w:ascii="宋体" w:hAnsi="宋体"/>
          <w:b/>
          <w:bCs/>
          <w:color w:val="000000"/>
        </w:rPr>
      </w:pPr>
      <w:r>
        <w:rPr>
          <w:rFonts w:hint="eastAsia" w:ascii="宋体" w:hAnsi="宋体"/>
          <w:b/>
          <w:bCs/>
          <w:color w:val="000000"/>
        </w:rPr>
        <w:t>五、投资者对理财产品的投诉方式和程序</w:t>
      </w:r>
    </w:p>
    <w:p>
      <w:pPr>
        <w:spacing w:line="360" w:lineRule="auto"/>
        <w:ind w:firstLine="420" w:firstLineChars="200"/>
        <w:jc w:val="left"/>
        <w:rPr>
          <w:rFonts w:ascii="宋体" w:hAnsi="宋体"/>
          <w:color w:val="000000"/>
        </w:rPr>
      </w:pPr>
      <w:r>
        <w:rPr>
          <w:rFonts w:hint="eastAsia" w:ascii="宋体" w:hAnsi="宋体"/>
          <w:color w:val="000000"/>
        </w:rPr>
        <w:t>投资者如认为销售服务机构推介、销售产品时有不实或未尽风险告知职责或其它疑义事项，或</w:t>
      </w:r>
      <w:r>
        <w:rPr>
          <w:rFonts w:ascii="宋体" w:hAnsi="宋体"/>
          <w:color w:val="000000"/>
        </w:rPr>
        <w:t>对理财产品、</w:t>
      </w:r>
      <w:r>
        <w:rPr>
          <w:rFonts w:hint="eastAsia" w:ascii="宋体" w:hAnsi="宋体"/>
          <w:color w:val="000000"/>
        </w:rPr>
        <w:t>销售服务机构</w:t>
      </w:r>
      <w:r>
        <w:rPr>
          <w:rFonts w:ascii="宋体" w:hAnsi="宋体"/>
          <w:color w:val="000000"/>
        </w:rPr>
        <w:t>及理财产品管理人服务有任何意见</w:t>
      </w:r>
      <w:r>
        <w:rPr>
          <w:rFonts w:hint="eastAsia" w:ascii="宋体" w:hAnsi="宋体"/>
          <w:color w:val="000000"/>
        </w:rPr>
        <w:t>或</w:t>
      </w:r>
      <w:r>
        <w:rPr>
          <w:rFonts w:ascii="宋体" w:hAnsi="宋体"/>
          <w:color w:val="000000"/>
        </w:rPr>
        <w:t>建议，</w:t>
      </w:r>
      <w:r>
        <w:rPr>
          <w:rFonts w:hint="eastAsia" w:ascii="宋体" w:hAnsi="宋体"/>
          <w:color w:val="000000"/>
        </w:rPr>
        <w:t>投资者可通过拨打销售服务机构或产品管理人客户服务热线进行反馈。销售服务机构或产品管理人将由专人接听、记录您的意见或建议，并由双方协商共同解决。</w:t>
      </w:r>
    </w:p>
    <w:p>
      <w:pPr>
        <w:spacing w:line="360" w:lineRule="auto"/>
        <w:ind w:firstLine="422" w:firstLineChars="200"/>
        <w:rPr>
          <w:rFonts w:ascii="宋体" w:hAnsi="宋体"/>
          <w:b/>
          <w:bCs/>
          <w:color w:val="000000"/>
        </w:rPr>
      </w:pPr>
      <w:r>
        <w:rPr>
          <w:rFonts w:hint="eastAsia" w:ascii="宋体" w:hAnsi="宋体"/>
          <w:b/>
          <w:bCs/>
          <w:color w:val="000000"/>
        </w:rPr>
        <w:t>六、联络方式</w:t>
      </w:r>
    </w:p>
    <w:p>
      <w:pPr>
        <w:spacing w:line="360" w:lineRule="auto"/>
        <w:ind w:firstLine="420" w:firstLineChars="200"/>
        <w:rPr>
          <w:rFonts w:ascii="宋体" w:hAnsi="宋体"/>
          <w:color w:val="000000"/>
        </w:rPr>
      </w:pPr>
      <w:r>
        <w:rPr>
          <w:rFonts w:hint="eastAsia" w:ascii="宋体" w:hAnsi="宋体"/>
          <w:color w:val="000000"/>
        </w:rPr>
        <w:t>（一）光大理财有限责任公司</w:t>
      </w:r>
    </w:p>
    <w:p>
      <w:pPr>
        <w:spacing w:line="360" w:lineRule="auto"/>
        <w:ind w:firstLine="420" w:firstLineChars="200"/>
        <w:rPr>
          <w:rFonts w:ascii="宋体" w:hAnsi="宋体"/>
          <w:color w:val="000000"/>
        </w:rPr>
      </w:pPr>
      <w:r>
        <w:rPr>
          <w:rFonts w:hint="eastAsia" w:ascii="宋体" w:hAnsi="宋体"/>
          <w:color w:val="000000"/>
        </w:rPr>
        <w:t>1.官方网站：http://www.cebwm.com</w:t>
      </w:r>
    </w:p>
    <w:p>
      <w:pPr>
        <w:spacing w:line="360" w:lineRule="auto"/>
        <w:ind w:firstLine="420" w:firstLineChars="200"/>
        <w:rPr>
          <w:rFonts w:ascii="宋体" w:hAnsi="宋体"/>
          <w:color w:val="000000"/>
        </w:rPr>
      </w:pPr>
      <w:r>
        <w:rPr>
          <w:rFonts w:hint="eastAsia" w:ascii="宋体" w:hAnsi="宋体"/>
          <w:color w:val="000000"/>
        </w:rPr>
        <w:t>2.</w:t>
      </w:r>
      <w:r>
        <w:rPr>
          <w:rFonts w:ascii="宋体" w:hAnsi="宋体"/>
          <w:color w:val="000000"/>
        </w:rPr>
        <w:t>客户服务热线：</w:t>
      </w:r>
      <w:r>
        <w:rPr>
          <w:rFonts w:hint="eastAsia" w:ascii="宋体" w:hAnsi="宋体"/>
          <w:color w:val="000000"/>
        </w:rPr>
        <w:t>95595</w:t>
      </w:r>
    </w:p>
    <w:p>
      <w:pPr>
        <w:spacing w:line="360" w:lineRule="auto"/>
        <w:ind w:firstLine="420" w:firstLineChars="200"/>
        <w:rPr>
          <w:rFonts w:ascii="宋体" w:hAnsi="宋体"/>
          <w:color w:val="000000"/>
        </w:rPr>
      </w:pPr>
      <w:r>
        <w:rPr>
          <w:rFonts w:hint="eastAsia" w:ascii="宋体" w:hAnsi="宋体"/>
          <w:color w:val="000000"/>
        </w:rPr>
        <w:t>3.若上述联系方式变更，光大理财将提前通过原官方网站及时告知投资者。</w:t>
      </w:r>
    </w:p>
    <w:p>
      <w:pPr>
        <w:spacing w:line="360" w:lineRule="auto"/>
        <w:ind w:firstLine="420" w:firstLineChars="200"/>
        <w:rPr>
          <w:rFonts w:ascii="宋体" w:hAnsi="宋体"/>
          <w:color w:val="000000"/>
        </w:rPr>
      </w:pPr>
      <w:r>
        <w:rPr>
          <w:rFonts w:hint="eastAsia" w:ascii="宋体" w:hAnsi="宋体"/>
          <w:color w:val="000000"/>
        </w:rPr>
        <w:t>（二）销售服务机构联络方式详见销售服务机构提供的相关协议</w:t>
      </w:r>
    </w:p>
    <w:p>
      <w:pPr>
        <w:spacing w:line="360" w:lineRule="auto"/>
        <w:ind w:firstLine="420" w:firstLineChars="200"/>
        <w:rPr>
          <w:rFonts w:ascii="宋体" w:hAnsi="宋体"/>
          <w:color w:val="000000"/>
        </w:rPr>
      </w:pPr>
      <w:r>
        <w:rPr>
          <w:rFonts w:hint="eastAsia" w:ascii="宋体" w:hAnsi="宋体"/>
          <w:color w:val="000000"/>
        </w:rPr>
        <w:t>声明：本人/本公司（单位）知悉本理财产品完整销售文件包括理财产品投资协议书、销售（代理销售）协议书、理财产品说明书、风险揭示书、投资者权益须知等，本人/本公司（单位）确认已经收到本理财产品完整销售文件，且已经认真阅读、理解并接受所有条款及相关法律规定，确认已经获得满意的信息披露，理解并认可光大理财“阳光橙增盈抗通胀1号（1年最低持有）”理财产品的性质、风险及可能产生的损失，并愿意承担且有能力承担该等风险。</w:t>
      </w:r>
    </w:p>
    <w:p>
      <w:pPr>
        <w:spacing w:line="360" w:lineRule="auto"/>
        <w:jc w:val="center"/>
        <w:rPr>
          <w:rFonts w:ascii="黑体" w:hAnsi="黑体" w:eastAsia="黑体" w:cs="黑体"/>
          <w:b/>
          <w:bCs/>
          <w:color w:val="000000"/>
          <w:sz w:val="36"/>
          <w:szCs w:val="36"/>
        </w:rPr>
      </w:pPr>
      <w:r>
        <w:rPr>
          <w:rFonts w:hint="eastAsia" w:ascii="黑体" w:hAnsi="黑体" w:eastAsia="黑体" w:cs="黑体"/>
          <w:b/>
          <w:bCs/>
          <w:color w:val="000000"/>
          <w:sz w:val="36"/>
          <w:szCs w:val="36"/>
        </w:rPr>
        <w:br w:type="page"/>
      </w:r>
      <w:r>
        <w:rPr>
          <w:rFonts w:hint="eastAsia" w:ascii="黑体" w:hAnsi="黑体" w:eastAsia="黑体" w:cs="黑体"/>
          <w:b/>
          <w:bCs/>
          <w:color w:val="000000"/>
          <w:sz w:val="36"/>
          <w:szCs w:val="36"/>
        </w:rPr>
        <w:t>光大理财“阳光橙增盈抗通胀1号（1年最低持有）”理财产品说明书</w:t>
      </w:r>
    </w:p>
    <w:p>
      <w:pPr>
        <w:spacing w:line="360" w:lineRule="auto"/>
        <w:jc w:val="center"/>
        <w:rPr>
          <w:rFonts w:ascii="宋体" w:hAnsi="宋体" w:cs="宋体"/>
          <w:b/>
          <w:sz w:val="28"/>
          <w:szCs w:val="28"/>
        </w:rPr>
      </w:pPr>
      <w:r>
        <w:rPr>
          <w:rFonts w:hint="eastAsia" w:ascii="宋体" w:hAnsi="宋体" w:cs="宋体"/>
          <w:b/>
          <w:sz w:val="28"/>
          <w:szCs w:val="28"/>
        </w:rPr>
        <w:t>重要须知</w:t>
      </w:r>
    </w:p>
    <w:p>
      <w:pPr>
        <w:pStyle w:val="22"/>
        <w:numPr>
          <w:ilvl w:val="0"/>
          <w:numId w:val="2"/>
        </w:numPr>
        <w:spacing w:line="360" w:lineRule="auto"/>
        <w:ind w:left="-420" w:leftChars="-200" w:firstLineChars="0"/>
        <w:rPr>
          <w:rFonts w:ascii="宋体" w:hAnsi="宋体" w:cs="宋体"/>
          <w:b/>
          <w:bCs/>
          <w:color w:val="000000"/>
          <w:szCs w:val="21"/>
        </w:rPr>
      </w:pPr>
      <w:r>
        <w:rPr>
          <w:rFonts w:hint="eastAsia" w:ascii="宋体" w:hAnsi="宋体" w:cs="宋体"/>
          <w:szCs w:val="21"/>
        </w:rPr>
        <w:t>在购买本理财产品前，投资者应确保自己完全理解该项投资的性质和所涉及的风险，详细了解和审慎评估该理财产品的资金投向、风险类型等基本情况，在慎重考虑后自行决定购买与自身风险承受能力和资产管理需求匹配的理财产品。</w:t>
      </w:r>
    </w:p>
    <w:p>
      <w:pPr>
        <w:pStyle w:val="22"/>
        <w:numPr>
          <w:ilvl w:val="0"/>
          <w:numId w:val="2"/>
        </w:numPr>
        <w:spacing w:line="360" w:lineRule="auto"/>
        <w:ind w:left="-420" w:leftChars="-200" w:firstLineChars="0"/>
        <w:rPr>
          <w:rFonts w:ascii="宋体" w:hAnsi="宋体" w:cs="宋体"/>
          <w:szCs w:val="21"/>
        </w:rPr>
      </w:pPr>
      <w:r>
        <w:rPr>
          <w:rFonts w:hint="eastAsia" w:ascii="宋体" w:hAnsi="宋体" w:cs="宋体"/>
          <w:b/>
          <w:bCs/>
          <w:color w:val="000000"/>
          <w:szCs w:val="21"/>
        </w:rPr>
        <w:t>本理财产品不保证本金及收益，您的本金可能因市场变动而蒙受相应损失，投资者应充分认识投资风险，谨慎投资；本理财产品过往业绩不代表其未来表现，不等于理财产品实际收益，投资须谨慎；理财非存款、产品有风险、投资须谨慎。</w:t>
      </w:r>
    </w:p>
    <w:p>
      <w:pPr>
        <w:pStyle w:val="22"/>
        <w:numPr>
          <w:ilvl w:val="0"/>
          <w:numId w:val="2"/>
        </w:numPr>
        <w:spacing w:line="360" w:lineRule="auto"/>
        <w:ind w:left="-420" w:leftChars="-200" w:firstLineChars="0"/>
        <w:rPr>
          <w:rFonts w:ascii="宋体" w:hAnsi="宋体" w:cs="宋体"/>
          <w:szCs w:val="21"/>
        </w:rPr>
      </w:pPr>
      <w:r>
        <w:rPr>
          <w:rFonts w:hint="eastAsia" w:ascii="宋体" w:hAnsi="宋体" w:cs="宋体"/>
          <w:szCs w:val="21"/>
        </w:rPr>
        <w:t>本理财产品的任何业绩比较区间、业绩比较基准</w:t>
      </w:r>
      <w:r>
        <w:rPr>
          <w:rFonts w:hint="eastAsia" w:ascii="宋体" w:hAnsi="宋体" w:cs="宋体"/>
          <w:color w:val="000000"/>
          <w:szCs w:val="21"/>
        </w:rPr>
        <w:t>等</w:t>
      </w:r>
      <w:r>
        <w:rPr>
          <w:rFonts w:hint="eastAsia" w:ascii="宋体" w:hAnsi="宋体" w:cs="宋体"/>
          <w:szCs w:val="21"/>
        </w:rPr>
        <w:t>类似表述均属不具有法律约束力的用语，不代表投资者可能获得的实际收益，亦不构成光大理财有限责任公司（以下简称“光大理财”）对本理财产品的任何收益承诺。</w:t>
      </w:r>
    </w:p>
    <w:p>
      <w:pPr>
        <w:pStyle w:val="22"/>
        <w:numPr>
          <w:ilvl w:val="0"/>
          <w:numId w:val="2"/>
        </w:numPr>
        <w:spacing w:line="360" w:lineRule="auto"/>
        <w:ind w:left="-420" w:leftChars="-200" w:firstLineChars="0"/>
        <w:rPr>
          <w:rFonts w:ascii="宋体" w:hAnsi="宋体" w:cs="宋体"/>
          <w:szCs w:val="21"/>
        </w:rPr>
      </w:pPr>
      <w:r>
        <w:rPr>
          <w:rFonts w:hint="eastAsia" w:ascii="宋体" w:hAnsi="宋体" w:cs="宋体"/>
          <w:szCs w:val="21"/>
        </w:rPr>
        <w:t>《光大理财</w:t>
      </w:r>
      <w:bookmarkStart w:id="1" w:name="OLE_LINK3"/>
      <w:r>
        <w:rPr>
          <w:rFonts w:hint="eastAsia" w:ascii="宋体" w:hAnsi="宋体" w:cs="宋体"/>
          <w:szCs w:val="21"/>
        </w:rPr>
        <w:t>“阳光橙增盈抗通胀1号（1年最低持有）”</w:t>
      </w:r>
      <w:bookmarkEnd w:id="1"/>
      <w:r>
        <w:rPr>
          <w:rFonts w:hint="eastAsia" w:ascii="宋体" w:hAnsi="宋体" w:cs="宋体"/>
          <w:szCs w:val="21"/>
        </w:rPr>
        <w:t>理财产品说明书》《光大理财“阳光橙增盈抗通胀1号（1年最低持有）”理财产品风险揭示书》《投资者权益须知》《理财产品投资协议书》</w:t>
      </w:r>
      <w:bookmarkStart w:id="2" w:name="_Hlk75178698"/>
      <w:r>
        <w:rPr>
          <w:rFonts w:hint="eastAsia" w:ascii="宋体" w:hAnsi="宋体" w:cs="宋体"/>
          <w:szCs w:val="21"/>
        </w:rPr>
        <w:t>《</w:t>
      </w:r>
      <w:r>
        <w:rPr>
          <w:rFonts w:hint="eastAsia" w:ascii="宋体" w:hAnsi="宋体"/>
          <w:color w:val="000000"/>
          <w:szCs w:val="21"/>
        </w:rPr>
        <w:t>销售（代理销售）协议书</w:t>
      </w:r>
      <w:r>
        <w:rPr>
          <w:rFonts w:hint="eastAsia" w:ascii="宋体" w:hAnsi="宋体" w:cs="宋体"/>
          <w:szCs w:val="21"/>
        </w:rPr>
        <w:t>》等</w:t>
      </w:r>
      <w:bookmarkEnd w:id="2"/>
      <w:r>
        <w:rPr>
          <w:rFonts w:hint="eastAsia" w:ascii="宋体" w:hAnsi="宋体" w:cs="宋体"/>
          <w:szCs w:val="21"/>
        </w:rPr>
        <w:t>共同构成本理财产品完整的不可分割的理财产品销售文件。</w:t>
      </w:r>
    </w:p>
    <w:p>
      <w:pPr>
        <w:pStyle w:val="22"/>
        <w:numPr>
          <w:ilvl w:val="0"/>
          <w:numId w:val="2"/>
        </w:numPr>
        <w:spacing w:line="360" w:lineRule="auto"/>
        <w:ind w:left="-420" w:leftChars="-200" w:firstLineChars="0"/>
        <w:rPr>
          <w:rFonts w:ascii="宋体" w:hAnsi="宋体" w:cs="宋体"/>
          <w:szCs w:val="21"/>
        </w:rPr>
      </w:pPr>
      <w:r>
        <w:rPr>
          <w:rFonts w:hint="eastAsia" w:ascii="宋体" w:hAnsi="宋体" w:cs="宋体"/>
          <w:szCs w:val="21"/>
        </w:rPr>
        <w:t>本理财产品涉及的主要风险包括政策风险、信用风险、市场风险、流动性风险、管理风险、操作风险、产品不成立风险、兑付延期风险、提前终止风险、信息传递风险、销售风险、标的资产的特别投资风险及其他风险等。请仔细阅读《光大理财“阳光橙增盈抗通胀1号（1年最低持有）”理财产品风险揭示书》的“风险揭示”部分。</w:t>
      </w:r>
    </w:p>
    <w:p>
      <w:pPr>
        <w:pStyle w:val="22"/>
        <w:numPr>
          <w:ilvl w:val="0"/>
          <w:numId w:val="2"/>
        </w:numPr>
        <w:spacing w:line="360" w:lineRule="auto"/>
        <w:ind w:left="-420" w:leftChars="-200" w:firstLineChars="0"/>
        <w:rPr>
          <w:rFonts w:ascii="宋体" w:hAnsi="宋体" w:cs="宋体"/>
          <w:szCs w:val="21"/>
        </w:rPr>
      </w:pPr>
      <w:r>
        <w:rPr>
          <w:rFonts w:hint="eastAsia" w:ascii="宋体" w:hAnsi="宋体" w:cs="宋体"/>
          <w:szCs w:val="21"/>
        </w:rPr>
        <w:t>投资者不得使用贷款、发行债券等筹集的非自有资金投资本理财产品。</w:t>
      </w:r>
    </w:p>
    <w:p>
      <w:pPr>
        <w:pStyle w:val="24"/>
        <w:numPr>
          <w:ilvl w:val="0"/>
          <w:numId w:val="2"/>
        </w:numPr>
        <w:spacing w:line="360" w:lineRule="auto"/>
        <w:ind w:left="-420" w:leftChars="-200" w:firstLineChars="0"/>
        <w:rPr>
          <w:rFonts w:ascii="宋体" w:hAnsi="宋体" w:cs="宋体"/>
          <w:szCs w:val="21"/>
        </w:rPr>
      </w:pPr>
      <w:bookmarkStart w:id="3" w:name="_Hlk28677057"/>
      <w:r>
        <w:rPr>
          <w:rFonts w:hint="eastAsia" w:ascii="宋体" w:hAnsi="宋体" w:cs="宋体"/>
          <w:szCs w:val="21"/>
        </w:rPr>
        <w:t>本理财产品类型为</w:t>
      </w:r>
      <w:r>
        <w:rPr>
          <w:rFonts w:hint="eastAsia" w:ascii="宋体" w:hAnsi="宋体" w:cs="宋体"/>
          <w:b/>
          <w:bCs/>
          <w:szCs w:val="21"/>
          <w:u w:val="single"/>
        </w:rPr>
        <w:t>混合类产品</w:t>
      </w:r>
      <w:r>
        <w:rPr>
          <w:rFonts w:hint="eastAsia" w:ascii="宋体" w:hAnsi="宋体" w:cs="宋体"/>
          <w:szCs w:val="21"/>
        </w:rPr>
        <w:t>。若法律法规、国家监管政策或市场情况发生变化，光大理财在不改变产品类型的情况下，可对本说明书中已约定的投资范围、投资品种、投资比例以及收费项目、条件、标准、方式和收益分配原则进行调整。该调整事项将于生效前2个工作日通过产品管理人官方网站或销售服务机构网上销售平台进行书面公告以征求投资者意见。若本理财产品的投资者不接受上述调整，则应及时通过销售服务机构营业网点或网上销售平台赎回本产品（高风险类型的理财产品超出比例范围投资较低风险资产的情况除外）；若本理财产品投资者未赎回本产品，则视为本理财产品投资者对相关调整无异议并同意继续持有本理财产品。</w:t>
      </w:r>
      <w:bookmarkEnd w:id="3"/>
    </w:p>
    <w:p>
      <w:pPr>
        <w:pStyle w:val="22"/>
        <w:numPr>
          <w:ilvl w:val="0"/>
          <w:numId w:val="2"/>
        </w:numPr>
        <w:spacing w:line="360" w:lineRule="auto"/>
        <w:ind w:left="-24" w:leftChars="-200" w:hanging="396" w:hangingChars="189"/>
        <w:rPr>
          <w:rFonts w:ascii="宋体" w:hAnsi="宋体" w:cs="宋体"/>
          <w:szCs w:val="21"/>
        </w:rPr>
      </w:pPr>
      <w:r>
        <w:rPr>
          <w:rFonts w:hint="eastAsia" w:ascii="宋体" w:hAnsi="宋体" w:cs="宋体"/>
          <w:szCs w:val="21"/>
        </w:rPr>
        <w:t>在本产品存续期内，如因监管政策或法律法规发生变化，在不损害投资者利益的前提下，光大理财有权单方对本产品条款进行修订。</w:t>
      </w:r>
    </w:p>
    <w:p>
      <w:pPr>
        <w:pStyle w:val="22"/>
        <w:numPr>
          <w:ilvl w:val="0"/>
          <w:numId w:val="2"/>
        </w:numPr>
        <w:spacing w:line="360" w:lineRule="auto"/>
        <w:ind w:left="-21" w:leftChars="-200" w:hanging="399" w:hangingChars="190"/>
        <w:rPr>
          <w:rFonts w:ascii="宋体" w:hAnsi="宋体" w:cs="宋体"/>
          <w:szCs w:val="21"/>
        </w:rPr>
      </w:pPr>
      <w:r>
        <w:rPr>
          <w:rFonts w:hint="eastAsia" w:ascii="宋体" w:hAnsi="宋体" w:cs="宋体"/>
          <w:szCs w:val="21"/>
        </w:rPr>
        <w:t>在购买本理财产品后，投资者应随时关注该理财产品的信息披露情况，及时获取相关信息。</w:t>
      </w:r>
    </w:p>
    <w:p>
      <w:pPr>
        <w:pStyle w:val="22"/>
        <w:numPr>
          <w:ilvl w:val="0"/>
          <w:numId w:val="2"/>
        </w:numPr>
        <w:spacing w:line="360" w:lineRule="auto"/>
        <w:ind w:left="-24" w:leftChars="-200" w:hanging="396" w:hangingChars="189"/>
        <w:rPr>
          <w:rFonts w:ascii="宋体" w:hAnsi="宋体" w:cs="宋体"/>
          <w:szCs w:val="21"/>
        </w:rPr>
      </w:pPr>
      <w:r>
        <w:rPr>
          <w:rFonts w:hint="eastAsia" w:ascii="宋体" w:hAnsi="宋体" w:cs="宋体"/>
          <w:szCs w:val="21"/>
        </w:rPr>
        <w:t>投资者通过销售服务机构或直接与光大理财签署理财产品投资协议书等销售文件后，销售服务机构或光大理财在划款时，不再通过任何方式与投资者进行最后确认，直接划款。</w:t>
      </w:r>
    </w:p>
    <w:p>
      <w:pPr>
        <w:pStyle w:val="22"/>
        <w:spacing w:line="360" w:lineRule="auto"/>
        <w:ind w:firstLine="0" w:firstLineChars="0"/>
        <w:jc w:val="left"/>
        <w:rPr>
          <w:rFonts w:ascii="宋体" w:hAnsi="宋体" w:cs="宋体"/>
          <w:sz w:val="22"/>
        </w:rPr>
      </w:pPr>
    </w:p>
    <w:p>
      <w:pPr>
        <w:spacing w:line="360" w:lineRule="auto"/>
        <w:jc w:val="center"/>
        <w:rPr>
          <w:rFonts w:ascii="宋体" w:hAnsi="宋体" w:cs="宋体"/>
          <w:b/>
          <w:sz w:val="28"/>
          <w:szCs w:val="28"/>
        </w:rPr>
      </w:pPr>
      <w:r>
        <w:rPr>
          <w:rFonts w:hint="eastAsia" w:ascii="宋体" w:hAnsi="宋体" w:cs="宋体"/>
          <w:b/>
          <w:sz w:val="28"/>
          <w:szCs w:val="28"/>
        </w:rPr>
        <w:t>一、产品要素</w:t>
      </w:r>
    </w:p>
    <w:p>
      <w:pPr>
        <w:spacing w:line="360" w:lineRule="auto"/>
        <w:ind w:firstLine="420" w:firstLineChars="200"/>
        <w:rPr>
          <w:rFonts w:ascii="宋体" w:hAnsi="宋体" w:cs="宋体"/>
          <w:szCs w:val="21"/>
        </w:rPr>
      </w:pPr>
      <w:r>
        <w:rPr>
          <w:rFonts w:hint="eastAsia" w:ascii="宋体" w:hAnsi="宋体" w:cs="宋体"/>
          <w:szCs w:val="21"/>
        </w:rPr>
        <w:t>为保护投资者合法权益，尊重投资者的知情权和自主选择权，现将本理财产品的基本条款说明如下：</w:t>
      </w:r>
    </w:p>
    <w:p>
      <w:pPr>
        <w:spacing w:line="360" w:lineRule="auto"/>
        <w:ind w:firstLine="422" w:firstLineChars="200"/>
        <w:rPr>
          <w:rFonts w:ascii="宋体" w:hAnsi="宋体" w:cs="宋体"/>
          <w:b/>
          <w:szCs w:val="21"/>
        </w:rPr>
      </w:pPr>
    </w:p>
    <w:tbl>
      <w:tblPr>
        <w:tblStyle w:val="14"/>
        <w:tblW w:w="9328"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7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815" w:type="dxa"/>
            <w:vAlign w:val="center"/>
          </w:tcPr>
          <w:p>
            <w:pPr>
              <w:widowControl/>
              <w:spacing w:line="300" w:lineRule="atLeast"/>
              <w:jc w:val="center"/>
              <w:textAlignment w:val="top"/>
              <w:rPr>
                <w:rFonts w:ascii="宋体" w:hAnsi="宋体" w:cs="宋体"/>
                <w:b/>
                <w:szCs w:val="21"/>
              </w:rPr>
            </w:pPr>
            <w:r>
              <w:rPr>
                <w:rFonts w:hint="eastAsia" w:ascii="宋体" w:hAnsi="宋体" w:cs="宋体"/>
                <w:b/>
                <w:szCs w:val="21"/>
              </w:rPr>
              <w:t>产品名称</w:t>
            </w:r>
          </w:p>
        </w:tc>
        <w:tc>
          <w:tcPr>
            <w:tcW w:w="7513" w:type="dxa"/>
            <w:vAlign w:val="center"/>
          </w:tcPr>
          <w:p>
            <w:pPr>
              <w:widowControl/>
              <w:spacing w:line="300" w:lineRule="atLeast"/>
              <w:jc w:val="center"/>
              <w:textAlignment w:val="top"/>
              <w:rPr>
                <w:rFonts w:ascii="宋体" w:hAnsi="宋体" w:cs="宋体"/>
                <w:szCs w:val="21"/>
              </w:rPr>
            </w:pPr>
            <w:r>
              <w:rPr>
                <w:rFonts w:hint="eastAsia" w:ascii="宋体" w:hAnsi="宋体" w:cs="宋体"/>
                <w:szCs w:val="21"/>
              </w:rPr>
              <w:t>阳光橙增盈抗通胀1号（1年最低持有）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815" w:type="dxa"/>
            <w:vAlign w:val="center"/>
          </w:tcPr>
          <w:p>
            <w:pPr>
              <w:widowControl/>
              <w:spacing w:line="300" w:lineRule="atLeast"/>
              <w:jc w:val="center"/>
              <w:textAlignment w:val="top"/>
              <w:rPr>
                <w:rFonts w:ascii="宋体" w:hAnsi="宋体" w:cs="宋体"/>
                <w:b/>
                <w:szCs w:val="21"/>
              </w:rPr>
            </w:pPr>
            <w:r>
              <w:rPr>
                <w:rFonts w:hint="eastAsia" w:ascii="宋体" w:hAnsi="宋体" w:cs="宋体"/>
                <w:b/>
                <w:kern w:val="0"/>
                <w:szCs w:val="21"/>
              </w:rPr>
              <w:t>产品编号</w:t>
            </w:r>
          </w:p>
        </w:tc>
        <w:tc>
          <w:tcPr>
            <w:tcW w:w="7513" w:type="dxa"/>
            <w:vAlign w:val="center"/>
          </w:tcPr>
          <w:p>
            <w:pPr>
              <w:widowControl/>
              <w:spacing w:line="300" w:lineRule="atLeast"/>
              <w:jc w:val="center"/>
              <w:textAlignment w:val="top"/>
              <w:rPr>
                <w:rFonts w:ascii="宋体" w:hAnsi="宋体" w:cs="宋体"/>
                <w:szCs w:val="21"/>
              </w:rPr>
            </w:pPr>
            <w:bookmarkStart w:id="4" w:name="OLE_LINK17"/>
            <w:r>
              <w:rPr>
                <w:rFonts w:hint="eastAsia" w:ascii="宋体" w:hAnsi="宋体" w:cs="宋体"/>
                <w:szCs w:val="21"/>
              </w:rPr>
              <w:t>EW0223</w:t>
            </w:r>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815" w:type="dxa"/>
            <w:vAlign w:val="center"/>
          </w:tcPr>
          <w:p>
            <w:pPr>
              <w:widowControl/>
              <w:spacing w:line="300" w:lineRule="atLeast"/>
              <w:jc w:val="center"/>
              <w:textAlignment w:val="top"/>
              <w:rPr>
                <w:rFonts w:ascii="宋体" w:hAnsi="宋体" w:cs="宋体"/>
                <w:b/>
                <w:kern w:val="0"/>
                <w:szCs w:val="21"/>
              </w:rPr>
            </w:pPr>
            <w:r>
              <w:rPr>
                <w:rFonts w:hint="eastAsia" w:ascii="宋体" w:hAnsi="宋体" w:cs="宋体"/>
                <w:b/>
                <w:kern w:val="0"/>
                <w:szCs w:val="21"/>
              </w:rPr>
              <w:t>理财产品</w:t>
            </w:r>
          </w:p>
          <w:p>
            <w:pPr>
              <w:widowControl/>
              <w:spacing w:line="300" w:lineRule="atLeast"/>
              <w:jc w:val="center"/>
              <w:textAlignment w:val="top"/>
              <w:rPr>
                <w:rFonts w:ascii="宋体" w:hAnsi="宋体" w:cs="宋体"/>
                <w:b/>
                <w:kern w:val="0"/>
                <w:szCs w:val="21"/>
              </w:rPr>
            </w:pPr>
            <w:r>
              <w:rPr>
                <w:rFonts w:hint="eastAsia" w:ascii="宋体" w:hAnsi="宋体" w:cs="宋体"/>
                <w:b/>
                <w:kern w:val="0"/>
                <w:szCs w:val="21"/>
              </w:rPr>
              <w:t>登记编码</w:t>
            </w:r>
          </w:p>
        </w:tc>
        <w:tc>
          <w:tcPr>
            <w:tcW w:w="7513" w:type="dxa"/>
            <w:vAlign w:val="center"/>
          </w:tcPr>
          <w:p>
            <w:pPr>
              <w:widowControl/>
              <w:spacing w:line="300" w:lineRule="atLeast"/>
              <w:jc w:val="center"/>
              <w:textAlignment w:val="top"/>
              <w:rPr>
                <w:rFonts w:hint="eastAsia" w:ascii="宋体" w:hAnsi="宋体" w:cs="宋体"/>
                <w:szCs w:val="21"/>
                <w:lang w:val="en-US" w:eastAsia="zh-CN"/>
              </w:rPr>
            </w:pPr>
            <w:r>
              <w:rPr>
                <w:rFonts w:hint="eastAsia" w:ascii="宋体" w:hAnsi="宋体" w:cs="宋体"/>
                <w:szCs w:val="21"/>
              </w:rPr>
              <w:t>Z700142</w:t>
            </w:r>
            <w:r>
              <w:rPr>
                <w:rFonts w:hint="eastAsia" w:ascii="宋体" w:hAnsi="宋体" w:cs="宋体"/>
                <w:szCs w:val="21"/>
                <w:lang w:val="en-US" w:eastAsia="zh-CN"/>
              </w:rPr>
              <w:t>1</w:t>
            </w:r>
            <w:r>
              <w:rPr>
                <w:rFonts w:hint="eastAsia" w:ascii="宋体" w:hAnsi="宋体" w:cs="宋体"/>
                <w:szCs w:val="21"/>
              </w:rPr>
              <w:t>0000</w:t>
            </w:r>
            <w:r>
              <w:rPr>
                <w:rFonts w:hint="eastAsia" w:ascii="宋体" w:hAnsi="宋体" w:cs="宋体"/>
                <w:szCs w:val="21"/>
                <w:lang w:val="en-US" w:eastAsia="zh-CN"/>
              </w:rPr>
              <w:t>54</w:t>
            </w:r>
          </w:p>
          <w:p>
            <w:pPr>
              <w:widowControl/>
              <w:spacing w:line="300" w:lineRule="atLeast"/>
              <w:textAlignment w:val="top"/>
              <w:rPr>
                <w:rFonts w:ascii="宋体" w:hAnsi="宋体" w:cs="宋体"/>
                <w:kern w:val="0"/>
                <w:szCs w:val="21"/>
              </w:rPr>
            </w:pPr>
            <w:r>
              <w:rPr>
                <w:rFonts w:hint="eastAsia" w:ascii="宋体" w:hAnsi="宋体" w:cs="宋体"/>
                <w:szCs w:val="21"/>
              </w:rPr>
              <w:t>（投资者可依据该编码在中国理财网www.chinawealth.com.cn查询产品信息）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815" w:type="dxa"/>
            <w:vAlign w:val="center"/>
          </w:tcPr>
          <w:p>
            <w:pPr>
              <w:widowControl/>
              <w:spacing w:line="300" w:lineRule="atLeast"/>
              <w:jc w:val="center"/>
              <w:textAlignment w:val="top"/>
              <w:rPr>
                <w:rFonts w:ascii="宋体" w:hAnsi="宋体" w:cs="宋体"/>
                <w:b/>
                <w:szCs w:val="21"/>
              </w:rPr>
            </w:pPr>
            <w:bookmarkStart w:id="5" w:name="OLE_LINK19" w:colFirst="1" w:colLast="1"/>
            <w:r>
              <w:rPr>
                <w:rFonts w:hint="eastAsia" w:ascii="宋体" w:hAnsi="宋体" w:cs="宋体"/>
                <w:b/>
                <w:szCs w:val="21"/>
              </w:rPr>
              <w:t>产品管理人</w:t>
            </w:r>
          </w:p>
        </w:tc>
        <w:tc>
          <w:tcPr>
            <w:tcW w:w="7513" w:type="dxa"/>
            <w:vAlign w:val="center"/>
          </w:tcPr>
          <w:p>
            <w:pPr>
              <w:widowControl/>
              <w:spacing w:line="300" w:lineRule="atLeast"/>
              <w:jc w:val="center"/>
              <w:textAlignment w:val="top"/>
              <w:rPr>
                <w:rFonts w:ascii="宋体" w:hAnsi="宋体" w:cs="宋体"/>
                <w:kern w:val="0"/>
                <w:szCs w:val="21"/>
              </w:rPr>
            </w:pPr>
            <w:r>
              <w:rPr>
                <w:rFonts w:hint="eastAsia" w:ascii="宋体" w:hAnsi="宋体" w:cs="宋体"/>
                <w:szCs w:val="21"/>
              </w:rPr>
              <w:t>光大理财有限责任公司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815" w:type="dxa"/>
            <w:vAlign w:val="center"/>
          </w:tcPr>
          <w:p>
            <w:pPr>
              <w:widowControl/>
              <w:spacing w:line="300" w:lineRule="atLeast"/>
              <w:jc w:val="center"/>
              <w:textAlignment w:val="top"/>
              <w:rPr>
                <w:rFonts w:ascii="宋体" w:hAnsi="宋体" w:cs="宋体"/>
                <w:b/>
                <w:szCs w:val="21"/>
              </w:rPr>
            </w:pPr>
            <w:r>
              <w:rPr>
                <w:rFonts w:hint="eastAsia" w:ascii="宋体" w:hAnsi="宋体" w:cs="宋体"/>
                <w:b/>
                <w:szCs w:val="21"/>
              </w:rPr>
              <w:t>产品托管人</w:t>
            </w:r>
          </w:p>
        </w:tc>
        <w:tc>
          <w:tcPr>
            <w:tcW w:w="7513" w:type="dxa"/>
            <w:vAlign w:val="center"/>
          </w:tcPr>
          <w:p>
            <w:pPr>
              <w:widowControl/>
              <w:spacing w:line="300" w:lineRule="atLeast"/>
              <w:jc w:val="center"/>
              <w:textAlignment w:val="top"/>
              <w:rPr>
                <w:rFonts w:ascii="宋体" w:hAnsi="宋体" w:cs="宋体"/>
                <w:szCs w:val="21"/>
              </w:rPr>
            </w:pPr>
            <w:r>
              <w:rPr>
                <w:rFonts w:hint="eastAsia" w:ascii="宋体" w:hAnsi="宋体" w:cs="宋体"/>
                <w:szCs w:val="21"/>
              </w:rPr>
              <w:t>光大银行股份有限公司</w:t>
            </w:r>
          </w:p>
        </w:tc>
      </w:tr>
      <w:bookmarkEnd w:id="5"/>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815" w:type="dxa"/>
            <w:vAlign w:val="center"/>
          </w:tcPr>
          <w:p>
            <w:pPr>
              <w:widowControl/>
              <w:spacing w:line="300" w:lineRule="atLeast"/>
              <w:jc w:val="center"/>
              <w:textAlignment w:val="top"/>
              <w:rPr>
                <w:rFonts w:ascii="宋体" w:hAnsi="宋体" w:cs="宋体"/>
                <w:b/>
                <w:szCs w:val="21"/>
              </w:rPr>
            </w:pPr>
            <w:r>
              <w:rPr>
                <w:rFonts w:hint="eastAsia" w:ascii="宋体" w:hAnsi="宋体" w:cs="宋体"/>
                <w:b/>
                <w:kern w:val="0"/>
                <w:szCs w:val="21"/>
              </w:rPr>
              <w:t>产品内部</w:t>
            </w:r>
            <w:r>
              <w:rPr>
                <w:rFonts w:hint="eastAsia" w:ascii="宋体" w:hAnsi="宋体" w:cs="宋体"/>
                <w:b/>
                <w:kern w:val="0"/>
                <w:szCs w:val="21"/>
              </w:rPr>
              <w:br w:type="textWrapping"/>
            </w:r>
            <w:r>
              <w:rPr>
                <w:rFonts w:hint="eastAsia" w:ascii="宋体" w:hAnsi="宋体" w:cs="宋体"/>
                <w:b/>
                <w:kern w:val="0"/>
                <w:szCs w:val="21"/>
              </w:rPr>
              <w:t>风险评级</w:t>
            </w:r>
          </w:p>
        </w:tc>
        <w:tc>
          <w:tcPr>
            <w:tcW w:w="7513" w:type="dxa"/>
            <w:vAlign w:val="center"/>
          </w:tcPr>
          <w:p>
            <w:pPr>
              <w:widowControl/>
              <w:spacing w:line="300" w:lineRule="atLeast"/>
              <w:jc w:val="center"/>
              <w:textAlignment w:val="top"/>
              <w:rPr>
                <w:rFonts w:ascii="宋体" w:hAnsi="宋体" w:cs="宋体"/>
                <w:kern w:val="0"/>
                <w:szCs w:val="21"/>
              </w:rPr>
            </w:pPr>
            <w:r>
              <w:rPr>
                <w:rFonts w:hint="eastAsia" w:ascii="宋体" w:hAnsi="宋体" w:cs="宋体"/>
                <w:kern w:val="0"/>
                <w:szCs w:val="21"/>
              </w:rPr>
              <w:t>三星级</w:t>
            </w:r>
          </w:p>
          <w:p>
            <w:pPr>
              <w:widowControl/>
              <w:spacing w:line="300" w:lineRule="atLeast"/>
              <w:jc w:val="center"/>
              <w:textAlignment w:val="top"/>
              <w:rPr>
                <w:rFonts w:ascii="宋体" w:hAnsi="宋体" w:cs="宋体"/>
                <w:szCs w:val="21"/>
              </w:rPr>
            </w:pPr>
            <w:r>
              <w:rPr>
                <w:rFonts w:hint="eastAsia" w:ascii="宋体" w:hAnsi="宋体" w:cs="宋体"/>
                <w:kern w:val="0"/>
                <w:szCs w:val="21"/>
              </w:rPr>
              <w:t>（本评级为光大理财有限责任公司内部评级，仅供参考）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815" w:type="dxa"/>
            <w:vAlign w:val="center"/>
          </w:tcPr>
          <w:p>
            <w:pPr>
              <w:widowControl/>
              <w:spacing w:line="300" w:lineRule="atLeast"/>
              <w:jc w:val="center"/>
              <w:textAlignment w:val="top"/>
              <w:rPr>
                <w:rFonts w:ascii="宋体" w:hAnsi="宋体" w:cs="宋体"/>
                <w:b/>
                <w:kern w:val="0"/>
                <w:szCs w:val="21"/>
              </w:rPr>
            </w:pPr>
            <w:r>
              <w:rPr>
                <w:rFonts w:hint="eastAsia" w:ascii="宋体" w:hAnsi="宋体" w:cs="宋体"/>
                <w:b/>
                <w:kern w:val="0"/>
                <w:szCs w:val="21"/>
              </w:rPr>
              <w:t>产品类型</w:t>
            </w:r>
          </w:p>
        </w:tc>
        <w:tc>
          <w:tcPr>
            <w:tcW w:w="7513" w:type="dxa"/>
            <w:vAlign w:val="center"/>
          </w:tcPr>
          <w:p>
            <w:pPr>
              <w:widowControl/>
              <w:spacing w:line="300" w:lineRule="atLeast"/>
              <w:jc w:val="center"/>
              <w:textAlignment w:val="top"/>
              <w:rPr>
                <w:rFonts w:ascii="宋体" w:hAnsi="宋体" w:cs="宋体"/>
                <w:kern w:val="0"/>
                <w:szCs w:val="21"/>
              </w:rPr>
            </w:pPr>
            <w:bookmarkStart w:id="6" w:name="OLE_LINK24"/>
            <w:r>
              <w:rPr>
                <w:rFonts w:hint="eastAsia" w:ascii="宋体" w:hAnsi="宋体" w:cs="宋体"/>
                <w:kern w:val="0"/>
                <w:szCs w:val="21"/>
              </w:rPr>
              <w:t>混合类，非保本浮动收益型</w:t>
            </w:r>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815" w:type="dxa"/>
            <w:vAlign w:val="center"/>
          </w:tcPr>
          <w:p>
            <w:pPr>
              <w:widowControl/>
              <w:spacing w:line="300" w:lineRule="atLeast"/>
              <w:jc w:val="center"/>
              <w:textAlignment w:val="top"/>
              <w:rPr>
                <w:rFonts w:ascii="宋体" w:hAnsi="宋体" w:cs="宋体"/>
                <w:b/>
                <w:szCs w:val="21"/>
              </w:rPr>
            </w:pPr>
            <w:r>
              <w:rPr>
                <w:rFonts w:hint="eastAsia" w:ascii="宋体" w:hAnsi="宋体" w:cs="宋体"/>
                <w:b/>
                <w:szCs w:val="21"/>
              </w:rPr>
              <w:t>产品运作模式</w:t>
            </w:r>
          </w:p>
        </w:tc>
        <w:tc>
          <w:tcPr>
            <w:tcW w:w="7513" w:type="dxa"/>
            <w:vAlign w:val="center"/>
          </w:tcPr>
          <w:p>
            <w:pPr>
              <w:widowControl/>
              <w:spacing w:line="300" w:lineRule="atLeast"/>
              <w:jc w:val="center"/>
              <w:textAlignment w:val="top"/>
              <w:rPr>
                <w:rFonts w:ascii="宋体" w:hAnsi="宋体" w:cs="宋体"/>
                <w:szCs w:val="21"/>
              </w:rPr>
            </w:pPr>
            <w:r>
              <w:rPr>
                <w:rFonts w:hint="eastAsia" w:ascii="宋体" w:hAnsi="宋体" w:cs="宋体"/>
                <w:szCs w:val="21"/>
              </w:rPr>
              <w:t>开放式净值型产品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815" w:type="dxa"/>
            <w:vAlign w:val="center"/>
          </w:tcPr>
          <w:p>
            <w:pPr>
              <w:widowControl/>
              <w:spacing w:line="300" w:lineRule="atLeast"/>
              <w:jc w:val="center"/>
              <w:textAlignment w:val="top"/>
              <w:rPr>
                <w:rFonts w:ascii="宋体" w:hAnsi="宋体" w:cs="宋体"/>
                <w:b/>
                <w:szCs w:val="21"/>
              </w:rPr>
            </w:pPr>
            <w:r>
              <w:rPr>
                <w:rFonts w:hint="eastAsia" w:ascii="宋体" w:hAnsi="宋体" w:cs="宋体"/>
                <w:b/>
                <w:szCs w:val="21"/>
              </w:rPr>
              <w:t>产品募集方式</w:t>
            </w:r>
          </w:p>
        </w:tc>
        <w:tc>
          <w:tcPr>
            <w:tcW w:w="7513" w:type="dxa"/>
            <w:vAlign w:val="center"/>
          </w:tcPr>
          <w:p>
            <w:pPr>
              <w:widowControl/>
              <w:spacing w:line="300" w:lineRule="atLeast"/>
              <w:jc w:val="center"/>
              <w:textAlignment w:val="top"/>
              <w:rPr>
                <w:rFonts w:ascii="宋体" w:hAnsi="宋体" w:cs="宋体"/>
                <w:szCs w:val="21"/>
              </w:rPr>
            </w:pPr>
            <w:r>
              <w:rPr>
                <w:rFonts w:hint="eastAsia" w:ascii="宋体" w:hAnsi="宋体" w:cs="宋体"/>
                <w:szCs w:val="21"/>
              </w:rPr>
              <w:t>公募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815" w:type="dxa"/>
            <w:vAlign w:val="center"/>
          </w:tcPr>
          <w:p>
            <w:pPr>
              <w:widowControl/>
              <w:spacing w:line="300" w:lineRule="atLeast"/>
              <w:jc w:val="center"/>
              <w:textAlignment w:val="top"/>
              <w:rPr>
                <w:rFonts w:ascii="宋体" w:hAnsi="宋体" w:cs="宋体"/>
                <w:b/>
                <w:szCs w:val="21"/>
              </w:rPr>
            </w:pPr>
            <w:bookmarkStart w:id="7" w:name="OLE_LINK25" w:colFirst="1" w:colLast="1"/>
            <w:r>
              <w:rPr>
                <w:rFonts w:hint="eastAsia" w:ascii="宋体" w:hAnsi="宋体" w:cs="宋体"/>
                <w:b/>
                <w:szCs w:val="21"/>
              </w:rPr>
              <w:t>销售对象</w:t>
            </w:r>
          </w:p>
        </w:tc>
        <w:tc>
          <w:tcPr>
            <w:tcW w:w="7513" w:type="dxa"/>
            <w:vAlign w:val="center"/>
          </w:tcPr>
          <w:p>
            <w:pPr>
              <w:widowControl/>
              <w:spacing w:line="300" w:lineRule="atLeast"/>
              <w:textAlignment w:val="top"/>
              <w:rPr>
                <w:rFonts w:ascii="宋体" w:hAnsi="宋体" w:cs="宋体"/>
                <w:szCs w:val="21"/>
              </w:rPr>
            </w:pPr>
            <w:r>
              <w:rPr>
                <w:rFonts w:hint="eastAsia" w:ascii="宋体" w:hAnsi="宋体" w:cs="宋体"/>
                <w:szCs w:val="21"/>
              </w:rPr>
              <w:t>本产品面向不特定社会公众（个人和机构投资者）销售。其中个人投资者需为经销售服务机构评估风险承受能力为平衡型及以上的个人投资者（法律、法规和有关规定禁止购买者除外）</w:t>
            </w:r>
          </w:p>
        </w:tc>
      </w:tr>
      <w:bookmarkEnd w:id="7"/>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815" w:type="dxa"/>
            <w:vAlign w:val="center"/>
          </w:tcPr>
          <w:p>
            <w:pPr>
              <w:widowControl/>
              <w:spacing w:line="300" w:lineRule="atLeast"/>
              <w:jc w:val="center"/>
              <w:textAlignment w:val="top"/>
              <w:rPr>
                <w:rFonts w:ascii="宋体" w:hAnsi="宋体" w:cs="宋体"/>
                <w:b/>
                <w:kern w:val="0"/>
                <w:szCs w:val="21"/>
              </w:rPr>
            </w:pPr>
            <w:r>
              <w:rPr>
                <w:rFonts w:hint="eastAsia" w:ascii="宋体" w:hAnsi="宋体" w:cs="宋体"/>
                <w:b/>
                <w:szCs w:val="21"/>
              </w:rPr>
              <w:t>募集币种</w:t>
            </w:r>
          </w:p>
        </w:tc>
        <w:tc>
          <w:tcPr>
            <w:tcW w:w="7513" w:type="dxa"/>
            <w:vAlign w:val="center"/>
          </w:tcPr>
          <w:p>
            <w:pPr>
              <w:widowControl/>
              <w:spacing w:line="300" w:lineRule="atLeast"/>
              <w:jc w:val="center"/>
              <w:textAlignment w:val="top"/>
              <w:rPr>
                <w:rFonts w:ascii="宋体" w:hAnsi="宋体" w:cs="宋体"/>
                <w:kern w:val="0"/>
                <w:szCs w:val="21"/>
              </w:rPr>
            </w:pPr>
            <w:r>
              <w:rPr>
                <w:rFonts w:hint="eastAsia" w:ascii="宋体" w:hAnsi="宋体" w:cs="宋体"/>
                <w:szCs w:val="21"/>
              </w:rPr>
              <w:t>人民币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815" w:type="dxa"/>
            <w:vAlign w:val="center"/>
          </w:tcPr>
          <w:p>
            <w:pPr>
              <w:widowControl/>
              <w:spacing w:line="300" w:lineRule="atLeast"/>
              <w:jc w:val="center"/>
              <w:textAlignment w:val="top"/>
              <w:rPr>
                <w:rFonts w:ascii="宋体" w:hAnsi="宋体" w:cs="宋体"/>
                <w:b/>
                <w:kern w:val="0"/>
                <w:szCs w:val="21"/>
              </w:rPr>
            </w:pPr>
            <w:r>
              <w:rPr>
                <w:rFonts w:hint="eastAsia" w:ascii="宋体" w:hAnsi="宋体" w:cs="宋体"/>
                <w:b/>
                <w:szCs w:val="21"/>
              </w:rPr>
              <w:t>业绩比较基准（年化）</w:t>
            </w:r>
          </w:p>
        </w:tc>
        <w:tc>
          <w:tcPr>
            <w:tcW w:w="7513" w:type="dxa"/>
            <w:vAlign w:val="center"/>
          </w:tcPr>
          <w:p>
            <w:pPr>
              <w:widowControl/>
              <w:jc w:val="left"/>
              <w:textAlignment w:val="center"/>
              <w:rPr>
                <w:rFonts w:ascii="宋体" w:hAnsi="宋体" w:cs="宋体"/>
                <w:szCs w:val="21"/>
              </w:rPr>
            </w:pPr>
            <w:bookmarkStart w:id="8" w:name="OLE_LINK26"/>
            <w:r>
              <w:rPr>
                <w:rFonts w:hint="default" w:ascii="宋体" w:hAnsi="宋体" w:eastAsia="宋体" w:cs="宋体"/>
                <w:kern w:val="2"/>
                <w:sz w:val="21"/>
                <w:szCs w:val="21"/>
                <w:lang w:bidi="ar"/>
              </w:rPr>
              <w:t>产品成立以来国家统计局每月发布的居民消费价格同比（CPI）的算数平均值</w:t>
            </w:r>
            <w:r>
              <w:rPr>
                <w:rFonts w:hint="eastAsia" w:ascii="微软雅黑" w:hAnsi="微软雅黑" w:eastAsia="微软雅黑" w:cs="微软雅黑"/>
                <w:color w:val="000000"/>
                <w:kern w:val="0"/>
                <w:sz w:val="18"/>
                <w:szCs w:val="18"/>
                <w:lang w:bidi="ar"/>
              </w:rPr>
              <w:t>+</w:t>
            </w:r>
            <w:r>
              <w:rPr>
                <w:rFonts w:ascii="微软雅黑" w:hAnsi="微软雅黑" w:eastAsia="微软雅黑" w:cs="微软雅黑"/>
                <w:color w:val="000000"/>
                <w:kern w:val="0"/>
                <w:sz w:val="18"/>
                <w:szCs w:val="18"/>
                <w:lang w:bidi="ar"/>
              </w:rPr>
              <w:t>2</w:t>
            </w:r>
            <w:r>
              <w:rPr>
                <w:rFonts w:hint="eastAsia" w:ascii="微软雅黑" w:hAnsi="微软雅黑" w:eastAsia="微软雅黑" w:cs="微软雅黑"/>
                <w:color w:val="000000"/>
                <w:kern w:val="0"/>
                <w:sz w:val="18"/>
                <w:szCs w:val="18"/>
                <w:lang w:bidi="ar"/>
              </w:rPr>
              <w:t>.2%</w:t>
            </w:r>
            <w:r>
              <w:rPr>
                <w:rFonts w:hint="eastAsia"/>
              </w:rPr>
              <w:t>=</w:t>
            </w:r>
            <w:r>
              <w:rPr>
                <w:rFonts w:hint="eastAsia" w:ascii="微软雅黑" w:hAnsi="微软雅黑" w:eastAsia="微软雅黑" w:cs="微软雅黑"/>
                <w:color w:val="000000"/>
                <w:kern w:val="0"/>
                <w:position w:val="-24"/>
                <w:sz w:val="18"/>
                <w:szCs w:val="18"/>
                <w:lang w:bidi="ar"/>
              </w:rPr>
              <w:object>
                <v:shape id="_x0000_i1025" o:spt="75" type="#_x0000_t75" style="height:31pt;width:156pt;" o:ole="t" filled="f" o:preferrelative="t" stroked="f" coordsize="21600,21600">
                  <v:path/>
                  <v:fill on="f" focussize="0,0"/>
                  <v:stroke on="f"/>
                  <v:imagedata r:id="rId7" o:title=""/>
                  <o:lock v:ext="edit" aspectratio="t"/>
                  <w10:wrap type="none"/>
                  <w10:anchorlock/>
                </v:shape>
                <o:OLEObject Type="Embed" ProgID="Equation.3" ShapeID="_x0000_i1025" DrawAspect="Content" ObjectID="_1468075725" r:id="rId6">
                  <o:LockedField>false</o:LockedField>
                </o:OLEObject>
              </w:object>
            </w:r>
          </w:p>
          <w:p>
            <w:pPr>
              <w:widowControl/>
              <w:spacing w:line="300" w:lineRule="atLeast"/>
              <w:textAlignment w:val="top"/>
              <w:rPr>
                <w:rFonts w:ascii="宋体" w:hAnsi="宋体" w:cs="宋体"/>
                <w:szCs w:val="21"/>
              </w:rPr>
            </w:pPr>
            <w:r>
              <w:rPr>
                <w:rFonts w:hint="eastAsia" w:ascii="宋体" w:hAnsi="宋体" w:cs="宋体"/>
                <w:szCs w:val="21"/>
              </w:rPr>
              <w:t>（居民消费价格同比（CPI）数据为</w:t>
            </w:r>
            <w:r>
              <w:rPr>
                <w:rFonts w:hint="eastAsia" w:ascii="宋体" w:hAnsi="宋体" w:cs="宋体"/>
                <w:szCs w:val="21"/>
                <w:lang w:val="en-US" w:eastAsia="zh-CN"/>
              </w:rPr>
              <w:t>产品成立以来</w:t>
            </w:r>
            <w:r>
              <w:rPr>
                <w:rFonts w:hint="eastAsia" w:ascii="宋体" w:hAnsi="宋体" w:cs="宋体"/>
                <w:szCs w:val="21"/>
              </w:rPr>
              <w:t>国家统计局</w:t>
            </w:r>
            <w:r>
              <w:rPr>
                <w:rFonts w:hint="eastAsia" w:ascii="宋体" w:hAnsi="宋体" w:cs="宋体"/>
                <w:szCs w:val="21"/>
                <w:lang w:val="en-US" w:eastAsia="zh-CN"/>
              </w:rPr>
              <w:t>每月</w:t>
            </w:r>
            <w:r>
              <w:rPr>
                <w:rFonts w:hint="eastAsia" w:ascii="宋体" w:hAnsi="宋体" w:cs="宋体"/>
                <w:szCs w:val="21"/>
              </w:rPr>
              <w:t>披露的CPI</w:t>
            </w:r>
            <w:r>
              <w:rPr>
                <w:rFonts w:hint="eastAsia" w:ascii="宋体" w:hAnsi="宋体" w:cs="宋体"/>
                <w:szCs w:val="21"/>
                <w:lang w:val="en-US" w:eastAsia="zh-CN"/>
              </w:rPr>
              <w:t>同比</w:t>
            </w:r>
            <w:r>
              <w:rPr>
                <w:rFonts w:hint="eastAsia" w:ascii="宋体" w:hAnsi="宋体" w:cs="宋体"/>
                <w:szCs w:val="21"/>
              </w:rPr>
              <w:t>数据，</w:t>
            </w:r>
            <w:r>
              <w:rPr>
                <w:rFonts w:hint="eastAsia" w:ascii="宋体" w:hAnsi="宋体" w:cs="宋体"/>
                <w:szCs w:val="21"/>
                <w:lang w:val="en-US" w:eastAsia="zh-CN"/>
              </w:rPr>
              <w:t>m为</w:t>
            </w:r>
            <w:r>
              <w:rPr>
                <w:rFonts w:hint="eastAsia" w:ascii="宋体" w:hAnsi="宋体" w:cs="宋体"/>
                <w:szCs w:val="21"/>
              </w:rPr>
              <w:t>产品成立以来实际存续月数，产品于国家统计局发布月度CPI</w:t>
            </w:r>
            <w:r>
              <w:rPr>
                <w:rFonts w:hint="eastAsia" w:ascii="宋体" w:hAnsi="宋体" w:cs="宋体"/>
                <w:szCs w:val="21"/>
                <w:lang w:val="en-US" w:eastAsia="zh-CN"/>
              </w:rPr>
              <w:t>后</w:t>
            </w:r>
            <w:r>
              <w:rPr>
                <w:rFonts w:hint="eastAsia" w:ascii="宋体" w:hAnsi="宋体" w:cs="宋体"/>
                <w:szCs w:val="21"/>
              </w:rPr>
              <w:t>更新产品业绩表基准</w:t>
            </w:r>
            <w:r>
              <w:rPr>
                <w:rFonts w:hint="eastAsia" w:ascii="宋体" w:hAnsi="宋体" w:cs="宋体"/>
                <w:szCs w:val="21"/>
                <w:lang w:eastAsia="zh-CN"/>
              </w:rPr>
              <w:t>，</w:t>
            </w:r>
            <m:oMath>
              <m:sSub>
                <m:sSubPr>
                  <m:ctrlPr>
                    <w:rPr>
                      <w:rFonts w:ascii="Cambria Math" w:hAnsi="Cambria Math" w:cs="宋体"/>
                      <w:i w:val="0"/>
                      <w:iCs/>
                      <w:szCs w:val="21"/>
                    </w:rPr>
                  </m:ctrlPr>
                </m:sSubPr>
                <m:e>
                  <m:r>
                    <m:rPr>
                      <m:sty m:val="p"/>
                    </m:rPr>
                    <w:rPr>
                      <w:rFonts w:ascii="Cambria Math" w:hAnsi="Cambria Math" w:cs="宋体" w:hint="default"/>
                      <w:szCs w:val="21"/>
                      <w:lang w:val="en-US" w:eastAsia="zh-CN"/>
                    </w:rPr>
                    <m:t xml:space="preserve">CPI</m:t>
                  </m:r>
                  <m:ctrlPr>
                    <w:rPr>
                      <w:rFonts w:ascii="Cambria Math" w:hAnsi="Cambria Math" w:cs="宋体"/>
                      <w:i w:val="0"/>
                      <w:iCs/>
                      <w:szCs w:val="21"/>
                    </w:rPr>
                  </m:ctrlPr>
                </m:e>
                <m:sub>
                  <m:r>
                    <m:rPr>
                      <m:sty m:val="p"/>
                    </m:rPr>
                    <w:rPr>
                      <w:rFonts w:ascii="Cambria Math" w:hAnsi="Cambria Math" w:cs="宋体" w:hint="eastAsia"/>
                      <w:szCs w:val="21"/>
                      <w:lang w:val="en-US" w:eastAsia="zh-CN"/>
                    </w:rPr>
                    <m:t xml:space="preserve">1</m:t>
                  </m:r>
                </m:sub>
              </m:sSub>
            </m:oMath>
            <w:r>
              <w:rPr>
                <w:rFonts w:hint="eastAsia" w:hAnsi="Cambria Math" w:cs="宋体"/>
                <w:i w:val="0"/>
                <w:iCs/>
                <w:szCs w:val="21"/>
                <w:lang w:val="en-US" w:eastAsia="zh-CN"/>
              </w:rPr>
              <w:t>为2021年10月国家统计局发布的CPI同比数值</w:t>
            </w:r>
            <w:r>
              <w:rPr>
                <w:rFonts w:hint="eastAsia" w:ascii="宋体" w:hAnsi="宋体" w:cs="宋体"/>
                <w:szCs w:val="21"/>
              </w:rPr>
              <w:t>。</w:t>
            </w:r>
            <w:r>
              <w:rPr>
                <w:rFonts w:hint="eastAsia" w:ascii="宋体" w:hAnsi="宋体" w:cs="宋体"/>
                <w:szCs w:val="21"/>
                <w:lang w:val="en-US" w:eastAsia="zh-CN"/>
              </w:rPr>
              <w:t>根据国家统计局每月披露的CPI同比数据，截止到2021年7月CPI数据，近3年月度CPI算数平均值为2.24%，以近3年月度CPI算数平均值为例，产品业绩比较基准为4.44%。</w:t>
            </w:r>
            <w:r>
              <w:rPr>
                <w:rFonts w:hint="eastAsia" w:ascii="宋体" w:hAnsi="宋体" w:cs="宋体"/>
                <w:b/>
                <w:bCs/>
                <w:szCs w:val="21"/>
                <w:lang w:val="en-US" w:eastAsia="zh-CN"/>
              </w:rPr>
              <w:t>业绩比较基准示例并非产品实际业绩比较基准，不代表产品的未来表现和实际收益，不构成对产品收益的承诺。</w:t>
            </w:r>
          </w:p>
          <w:p>
            <w:pPr>
              <w:widowControl/>
              <w:spacing w:line="300" w:lineRule="atLeast"/>
              <w:textAlignment w:val="top"/>
              <w:rPr>
                <w:rFonts w:ascii="宋体" w:hAnsi="宋体" w:cs="宋体"/>
                <w:szCs w:val="21"/>
              </w:rPr>
            </w:pPr>
            <w:r>
              <w:rPr>
                <w:rFonts w:hint="eastAsia" w:ascii="宋体" w:hAnsi="宋体" w:cs="宋体"/>
                <w:b/>
                <w:bCs/>
                <w:szCs w:val="21"/>
              </w:rPr>
              <w:t>产品比较基准测算依据：</w:t>
            </w:r>
            <w:r>
              <w:rPr>
                <w:rFonts w:hint="eastAsia" w:ascii="宋体" w:hAnsi="宋体" w:cs="宋体"/>
                <w:szCs w:val="21"/>
              </w:rPr>
              <w:t>本产品采取债券、股票、商品及衍生品的多资产配置策略，通过低相关性的资产进行大类资产排布，更好地实现风险对冲；同时，综合考量现阶段的市场行情及未来市场环境，结合该产品投资策略和历史各类资产历史收益水平进行测算，通过分析历史通胀同比增幅和未来通胀水平预期，最终形成本产品业绩比较基准。</w:t>
            </w:r>
          </w:p>
          <w:p>
            <w:pPr>
              <w:widowControl/>
              <w:spacing w:line="300" w:lineRule="atLeast"/>
              <w:textAlignment w:val="top"/>
              <w:rPr>
                <w:rFonts w:ascii="宋体" w:hAnsi="宋体" w:cs="宋体"/>
                <w:szCs w:val="21"/>
              </w:rPr>
            </w:pPr>
            <w:r>
              <w:rPr>
                <w:rFonts w:hint="eastAsia" w:ascii="宋体" w:hAnsi="宋体" w:cs="宋体"/>
                <w:szCs w:val="21"/>
              </w:rPr>
              <w:t>业绩比较基准是本机构基于产品性质、投资策略、过往经验等因素对产品设定的投资目标，不代表产品的未来表现和实际收益，不构成对产品收益的承诺。</w:t>
            </w:r>
          </w:p>
          <w:p>
            <w:pPr>
              <w:widowControl/>
              <w:spacing w:line="300" w:lineRule="atLeast"/>
              <w:textAlignment w:val="top"/>
              <w:rPr>
                <w:rFonts w:ascii="宋体" w:hAnsi="宋体" w:cs="宋体"/>
                <w:kern w:val="0"/>
                <w:szCs w:val="21"/>
              </w:rPr>
            </w:pPr>
            <w:r>
              <w:rPr>
                <w:rFonts w:hint="eastAsia" w:ascii="宋体" w:hAnsi="宋体" w:cs="宋体"/>
                <w:szCs w:val="21"/>
              </w:rPr>
              <w:t>本产品可于开放日根据市场利率情况调整业绩比较基准，调整后的业绩比较基准将根据信息披露规则进行披露。</w:t>
            </w:r>
            <w:r>
              <w:rPr>
                <w:rFonts w:hint="eastAsia" w:ascii="宋体" w:hAnsi="宋体" w:cs="宋体"/>
                <w:b/>
                <w:bCs/>
                <w:szCs w:val="21"/>
              </w:rPr>
              <w:t>业绩比较基准调整后原说明书将不再修订，请投资者及时通过本合同约定的信息披露渠道获取最新业绩比较基准情况。</w:t>
            </w:r>
            <w:r>
              <w:rPr>
                <w:rFonts w:hint="eastAsia" w:ascii="宋体" w:hAnsi="宋体" w:cs="宋体"/>
                <w:szCs w:val="21"/>
              </w:rPr>
              <w:t>）</w:t>
            </w:r>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815" w:type="dxa"/>
            <w:vAlign w:val="center"/>
          </w:tcPr>
          <w:p>
            <w:pPr>
              <w:widowControl/>
              <w:spacing w:line="300" w:lineRule="atLeast"/>
              <w:jc w:val="center"/>
              <w:textAlignment w:val="top"/>
              <w:rPr>
                <w:rFonts w:ascii="宋体" w:hAnsi="宋体" w:cs="宋体"/>
                <w:b/>
                <w:kern w:val="0"/>
                <w:szCs w:val="21"/>
              </w:rPr>
            </w:pPr>
            <w:r>
              <w:rPr>
                <w:rFonts w:hint="eastAsia" w:ascii="宋体" w:hAnsi="宋体" w:cs="宋体"/>
                <w:b/>
                <w:kern w:val="0"/>
                <w:szCs w:val="21"/>
              </w:rPr>
              <w:t>起点金额/递增金额</w:t>
            </w:r>
          </w:p>
        </w:tc>
        <w:tc>
          <w:tcPr>
            <w:tcW w:w="7513" w:type="dxa"/>
            <w:vAlign w:val="center"/>
          </w:tcPr>
          <w:p>
            <w:pPr>
              <w:widowControl/>
              <w:spacing w:line="300" w:lineRule="atLeast"/>
              <w:jc w:val="center"/>
              <w:textAlignment w:val="top"/>
              <w:rPr>
                <w:rFonts w:ascii="宋体" w:hAnsi="宋体" w:cs="宋体"/>
                <w:szCs w:val="21"/>
              </w:rPr>
            </w:pPr>
            <w:r>
              <w:rPr>
                <w:rFonts w:hint="eastAsia" w:ascii="宋体" w:hAnsi="宋体" w:cs="宋体"/>
                <w:szCs w:val="21"/>
              </w:rPr>
              <w:t>个人投资者：100元/1元</w:t>
            </w:r>
          </w:p>
          <w:p>
            <w:pPr>
              <w:widowControl/>
              <w:spacing w:line="300" w:lineRule="atLeast"/>
              <w:jc w:val="center"/>
              <w:textAlignment w:val="top"/>
              <w:rPr>
                <w:rFonts w:ascii="宋体" w:hAnsi="宋体" w:cs="宋体"/>
                <w:szCs w:val="21"/>
              </w:rPr>
            </w:pPr>
            <w:r>
              <w:rPr>
                <w:rFonts w:hint="eastAsia" w:ascii="宋体" w:hAnsi="宋体" w:cs="宋体"/>
                <w:szCs w:val="21"/>
              </w:rPr>
              <w:t>机构投资者：10万元/1万元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815" w:type="dxa"/>
            <w:vAlign w:val="center"/>
          </w:tcPr>
          <w:p>
            <w:pPr>
              <w:widowControl/>
              <w:spacing w:line="300" w:lineRule="atLeast"/>
              <w:jc w:val="center"/>
              <w:textAlignment w:val="top"/>
              <w:rPr>
                <w:rFonts w:ascii="宋体" w:hAnsi="宋体" w:cs="宋体"/>
                <w:b/>
                <w:kern w:val="0"/>
                <w:szCs w:val="21"/>
              </w:rPr>
            </w:pPr>
            <w:r>
              <w:rPr>
                <w:rFonts w:hint="eastAsia" w:ascii="宋体" w:hAnsi="宋体" w:cs="宋体"/>
                <w:b/>
                <w:kern w:val="0"/>
                <w:szCs w:val="21"/>
              </w:rPr>
              <w:t>认/申购追加金额</w:t>
            </w:r>
          </w:p>
        </w:tc>
        <w:tc>
          <w:tcPr>
            <w:tcW w:w="7513" w:type="dxa"/>
            <w:vAlign w:val="center"/>
          </w:tcPr>
          <w:p>
            <w:pPr>
              <w:widowControl/>
              <w:jc w:val="center"/>
              <w:textAlignment w:val="center"/>
              <w:rPr>
                <w:rFonts w:ascii="宋体" w:hAnsi="宋体" w:cs="宋体"/>
                <w:kern w:val="0"/>
                <w:szCs w:val="21"/>
                <w:lang w:bidi="ar"/>
              </w:rPr>
            </w:pPr>
            <w:r>
              <w:rPr>
                <w:rFonts w:hint="eastAsia" w:ascii="宋体" w:hAnsi="宋体" w:cs="宋体"/>
                <w:kern w:val="0"/>
                <w:szCs w:val="21"/>
                <w:lang w:bidi="ar"/>
              </w:rPr>
              <w:t>个人投资者：1元的整数倍</w:t>
            </w:r>
          </w:p>
          <w:p>
            <w:pPr>
              <w:widowControl/>
              <w:spacing w:line="280" w:lineRule="atLeast"/>
              <w:jc w:val="center"/>
              <w:textAlignment w:val="top"/>
              <w:rPr>
                <w:rFonts w:ascii="宋体" w:hAnsi="宋体" w:cs="宋体"/>
                <w:kern w:val="0"/>
                <w:szCs w:val="21"/>
              </w:rPr>
            </w:pPr>
            <w:r>
              <w:rPr>
                <w:rFonts w:hint="eastAsia" w:ascii="宋体" w:hAnsi="宋体" w:cs="宋体"/>
                <w:kern w:val="0"/>
                <w:szCs w:val="21"/>
                <w:lang w:bidi="ar"/>
              </w:rPr>
              <w:t>机构投资者：1万元的整数倍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815" w:type="dxa"/>
            <w:vAlign w:val="center"/>
          </w:tcPr>
          <w:p>
            <w:pPr>
              <w:widowControl/>
              <w:spacing w:line="300" w:lineRule="atLeast"/>
              <w:jc w:val="center"/>
              <w:textAlignment w:val="top"/>
              <w:rPr>
                <w:rFonts w:ascii="宋体" w:hAnsi="宋体" w:cs="宋体"/>
                <w:b/>
                <w:kern w:val="0"/>
                <w:szCs w:val="21"/>
              </w:rPr>
            </w:pPr>
            <w:r>
              <w:rPr>
                <w:rFonts w:hint="eastAsia" w:ascii="宋体" w:hAnsi="宋体" w:cs="宋体"/>
                <w:b/>
                <w:kern w:val="0"/>
                <w:szCs w:val="21"/>
              </w:rPr>
              <w:t>单笔最小赎回份额</w:t>
            </w:r>
          </w:p>
        </w:tc>
        <w:tc>
          <w:tcPr>
            <w:tcW w:w="7513" w:type="dxa"/>
            <w:vAlign w:val="center"/>
          </w:tcPr>
          <w:p>
            <w:pPr>
              <w:widowControl/>
              <w:jc w:val="center"/>
              <w:textAlignment w:val="center"/>
              <w:rPr>
                <w:rFonts w:ascii="宋体" w:hAnsi="宋体" w:cs="宋体"/>
                <w:kern w:val="0"/>
                <w:szCs w:val="21"/>
                <w:lang w:bidi="ar"/>
              </w:rPr>
            </w:pPr>
            <w:r>
              <w:rPr>
                <w:rFonts w:hint="eastAsia" w:ascii="宋体" w:hAnsi="宋体" w:cs="宋体"/>
                <w:kern w:val="0"/>
                <w:szCs w:val="21"/>
                <w:lang w:bidi="ar"/>
              </w:rPr>
              <w:t>个人投资者：100份</w:t>
            </w:r>
          </w:p>
          <w:p>
            <w:pPr>
              <w:widowControl/>
              <w:spacing w:line="280" w:lineRule="atLeast"/>
              <w:jc w:val="center"/>
              <w:textAlignment w:val="top"/>
              <w:rPr>
                <w:rFonts w:ascii="宋体" w:hAnsi="宋体" w:cs="宋体"/>
                <w:szCs w:val="21"/>
              </w:rPr>
            </w:pPr>
            <w:r>
              <w:rPr>
                <w:rFonts w:hint="eastAsia" w:ascii="宋体" w:hAnsi="宋体" w:cs="宋体"/>
                <w:kern w:val="0"/>
                <w:szCs w:val="21"/>
                <w:lang w:bidi="ar"/>
              </w:rPr>
              <w:t>机构投资者：1万份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815" w:type="dxa"/>
            <w:vAlign w:val="center"/>
          </w:tcPr>
          <w:p>
            <w:pPr>
              <w:widowControl/>
              <w:spacing w:line="300" w:lineRule="atLeast"/>
              <w:jc w:val="center"/>
              <w:textAlignment w:val="top"/>
              <w:rPr>
                <w:rFonts w:ascii="宋体" w:hAnsi="宋体" w:cs="宋体"/>
                <w:b/>
                <w:kern w:val="0"/>
                <w:szCs w:val="21"/>
              </w:rPr>
            </w:pPr>
            <w:r>
              <w:rPr>
                <w:rFonts w:hint="eastAsia" w:ascii="宋体" w:hAnsi="宋体" w:cs="宋体"/>
                <w:b/>
                <w:bCs/>
                <w:kern w:val="0"/>
                <w:szCs w:val="21"/>
              </w:rPr>
              <w:t>持有份额上限/下限</w:t>
            </w:r>
          </w:p>
        </w:tc>
        <w:tc>
          <w:tcPr>
            <w:tcW w:w="7513" w:type="dxa"/>
            <w:vAlign w:val="center"/>
          </w:tcPr>
          <w:p>
            <w:pPr>
              <w:widowControl/>
              <w:jc w:val="center"/>
              <w:textAlignment w:val="center"/>
              <w:rPr>
                <w:rFonts w:ascii="宋体" w:hAnsi="宋体" w:cs="宋体"/>
                <w:kern w:val="0"/>
                <w:szCs w:val="21"/>
                <w:lang w:bidi="ar"/>
              </w:rPr>
            </w:pPr>
            <w:r>
              <w:rPr>
                <w:rFonts w:hint="eastAsia" w:ascii="宋体" w:hAnsi="宋体" w:cs="宋体"/>
                <w:kern w:val="0"/>
                <w:szCs w:val="21"/>
                <w:lang w:bidi="ar"/>
              </w:rPr>
              <w:t>个人投资者：无/100份</w:t>
            </w:r>
          </w:p>
          <w:p>
            <w:pPr>
              <w:widowControl/>
              <w:spacing w:line="300" w:lineRule="atLeast"/>
              <w:jc w:val="center"/>
              <w:textAlignment w:val="top"/>
              <w:rPr>
                <w:rFonts w:ascii="宋体" w:hAnsi="宋体" w:cs="宋体"/>
                <w:szCs w:val="21"/>
              </w:rPr>
            </w:pPr>
            <w:r>
              <w:rPr>
                <w:rFonts w:hint="eastAsia" w:ascii="宋体" w:hAnsi="宋体" w:cs="宋体"/>
                <w:kern w:val="0"/>
                <w:szCs w:val="21"/>
                <w:lang w:bidi="ar"/>
              </w:rPr>
              <w:t>机构投资者：无/10万份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815" w:type="dxa"/>
            <w:vAlign w:val="center"/>
          </w:tcPr>
          <w:p>
            <w:pPr>
              <w:widowControl/>
              <w:spacing w:line="300" w:lineRule="atLeast"/>
              <w:jc w:val="center"/>
              <w:textAlignment w:val="top"/>
              <w:rPr>
                <w:rFonts w:ascii="宋体" w:hAnsi="宋体" w:cs="宋体"/>
                <w:b/>
                <w:kern w:val="0"/>
                <w:szCs w:val="21"/>
              </w:rPr>
            </w:pPr>
            <w:r>
              <w:rPr>
                <w:rFonts w:hint="eastAsia" w:ascii="宋体" w:hAnsi="宋体" w:cs="宋体"/>
                <w:b/>
                <w:kern w:val="0"/>
                <w:szCs w:val="21"/>
              </w:rPr>
              <w:t>产品募集期</w:t>
            </w:r>
          </w:p>
        </w:tc>
        <w:tc>
          <w:tcPr>
            <w:tcW w:w="7513" w:type="dxa"/>
            <w:vAlign w:val="center"/>
          </w:tcPr>
          <w:p>
            <w:pPr>
              <w:widowControl/>
              <w:spacing w:line="300" w:lineRule="atLeast"/>
              <w:textAlignment w:val="top"/>
              <w:rPr>
                <w:rFonts w:ascii="宋体" w:hAnsi="宋体" w:cs="宋体"/>
                <w:szCs w:val="21"/>
              </w:rPr>
            </w:pPr>
            <w:bookmarkStart w:id="9" w:name="OLE_LINK30"/>
            <w:r>
              <w:rPr>
                <w:rFonts w:hint="eastAsia" w:ascii="宋体" w:hAnsi="宋体" w:cs="宋体"/>
                <w:kern w:val="0"/>
                <w:szCs w:val="21"/>
              </w:rPr>
              <w:t>2021年</w:t>
            </w:r>
            <w:r>
              <w:rPr>
                <w:rFonts w:hint="eastAsia" w:ascii="宋体" w:hAnsi="宋体" w:cs="宋体"/>
                <w:kern w:val="0"/>
                <w:szCs w:val="21"/>
                <w:lang w:val="en-US" w:eastAsia="zh-CN"/>
              </w:rPr>
              <w:t>9月27日</w:t>
            </w:r>
            <w:r>
              <w:rPr>
                <w:rFonts w:hint="eastAsia" w:ascii="宋体" w:hAnsi="宋体" w:cs="宋体"/>
                <w:kern w:val="0"/>
                <w:szCs w:val="21"/>
              </w:rPr>
              <w:t>至2021年</w:t>
            </w:r>
            <w:bookmarkEnd w:id="9"/>
            <w:r>
              <w:rPr>
                <w:rFonts w:hint="eastAsia" w:ascii="宋体" w:hAnsi="宋体" w:cs="宋体"/>
                <w:kern w:val="0"/>
                <w:szCs w:val="21"/>
                <w:lang w:val="en-US" w:eastAsia="zh-CN"/>
              </w:rPr>
              <w:t>10月12日</w:t>
            </w:r>
            <w:r>
              <w:rPr>
                <w:rFonts w:hint="eastAsia" w:ascii="宋体" w:hAnsi="宋体" w:cs="宋体"/>
                <w:kern w:val="0"/>
                <w:szCs w:val="21"/>
              </w:rPr>
              <w:t>（管理人有权根据募集情况缩短或延长产品募集期，本产品最长募集期不超过1个月。管理人有权根据实际募集期提前或延后产品成立日期，并将通过</w:t>
            </w:r>
            <w:r>
              <w:rPr>
                <w:rFonts w:hint="eastAsia" w:ascii="宋体" w:hAnsi="宋体" w:cs="宋体"/>
                <w:szCs w:val="21"/>
              </w:rPr>
              <w:t>产品管理人官方网站或销售服务机构网上销售平台</w:t>
            </w:r>
            <w:r>
              <w:rPr>
                <w:rFonts w:hint="eastAsia" w:ascii="宋体" w:hAnsi="宋体" w:cs="宋体"/>
                <w:kern w:val="0"/>
                <w:szCs w:val="21"/>
              </w:rPr>
              <w:t>进行公布。）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815" w:type="dxa"/>
            <w:vAlign w:val="center"/>
          </w:tcPr>
          <w:p>
            <w:pPr>
              <w:widowControl/>
              <w:spacing w:line="300" w:lineRule="atLeast"/>
              <w:jc w:val="center"/>
              <w:textAlignment w:val="top"/>
              <w:rPr>
                <w:rFonts w:ascii="宋体" w:hAnsi="宋体" w:cs="宋体"/>
                <w:b/>
                <w:kern w:val="0"/>
                <w:szCs w:val="21"/>
              </w:rPr>
            </w:pPr>
            <w:r>
              <w:rPr>
                <w:rFonts w:hint="eastAsia" w:ascii="宋体" w:hAnsi="宋体" w:cs="宋体"/>
                <w:b/>
                <w:kern w:val="0"/>
                <w:szCs w:val="21"/>
              </w:rPr>
              <w:t>产品认购确认日</w:t>
            </w:r>
          </w:p>
        </w:tc>
        <w:tc>
          <w:tcPr>
            <w:tcW w:w="7513" w:type="dxa"/>
            <w:vAlign w:val="center"/>
          </w:tcPr>
          <w:p>
            <w:pPr>
              <w:widowControl/>
              <w:spacing w:line="300" w:lineRule="atLeast"/>
              <w:ind w:left="181" w:leftChars="86"/>
              <w:jc w:val="center"/>
              <w:textAlignment w:val="top"/>
              <w:rPr>
                <w:rFonts w:ascii="宋体" w:hAnsi="宋体" w:cs="宋体"/>
                <w:kern w:val="0"/>
                <w:szCs w:val="21"/>
              </w:rPr>
            </w:pPr>
            <w:r>
              <w:rPr>
                <w:rFonts w:hint="eastAsia" w:ascii="宋体" w:hAnsi="宋体" w:cs="宋体"/>
                <w:szCs w:val="21"/>
                <w:u w:val="single"/>
              </w:rPr>
              <w:t>2021年</w:t>
            </w:r>
            <w:r>
              <w:rPr>
                <w:rFonts w:hint="eastAsia" w:ascii="宋体" w:hAnsi="宋体" w:cs="宋体"/>
                <w:szCs w:val="21"/>
                <w:u w:val="single"/>
                <w:lang w:val="en-US" w:eastAsia="zh-CN"/>
              </w:rPr>
              <w:t>10月13日</w:t>
            </w:r>
            <w:r>
              <w:rPr>
                <w:rFonts w:hint="eastAsia" w:ascii="宋体" w:hAnsi="宋体" w:cs="宋体"/>
                <w:szCs w:val="21"/>
                <w:u w:val="single"/>
              </w:rPr>
              <w:t>（与产品成立日相同）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815" w:type="dxa"/>
            <w:vAlign w:val="center"/>
          </w:tcPr>
          <w:p>
            <w:pPr>
              <w:widowControl/>
              <w:spacing w:line="300" w:lineRule="atLeast"/>
              <w:jc w:val="center"/>
              <w:textAlignment w:val="top"/>
              <w:rPr>
                <w:rFonts w:ascii="宋体" w:hAnsi="宋体" w:cs="宋体"/>
                <w:b/>
                <w:kern w:val="0"/>
                <w:szCs w:val="21"/>
              </w:rPr>
            </w:pPr>
            <w:r>
              <w:rPr>
                <w:rFonts w:hint="eastAsia" w:ascii="宋体" w:hAnsi="宋体" w:cs="宋体"/>
                <w:b/>
                <w:kern w:val="0"/>
                <w:szCs w:val="21"/>
              </w:rPr>
              <w:t>产品成立日</w:t>
            </w:r>
          </w:p>
        </w:tc>
        <w:tc>
          <w:tcPr>
            <w:tcW w:w="7513" w:type="dxa"/>
            <w:vAlign w:val="center"/>
          </w:tcPr>
          <w:p>
            <w:pPr>
              <w:widowControl/>
              <w:spacing w:line="300" w:lineRule="atLeast"/>
              <w:jc w:val="center"/>
              <w:textAlignment w:val="top"/>
              <w:rPr>
                <w:rFonts w:ascii="宋体" w:hAnsi="宋体" w:cs="宋体"/>
                <w:szCs w:val="21"/>
              </w:rPr>
            </w:pPr>
            <w:r>
              <w:rPr>
                <w:rFonts w:hint="eastAsia" w:ascii="宋体" w:hAnsi="宋体" w:cs="宋体"/>
                <w:szCs w:val="21"/>
                <w:u w:val="single"/>
              </w:rPr>
              <w:t>2021年</w:t>
            </w:r>
            <w:r>
              <w:rPr>
                <w:rFonts w:hint="eastAsia" w:ascii="宋体" w:hAnsi="宋体" w:cs="宋体"/>
                <w:szCs w:val="21"/>
                <w:u w:val="single"/>
                <w:lang w:val="en-US" w:eastAsia="zh-CN"/>
              </w:rPr>
              <w:t>10月13日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815" w:type="dxa"/>
            <w:vAlign w:val="center"/>
          </w:tcPr>
          <w:p>
            <w:pPr>
              <w:widowControl/>
              <w:spacing w:line="300" w:lineRule="atLeast"/>
              <w:jc w:val="center"/>
              <w:textAlignment w:val="top"/>
              <w:rPr>
                <w:rFonts w:ascii="宋体" w:hAnsi="宋体" w:cs="宋体"/>
                <w:b/>
                <w:kern w:val="0"/>
                <w:szCs w:val="21"/>
              </w:rPr>
            </w:pPr>
            <w:r>
              <w:rPr>
                <w:rFonts w:hint="eastAsia" w:ascii="宋体" w:hAnsi="宋体" w:cs="宋体"/>
                <w:b/>
                <w:kern w:val="0"/>
                <w:szCs w:val="21"/>
              </w:rPr>
              <w:t>最低持有期</w:t>
            </w:r>
          </w:p>
        </w:tc>
        <w:tc>
          <w:tcPr>
            <w:tcW w:w="7513" w:type="dxa"/>
            <w:vAlign w:val="center"/>
          </w:tcPr>
          <w:p>
            <w:pPr>
              <w:widowControl/>
              <w:spacing w:line="300" w:lineRule="atLeast"/>
              <w:jc w:val="center"/>
              <w:textAlignment w:val="top"/>
              <w:rPr>
                <w:rFonts w:ascii="宋体" w:hAnsi="宋体" w:cs="宋体"/>
                <w:b/>
                <w:kern w:val="0"/>
                <w:szCs w:val="21"/>
              </w:rPr>
            </w:pPr>
            <w:r>
              <w:rPr>
                <w:rFonts w:hint="eastAsia" w:ascii="宋体" w:hAnsi="宋体" w:cs="宋体"/>
                <w:bCs/>
                <w:kern w:val="0"/>
                <w:szCs w:val="21"/>
                <w:lang w:bidi="zh-CN"/>
              </w:rPr>
              <w:t>投资者申购份额确认成功后，每一份额均需最低持有满12个月后方可发起赎回。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815" w:type="dxa"/>
            <w:vAlign w:val="center"/>
          </w:tcPr>
          <w:p>
            <w:pPr>
              <w:widowControl/>
              <w:spacing w:line="300" w:lineRule="atLeast"/>
              <w:jc w:val="center"/>
              <w:textAlignment w:val="top"/>
              <w:rPr>
                <w:rFonts w:ascii="宋体" w:hAnsi="宋体" w:cs="宋体"/>
                <w:b/>
                <w:kern w:val="0"/>
                <w:szCs w:val="21"/>
              </w:rPr>
            </w:pPr>
            <w:r>
              <w:rPr>
                <w:rFonts w:hint="eastAsia" w:ascii="宋体" w:hAnsi="宋体" w:cs="宋体"/>
                <w:b/>
                <w:kern w:val="0"/>
                <w:szCs w:val="21"/>
              </w:rPr>
              <w:t>产品最低募集规模</w:t>
            </w:r>
          </w:p>
        </w:tc>
        <w:tc>
          <w:tcPr>
            <w:tcW w:w="7513" w:type="dxa"/>
            <w:vAlign w:val="center"/>
          </w:tcPr>
          <w:p>
            <w:pPr>
              <w:widowControl/>
              <w:spacing w:line="300" w:lineRule="atLeast"/>
              <w:textAlignment w:val="top"/>
              <w:rPr>
                <w:rFonts w:ascii="宋体" w:hAnsi="宋体" w:cs="宋体"/>
                <w:szCs w:val="21"/>
                <w:u w:val="single"/>
              </w:rPr>
            </w:pPr>
            <w:r>
              <w:rPr>
                <w:rFonts w:hint="eastAsia" w:ascii="宋体" w:hAnsi="宋体" w:cs="宋体"/>
                <w:szCs w:val="21"/>
              </w:rPr>
              <w:t>本产品初始募集规模拟不低于3000万元，若认购金额不足3000万元，管理人有权宣布理财产品不成立。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815" w:type="dxa"/>
            <w:vAlign w:val="center"/>
          </w:tcPr>
          <w:p>
            <w:pPr>
              <w:widowControl/>
              <w:spacing w:line="300" w:lineRule="atLeast"/>
              <w:jc w:val="center"/>
              <w:textAlignment w:val="top"/>
              <w:rPr>
                <w:rFonts w:ascii="宋体" w:hAnsi="宋体" w:cs="宋体"/>
                <w:b/>
                <w:kern w:val="0"/>
                <w:szCs w:val="21"/>
              </w:rPr>
            </w:pPr>
            <w:r>
              <w:rPr>
                <w:rFonts w:hint="eastAsia" w:ascii="宋体" w:hAnsi="宋体" w:cs="宋体"/>
                <w:b/>
                <w:kern w:val="0"/>
                <w:szCs w:val="21"/>
              </w:rPr>
              <w:t>产品募集规模上限</w:t>
            </w:r>
          </w:p>
        </w:tc>
        <w:tc>
          <w:tcPr>
            <w:tcW w:w="7513" w:type="dxa"/>
            <w:vAlign w:val="center"/>
          </w:tcPr>
          <w:p>
            <w:pPr>
              <w:widowControl/>
              <w:spacing w:line="300" w:lineRule="atLeast"/>
              <w:textAlignment w:val="top"/>
              <w:rPr>
                <w:rFonts w:ascii="宋体" w:hAnsi="宋体" w:cs="宋体"/>
                <w:szCs w:val="21"/>
              </w:rPr>
            </w:pPr>
            <w:r>
              <w:rPr>
                <w:rFonts w:hint="eastAsia" w:ascii="宋体" w:hAnsi="宋体" w:cs="宋体"/>
                <w:szCs w:val="21"/>
              </w:rPr>
              <w:t>本产品募集规模上限为120亿元，管理人有权根据产品实际募集、运作情况调整产品募集规模上限。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815" w:type="dxa"/>
            <w:vAlign w:val="center"/>
          </w:tcPr>
          <w:p>
            <w:pPr>
              <w:widowControl/>
              <w:spacing w:line="300" w:lineRule="atLeast"/>
              <w:jc w:val="center"/>
              <w:textAlignment w:val="top"/>
              <w:rPr>
                <w:rFonts w:ascii="宋体" w:hAnsi="宋体" w:cs="宋体"/>
                <w:b/>
                <w:kern w:val="0"/>
                <w:szCs w:val="21"/>
              </w:rPr>
            </w:pPr>
            <w:r>
              <w:rPr>
                <w:rFonts w:hint="eastAsia" w:ascii="宋体" w:hAnsi="宋体" w:cs="宋体"/>
                <w:b/>
                <w:kern w:val="0"/>
                <w:szCs w:val="21"/>
              </w:rPr>
              <w:t>产品开放日</w:t>
            </w:r>
          </w:p>
        </w:tc>
        <w:tc>
          <w:tcPr>
            <w:tcW w:w="7513" w:type="dxa"/>
            <w:vAlign w:val="center"/>
          </w:tcPr>
          <w:p>
            <w:pPr>
              <w:widowControl/>
              <w:spacing w:line="300" w:lineRule="atLeast"/>
              <w:textAlignment w:val="top"/>
              <w:rPr>
                <w:rFonts w:hint="eastAsia" w:ascii="宋体" w:hAnsi="宋体" w:eastAsia="宋体" w:cs="宋体"/>
                <w:szCs w:val="21"/>
                <w:lang w:eastAsia="zh-CN"/>
              </w:rPr>
            </w:pPr>
            <w:r>
              <w:rPr>
                <w:rFonts w:hint="eastAsia" w:ascii="宋体" w:hAnsi="宋体" w:cs="宋体"/>
                <w:szCs w:val="21"/>
              </w:rPr>
              <w:t>首次开放日为</w:t>
            </w:r>
            <w:bookmarkStart w:id="10" w:name="OLE_LINK10"/>
            <w:r>
              <w:rPr>
                <w:rFonts w:hint="eastAsia" w:ascii="宋体" w:hAnsi="宋体" w:cs="宋体"/>
                <w:szCs w:val="21"/>
                <w:u w:val="single"/>
              </w:rPr>
              <w:t>2021年</w:t>
            </w:r>
            <w:r>
              <w:rPr>
                <w:rFonts w:hint="eastAsia" w:ascii="宋体" w:hAnsi="宋体" w:cs="宋体"/>
                <w:szCs w:val="21"/>
                <w:u w:val="single"/>
                <w:lang w:val="en-US" w:eastAsia="zh-CN"/>
              </w:rPr>
              <w:t>11</w:t>
            </w:r>
            <w:r>
              <w:rPr>
                <w:rFonts w:hint="eastAsia" w:ascii="宋体" w:hAnsi="宋体" w:cs="宋体"/>
                <w:szCs w:val="21"/>
                <w:u w:val="single"/>
              </w:rPr>
              <w:t>月</w:t>
            </w:r>
            <w:r>
              <w:rPr>
                <w:rFonts w:hint="eastAsia" w:ascii="宋体" w:hAnsi="宋体" w:cs="宋体"/>
                <w:szCs w:val="21"/>
                <w:u w:val="single"/>
                <w:lang w:val="en-US" w:eastAsia="zh-CN"/>
              </w:rPr>
              <w:t>8</w:t>
            </w:r>
            <w:r>
              <w:rPr>
                <w:rFonts w:hint="eastAsia" w:ascii="宋体" w:hAnsi="宋体" w:cs="宋体"/>
                <w:szCs w:val="21"/>
                <w:u w:val="single"/>
              </w:rPr>
              <w:t>日</w:t>
            </w:r>
            <w:bookmarkEnd w:id="10"/>
            <w:r>
              <w:rPr>
                <w:rFonts w:hint="eastAsia" w:ascii="宋体" w:hAnsi="宋体" w:cs="宋体"/>
                <w:szCs w:val="21"/>
              </w:rPr>
              <w:t>，之后每月的7日为本产品的开放日，每次开放</w:t>
            </w:r>
            <w:r>
              <w:rPr>
                <w:rFonts w:hint="eastAsia" w:ascii="宋体" w:hAnsi="宋体" w:cs="宋体"/>
                <w:szCs w:val="21"/>
                <w:u w:val="single"/>
              </w:rPr>
              <w:t>1</w:t>
            </w:r>
            <w:r>
              <w:rPr>
                <w:rFonts w:hint="eastAsia" w:ascii="宋体" w:hAnsi="宋体" w:cs="宋体"/>
                <w:szCs w:val="21"/>
              </w:rPr>
              <w:t>天，开放日可办理申购、赎回等交易（遇节假日顺延）</w:t>
            </w:r>
            <w:r>
              <w:rPr>
                <w:rFonts w:hint="eastAsia" w:ascii="宋体" w:hAnsi="宋体" w:cs="宋体"/>
                <w:szCs w:val="21"/>
                <w:lang w:eastAsia="zh-CN"/>
              </w:rPr>
              <w:t>，</w:t>
            </w:r>
            <w:r>
              <w:rPr>
                <w:rFonts w:hint="eastAsia" w:ascii="宋体" w:hAnsi="宋体" w:cs="宋体"/>
                <w:szCs w:val="21"/>
                <w:highlight w:val="none"/>
              </w:rPr>
              <w:t>但赎回交易的份额需满足最低持有期的要求</w:t>
            </w:r>
            <w:r>
              <w:rPr>
                <w:rFonts w:hint="eastAsia" w:ascii="宋体" w:hAnsi="宋体" w:cs="宋体"/>
                <w:szCs w:val="21"/>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815" w:type="dxa"/>
            <w:vAlign w:val="center"/>
          </w:tcPr>
          <w:p>
            <w:pPr>
              <w:widowControl/>
              <w:spacing w:line="300" w:lineRule="atLeast"/>
              <w:jc w:val="center"/>
              <w:textAlignment w:val="top"/>
              <w:rPr>
                <w:rFonts w:ascii="宋体" w:hAnsi="宋体" w:cs="宋体"/>
                <w:b/>
                <w:kern w:val="0"/>
                <w:szCs w:val="21"/>
              </w:rPr>
            </w:pPr>
            <w:r>
              <w:rPr>
                <w:rFonts w:hint="eastAsia" w:ascii="宋体" w:hAnsi="宋体" w:cs="宋体"/>
                <w:b/>
                <w:kern w:val="0"/>
                <w:szCs w:val="21"/>
              </w:rPr>
              <w:t>预计资金到账日</w:t>
            </w:r>
          </w:p>
        </w:tc>
        <w:tc>
          <w:tcPr>
            <w:tcW w:w="7513" w:type="dxa"/>
            <w:vAlign w:val="center"/>
          </w:tcPr>
          <w:p>
            <w:pPr>
              <w:widowControl/>
              <w:spacing w:line="300" w:lineRule="atLeast"/>
              <w:textAlignment w:val="top"/>
              <w:rPr>
                <w:rFonts w:ascii="宋体" w:hAnsi="宋体" w:cs="宋体"/>
                <w:kern w:val="0"/>
                <w:szCs w:val="21"/>
              </w:rPr>
            </w:pPr>
            <w:bookmarkStart w:id="11" w:name="OLE_LINK8"/>
            <w:r>
              <w:rPr>
                <w:rFonts w:hint="eastAsia" w:ascii="宋体" w:hAnsi="宋体" w:cs="宋体"/>
                <w:szCs w:val="21"/>
              </w:rPr>
              <w:t>投资者赎回金额预计于产品开放日后3个交易所工作日内到账，产品开放日至投资者资金到账日期间不计利息。</w:t>
            </w:r>
            <w:bookmarkEnd w:id="1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815" w:type="dxa"/>
            <w:vAlign w:val="center"/>
          </w:tcPr>
          <w:p>
            <w:pPr>
              <w:widowControl/>
              <w:spacing w:line="300" w:lineRule="atLeast"/>
              <w:jc w:val="center"/>
              <w:textAlignment w:val="top"/>
              <w:rPr>
                <w:rFonts w:ascii="宋体" w:hAnsi="宋体" w:cs="宋体"/>
                <w:b/>
                <w:szCs w:val="21"/>
              </w:rPr>
            </w:pPr>
            <w:bookmarkStart w:id="12" w:name="OLE_LINK35" w:colFirst="0" w:colLast="1"/>
            <w:r>
              <w:rPr>
                <w:rFonts w:hint="eastAsia" w:ascii="宋体" w:hAnsi="宋体" w:cs="宋体"/>
                <w:b/>
                <w:szCs w:val="21"/>
              </w:rPr>
              <w:t>认购费</w:t>
            </w:r>
          </w:p>
        </w:tc>
        <w:tc>
          <w:tcPr>
            <w:tcW w:w="7513" w:type="dxa"/>
            <w:vAlign w:val="center"/>
          </w:tcPr>
          <w:p>
            <w:pPr>
              <w:widowControl/>
              <w:spacing w:line="300" w:lineRule="atLeast"/>
              <w:jc w:val="center"/>
              <w:textAlignment w:val="top"/>
              <w:rPr>
                <w:rFonts w:ascii="宋体" w:hAnsi="宋体" w:cs="宋体"/>
                <w:kern w:val="0"/>
                <w:szCs w:val="21"/>
              </w:rPr>
            </w:pPr>
            <w:bookmarkStart w:id="13" w:name="OLE_LINK33"/>
            <w:r>
              <w:rPr>
                <w:rFonts w:hint="eastAsia" w:ascii="宋体" w:hAnsi="宋体" w:cs="宋体"/>
                <w:kern w:val="0"/>
                <w:szCs w:val="21"/>
              </w:rPr>
              <w:t>0%</w:t>
            </w:r>
            <w:bookmarkEnd w:id="1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815" w:type="dxa"/>
            <w:vAlign w:val="center"/>
          </w:tcPr>
          <w:p>
            <w:pPr>
              <w:widowControl/>
              <w:spacing w:line="300" w:lineRule="atLeast"/>
              <w:jc w:val="center"/>
              <w:textAlignment w:val="top"/>
              <w:rPr>
                <w:rFonts w:ascii="宋体" w:hAnsi="宋体" w:cs="宋体"/>
                <w:b/>
                <w:szCs w:val="21"/>
              </w:rPr>
            </w:pPr>
            <w:r>
              <w:rPr>
                <w:rFonts w:hint="eastAsia" w:ascii="宋体" w:hAnsi="宋体" w:cs="宋体"/>
                <w:b/>
                <w:szCs w:val="21"/>
              </w:rPr>
              <w:t>申购费</w:t>
            </w:r>
          </w:p>
        </w:tc>
        <w:tc>
          <w:tcPr>
            <w:tcW w:w="7513" w:type="dxa"/>
            <w:vAlign w:val="center"/>
          </w:tcPr>
          <w:p>
            <w:pPr>
              <w:widowControl/>
              <w:spacing w:line="300" w:lineRule="atLeast"/>
              <w:jc w:val="center"/>
              <w:textAlignment w:val="top"/>
              <w:rPr>
                <w:rFonts w:ascii="宋体" w:hAnsi="宋体" w:cs="宋体"/>
                <w:kern w:val="0"/>
                <w:szCs w:val="21"/>
              </w:rPr>
            </w:pPr>
            <w:r>
              <w:rPr>
                <w:rFonts w:hint="eastAsia" w:ascii="宋体" w:hAnsi="宋体" w:cs="宋体"/>
                <w:szCs w:val="21"/>
                <w:lang w:bidi="ar"/>
              </w:rPr>
              <w:t>0-10万元（不含）,0.30%；10万元（含）-100万元（不含）,0.20%；100万元（含）-500万元（不含）,0.10%；500万（含）以上，0.00%</w:t>
            </w:r>
          </w:p>
        </w:tc>
      </w:tr>
      <w:bookmarkEnd w:id="12"/>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815" w:type="dxa"/>
            <w:vAlign w:val="center"/>
          </w:tcPr>
          <w:p>
            <w:pPr>
              <w:widowControl/>
              <w:spacing w:line="300" w:lineRule="atLeast"/>
              <w:jc w:val="center"/>
              <w:textAlignment w:val="top"/>
              <w:rPr>
                <w:rFonts w:ascii="宋体" w:hAnsi="宋体" w:cs="宋体"/>
                <w:b/>
                <w:szCs w:val="21"/>
              </w:rPr>
            </w:pPr>
            <w:r>
              <w:rPr>
                <w:rFonts w:hint="eastAsia" w:ascii="宋体" w:hAnsi="宋体" w:cs="宋体"/>
                <w:b/>
                <w:szCs w:val="21"/>
              </w:rPr>
              <w:t>赎回费</w:t>
            </w:r>
          </w:p>
        </w:tc>
        <w:tc>
          <w:tcPr>
            <w:tcW w:w="7513" w:type="dxa"/>
            <w:vAlign w:val="center"/>
          </w:tcPr>
          <w:p>
            <w:pPr>
              <w:widowControl/>
              <w:spacing w:line="300" w:lineRule="atLeast"/>
              <w:jc w:val="center"/>
              <w:textAlignment w:val="top"/>
              <w:rPr>
                <w:rFonts w:ascii="宋体" w:hAnsi="宋体" w:cs="宋体"/>
                <w:kern w:val="0"/>
                <w:szCs w:val="21"/>
              </w:rPr>
            </w:pPr>
            <w:r>
              <w:rPr>
                <w:rFonts w:hint="eastAsia" w:ascii="宋体" w:hAnsi="宋体" w:cs="宋体"/>
                <w:kern w:val="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815" w:type="dxa"/>
            <w:vAlign w:val="center"/>
          </w:tcPr>
          <w:p>
            <w:pPr>
              <w:widowControl/>
              <w:spacing w:line="300" w:lineRule="atLeast"/>
              <w:jc w:val="center"/>
              <w:textAlignment w:val="top"/>
              <w:rPr>
                <w:rFonts w:ascii="宋体" w:hAnsi="宋体" w:cs="宋体"/>
                <w:b/>
                <w:szCs w:val="21"/>
              </w:rPr>
            </w:pPr>
            <w:r>
              <w:rPr>
                <w:rFonts w:hint="eastAsia" w:ascii="宋体" w:hAnsi="宋体" w:cs="宋体"/>
                <w:b/>
                <w:szCs w:val="21"/>
              </w:rPr>
              <w:t>管理费（年化）</w:t>
            </w:r>
          </w:p>
        </w:tc>
        <w:tc>
          <w:tcPr>
            <w:tcW w:w="7513" w:type="dxa"/>
            <w:vAlign w:val="center"/>
          </w:tcPr>
          <w:p>
            <w:pPr>
              <w:widowControl/>
              <w:spacing w:line="300" w:lineRule="atLeast"/>
              <w:jc w:val="center"/>
              <w:textAlignment w:val="top"/>
              <w:rPr>
                <w:rFonts w:hint="eastAsia" w:ascii="宋体" w:hAnsi="宋体" w:eastAsia="宋体" w:cs="宋体"/>
                <w:kern w:val="0"/>
                <w:szCs w:val="21"/>
                <w:lang w:eastAsia="zh-CN"/>
              </w:rPr>
            </w:pPr>
            <w:r>
              <w:rPr>
                <w:rFonts w:hint="eastAsia" w:ascii="宋体" w:hAnsi="宋体" w:cs="宋体"/>
                <w:szCs w:val="21"/>
                <w:lang w:eastAsia="zh-CN" w:bidi="ar"/>
              </w:rPr>
              <w:t>0.6</w:t>
            </w:r>
            <w:r>
              <w:rPr>
                <w:rFonts w:hint="eastAsia" w:ascii="宋体" w:hAnsi="宋体" w:cs="宋体"/>
                <w:szCs w:val="21"/>
                <w:lang w:val="en-US" w:eastAsia="zh-CN" w:bidi="ar"/>
              </w:rPr>
              <w:t>0</w:t>
            </w:r>
            <w:r>
              <w:rPr>
                <w:rFonts w:hint="eastAsia" w:ascii="宋体" w:hAnsi="宋体" w:cs="宋体"/>
                <w:szCs w:val="21"/>
                <w:lang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815" w:type="dxa"/>
            <w:vAlign w:val="center"/>
          </w:tcPr>
          <w:p>
            <w:pPr>
              <w:widowControl/>
              <w:spacing w:line="300" w:lineRule="atLeast"/>
              <w:jc w:val="center"/>
              <w:textAlignment w:val="top"/>
              <w:rPr>
                <w:rFonts w:ascii="宋体" w:hAnsi="宋体" w:cs="宋体"/>
                <w:b/>
                <w:szCs w:val="21"/>
              </w:rPr>
            </w:pPr>
            <w:r>
              <w:rPr>
                <w:rFonts w:hint="eastAsia" w:ascii="宋体" w:hAnsi="宋体" w:cs="宋体"/>
                <w:b/>
                <w:szCs w:val="21"/>
              </w:rPr>
              <w:t>销售服务费（年化）</w:t>
            </w:r>
          </w:p>
        </w:tc>
        <w:tc>
          <w:tcPr>
            <w:tcW w:w="7513" w:type="dxa"/>
            <w:vAlign w:val="center"/>
          </w:tcPr>
          <w:p>
            <w:pPr>
              <w:widowControl/>
              <w:spacing w:line="300" w:lineRule="atLeast"/>
              <w:jc w:val="center"/>
              <w:textAlignment w:val="top"/>
              <w:rPr>
                <w:rFonts w:ascii="宋体" w:hAnsi="宋体" w:cs="宋体"/>
                <w:kern w:val="0"/>
                <w:szCs w:val="21"/>
              </w:rPr>
            </w:pPr>
            <w:r>
              <w:rPr>
                <w:rFonts w:hint="eastAsia" w:ascii="宋体" w:hAnsi="宋体" w:cs="宋体"/>
                <w:kern w:val="0"/>
                <w:szCs w:val="21"/>
              </w:rPr>
              <w:t>0.</w:t>
            </w:r>
            <w:r>
              <w:rPr>
                <w:rFonts w:hint="eastAsia" w:ascii="宋体" w:hAnsi="宋体" w:cs="宋体"/>
                <w:kern w:val="0"/>
                <w:szCs w:val="21"/>
                <w:lang w:val="en-US" w:eastAsia="zh-CN"/>
              </w:rPr>
              <w:t>60</w:t>
            </w:r>
            <w:r>
              <w:rPr>
                <w:rFonts w:hint="eastAsia" w:ascii="宋体" w:hAnsi="宋体" w:cs="宋体"/>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815" w:type="dxa"/>
            <w:vAlign w:val="center"/>
          </w:tcPr>
          <w:p>
            <w:pPr>
              <w:widowControl/>
              <w:spacing w:line="300" w:lineRule="atLeast"/>
              <w:jc w:val="center"/>
              <w:textAlignment w:val="top"/>
              <w:rPr>
                <w:rFonts w:ascii="宋体" w:hAnsi="宋体" w:cs="宋体"/>
                <w:b/>
                <w:szCs w:val="21"/>
              </w:rPr>
            </w:pPr>
            <w:r>
              <w:rPr>
                <w:rFonts w:hint="eastAsia" w:ascii="宋体" w:hAnsi="宋体" w:cs="宋体"/>
                <w:b/>
                <w:szCs w:val="21"/>
              </w:rPr>
              <w:t>托管费（年化）</w:t>
            </w:r>
          </w:p>
        </w:tc>
        <w:tc>
          <w:tcPr>
            <w:tcW w:w="7513" w:type="dxa"/>
            <w:vAlign w:val="center"/>
          </w:tcPr>
          <w:p>
            <w:pPr>
              <w:widowControl/>
              <w:spacing w:line="300" w:lineRule="atLeast"/>
              <w:jc w:val="center"/>
              <w:textAlignment w:val="top"/>
              <w:rPr>
                <w:rFonts w:ascii="宋体" w:hAnsi="宋体" w:cs="宋体"/>
                <w:kern w:val="0"/>
                <w:szCs w:val="21"/>
              </w:rPr>
            </w:pPr>
            <w:r>
              <w:rPr>
                <w:rFonts w:hint="eastAsia" w:ascii="宋体" w:hAnsi="宋体" w:cs="宋体"/>
                <w:kern w:val="0"/>
                <w:szCs w:val="21"/>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815" w:type="dxa"/>
            <w:vAlign w:val="center"/>
          </w:tcPr>
          <w:p>
            <w:pPr>
              <w:widowControl/>
              <w:spacing w:line="300" w:lineRule="atLeast"/>
              <w:jc w:val="center"/>
              <w:textAlignment w:val="top"/>
              <w:rPr>
                <w:rFonts w:ascii="宋体" w:hAnsi="宋体" w:cs="宋体"/>
                <w:b/>
                <w:szCs w:val="21"/>
              </w:rPr>
            </w:pPr>
            <w:r>
              <w:rPr>
                <w:rFonts w:hint="eastAsia" w:ascii="宋体" w:hAnsi="宋体" w:cs="宋体"/>
                <w:b/>
                <w:szCs w:val="21"/>
              </w:rPr>
              <w:t>超额业绩报酬</w:t>
            </w:r>
          </w:p>
        </w:tc>
        <w:tc>
          <w:tcPr>
            <w:tcW w:w="7513" w:type="dxa"/>
            <w:vAlign w:val="center"/>
          </w:tcPr>
          <w:p>
            <w:pPr>
              <w:widowControl/>
              <w:textAlignment w:val="center"/>
              <w:rPr>
                <w:rFonts w:ascii="宋体" w:hAnsi="宋体" w:cs="宋体"/>
                <w:b/>
                <w:bCs/>
                <w:color w:val="000000"/>
                <w:kern w:val="0"/>
                <w:szCs w:val="21"/>
                <w:lang w:bidi="ar"/>
              </w:rPr>
            </w:pPr>
            <w:r>
              <w:rPr>
                <w:rFonts w:hint="eastAsia" w:ascii="宋体" w:hAnsi="宋体" w:cs="宋体"/>
                <w:b/>
                <w:bCs/>
                <w:color w:val="000000"/>
                <w:kern w:val="0"/>
                <w:szCs w:val="21"/>
                <w:lang w:bidi="ar"/>
              </w:rPr>
              <w:t>超额业绩报酬=(客户持有期间净值收益率-计提比较基准）×赎回份额×赎回份额对应的申购日（或理财产品成立日）理财产品单位净值×30%</w:t>
            </w:r>
          </w:p>
          <w:p>
            <w:pPr>
              <w:widowControl/>
              <w:textAlignment w:val="center"/>
              <w:rPr>
                <w:rFonts w:hint="eastAsia" w:ascii="宋体" w:hAnsi="宋体" w:eastAsia="宋体" w:cs="宋体"/>
                <w:b/>
                <w:bCs/>
                <w:color w:val="000000"/>
                <w:kern w:val="0"/>
                <w:szCs w:val="21"/>
                <w:lang w:val="en-US" w:eastAsia="zh-CN" w:bidi="ar"/>
              </w:rPr>
            </w:pPr>
            <w:r>
              <w:rPr>
                <w:rFonts w:hint="eastAsia" w:ascii="宋体" w:hAnsi="宋体" w:cs="宋体"/>
                <w:b/>
                <w:bCs/>
                <w:color w:val="000000"/>
                <w:kern w:val="0"/>
                <w:szCs w:val="21"/>
                <w:lang w:bidi="ar"/>
              </w:rPr>
              <w:t>其中，</w:t>
            </w:r>
          </w:p>
          <w:p>
            <w:pPr>
              <w:widowControl/>
              <w:jc w:val="left"/>
              <w:textAlignment w:val="center"/>
              <w:rPr>
                <w:rFonts w:ascii="宋体" w:hAnsi="宋体" w:cs="宋体"/>
                <w:color w:val="000000"/>
                <w:kern w:val="0"/>
                <w:szCs w:val="21"/>
                <w:lang w:bidi="ar"/>
              </w:rPr>
            </w:pPr>
            <w:r>
              <w:rPr>
                <w:rFonts w:hint="eastAsia" w:ascii="宋体" w:hAnsi="宋体" w:cs="宋体"/>
                <w:b/>
                <w:bCs/>
                <w:color w:val="000000"/>
                <w:kern w:val="0"/>
                <w:szCs w:val="21"/>
                <w:lang w:bidi="ar"/>
              </w:rPr>
              <w:t>客户持有期间净值收益率</w:t>
            </w:r>
            <w:r>
              <w:rPr>
                <w:rFonts w:hint="eastAsia" w:ascii="宋体" w:hAnsi="宋体" w:cs="宋体"/>
                <w:color w:val="000000"/>
                <w:kern w:val="0"/>
                <w:szCs w:val="21"/>
                <w:lang w:bidi="ar"/>
              </w:rPr>
              <w:t>=（赎回日的理财产品份额累计净值-成立日</w:t>
            </w:r>
            <w:r>
              <w:rPr>
                <w:rFonts w:hint="eastAsia" w:ascii="宋体" w:hAnsi="宋体" w:cs="宋体"/>
                <w:color w:val="000000"/>
                <w:kern w:val="0"/>
                <w:szCs w:val="21"/>
                <w:lang w:val="en-US" w:eastAsia="zh-CN" w:bidi="ar"/>
              </w:rPr>
              <w:t>或</w:t>
            </w:r>
            <w:r>
              <w:rPr>
                <w:rFonts w:hint="eastAsia" w:ascii="宋体" w:hAnsi="宋体" w:cs="宋体"/>
                <w:color w:val="000000"/>
                <w:kern w:val="0"/>
                <w:szCs w:val="21"/>
                <w:lang w:bidi="ar"/>
              </w:rPr>
              <w:t>申购日理财产品份额累计净值）÷成立日/申购日（在计算认购确认的理财产品份额净值收益率时应指理财产品成立日)的理财产品份额净值。</w:t>
            </w:r>
          </w:p>
          <w:p>
            <w:pPr>
              <w:widowControl/>
              <w:jc w:val="left"/>
              <w:textAlignment w:val="center"/>
              <w:rPr>
                <w:rFonts w:ascii="宋体" w:hAnsi="宋体" w:cs="宋体"/>
                <w:color w:val="000000"/>
                <w:kern w:val="0"/>
                <w:szCs w:val="21"/>
                <w:lang w:bidi="ar"/>
              </w:rPr>
            </w:pPr>
            <w:r>
              <w:rPr>
                <w:rFonts w:hint="eastAsia" w:ascii="宋体" w:hAnsi="宋体" w:cs="宋体"/>
                <w:b/>
                <w:bCs/>
                <w:color w:val="000000"/>
                <w:kern w:val="0"/>
                <w:szCs w:val="21"/>
                <w:lang w:bidi="ar"/>
              </w:rPr>
              <w:t>计提比较基准</w:t>
            </w:r>
            <w:r>
              <w:rPr>
                <w:rFonts w:hint="eastAsia" w:ascii="宋体" w:hAnsi="宋体" w:cs="宋体"/>
                <w:color w:val="000000"/>
                <w:kern w:val="0"/>
                <w:szCs w:val="21"/>
                <w:lang w:bidi="ar"/>
              </w:rPr>
              <w:t>=客户持有期比较基准（年化）÷12×客户持有期。</w:t>
            </w:r>
          </w:p>
          <w:p>
            <w:pPr>
              <w:widowControl/>
              <w:jc w:val="left"/>
              <w:textAlignment w:val="center"/>
              <w:rPr>
                <w:rFonts w:ascii="宋体" w:hAnsi="宋体" w:cs="宋体"/>
                <w:color w:val="000000"/>
                <w:kern w:val="0"/>
                <w:szCs w:val="21"/>
                <w:lang w:bidi="ar"/>
              </w:rPr>
            </w:pPr>
            <w:r>
              <w:rPr>
                <w:rFonts w:hint="eastAsia" w:ascii="宋体" w:hAnsi="宋体" w:cs="宋体"/>
                <w:b/>
                <w:bCs/>
                <w:color w:val="000000"/>
                <w:kern w:val="0"/>
                <w:szCs w:val="21"/>
                <w:lang w:bidi="ar"/>
              </w:rPr>
              <w:t>客户持有期比较基准（年化）</w:t>
            </w:r>
            <w:r>
              <w:rPr>
                <w:rFonts w:hint="eastAsia" w:ascii="宋体" w:hAnsi="宋体" w:cs="宋体"/>
                <w:color w:val="000000"/>
                <w:kern w:val="0"/>
                <w:szCs w:val="21"/>
                <w:lang w:bidi="ar"/>
              </w:rPr>
              <w:t>=客户持有期国家统计局每月披露的居民消费价格同比（CPI）的算数平均值+2.2%</w:t>
            </w:r>
          </w:p>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bidi="ar"/>
              </w:rPr>
              <w:t>=</w:t>
            </w:r>
            <w:r>
              <w:rPr>
                <w:rFonts w:hint="eastAsia" w:ascii="宋体" w:hAnsi="宋体" w:cs="宋体"/>
                <w:color w:val="000000"/>
                <w:kern w:val="0"/>
                <w:position w:val="-24"/>
                <w:szCs w:val="21"/>
                <w:lang w:bidi="ar"/>
              </w:rPr>
              <w:object>
                <v:shape id="_x0000_i1026" o:spt="75" type="#_x0000_t75" style="height:31pt;width:153pt;" o:ole="t" filled="f" o:preferrelative="t" stroked="f" coordsize="21600,21600">
                  <v:path/>
                  <v:fill on="f" focussize="0,0"/>
                  <v:stroke on="f" joinstyle="miter"/>
                  <v:imagedata r:id="rId9" o:title=""/>
                  <o:lock v:ext="edit" aspectratio="t"/>
                  <w10:wrap type="none"/>
                  <w10:anchorlock/>
                </v:shape>
                <o:OLEObject Type="Embed" ProgID="Equation.3" ShapeID="_x0000_i1026" DrawAspect="Content" ObjectID="_1468075726" r:id="rId8">
                  <o:LockedField>false</o:LockedField>
                </o:OLEObject>
              </w:object>
            </w:r>
          </w:p>
          <w:p>
            <w:pPr>
              <w:widowControl/>
              <w:textAlignment w:val="center"/>
              <w:rPr>
                <w:rFonts w:ascii="宋体" w:hAnsi="宋体" w:cs="宋体"/>
                <w:color w:val="000000"/>
                <w:kern w:val="0"/>
                <w:szCs w:val="21"/>
                <w:lang w:bidi="ar"/>
              </w:rPr>
            </w:pPr>
            <w:r>
              <w:rPr>
                <w:rFonts w:hint="eastAsia" w:ascii="宋体" w:hAnsi="宋体" w:cs="宋体"/>
                <w:color w:val="000000"/>
                <w:kern w:val="0"/>
                <w:szCs w:val="21"/>
                <w:lang w:bidi="ar"/>
              </w:rPr>
              <w:t>客户持有期是指投资者认购/申购当月（含）至赎回当月（不含）之间的实际存续月数（n）。</w:t>
            </w:r>
          </w:p>
          <w:p>
            <w:pPr>
              <w:widowControl/>
              <w:spacing w:line="300" w:lineRule="atLeast"/>
              <w:textAlignment w:val="top"/>
              <w:rPr>
                <w:rFonts w:ascii="宋体" w:hAnsi="宋体" w:cs="宋体"/>
                <w:kern w:val="0"/>
                <w:szCs w:val="21"/>
              </w:rPr>
            </w:pPr>
            <w:r>
              <w:rPr>
                <w:rFonts w:hint="eastAsia" w:ascii="宋体" w:hAnsi="宋体" w:cs="宋体"/>
                <w:color w:val="000000"/>
                <w:kern w:val="0"/>
                <w:szCs w:val="21"/>
                <w:lang w:bidi="ar"/>
              </w:rPr>
              <w:t>* 超额业绩报酬的计算精确到小数点后两位。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815" w:type="dxa"/>
            <w:vAlign w:val="center"/>
          </w:tcPr>
          <w:p>
            <w:pPr>
              <w:widowControl/>
              <w:spacing w:line="300" w:lineRule="atLeast"/>
              <w:jc w:val="center"/>
              <w:textAlignment w:val="top"/>
              <w:rPr>
                <w:rFonts w:ascii="宋体" w:hAnsi="宋体" w:cs="宋体"/>
                <w:b/>
                <w:szCs w:val="21"/>
              </w:rPr>
            </w:pPr>
            <w:r>
              <w:rPr>
                <w:rFonts w:hint="eastAsia" w:ascii="宋体" w:hAnsi="宋体" w:cs="宋体"/>
                <w:b/>
                <w:szCs w:val="21"/>
              </w:rPr>
              <w:t>分红方式</w:t>
            </w:r>
          </w:p>
        </w:tc>
        <w:tc>
          <w:tcPr>
            <w:tcW w:w="7513" w:type="dxa"/>
            <w:vAlign w:val="center"/>
          </w:tcPr>
          <w:p>
            <w:pPr>
              <w:widowControl/>
              <w:spacing w:line="300" w:lineRule="atLeast"/>
              <w:jc w:val="center"/>
              <w:textAlignment w:val="top"/>
              <w:rPr>
                <w:rFonts w:ascii="宋体" w:hAnsi="宋体" w:cs="宋体"/>
                <w:kern w:val="0"/>
                <w:szCs w:val="21"/>
              </w:rPr>
            </w:pPr>
            <w:r>
              <w:rPr>
                <w:rFonts w:hint="eastAsia" w:ascii="宋体" w:hAnsi="宋体" w:cs="宋体"/>
                <w:kern w:val="0"/>
                <w:szCs w:val="21"/>
              </w:rPr>
              <w:t>现金分红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815" w:type="dxa"/>
            <w:vAlign w:val="center"/>
          </w:tcPr>
          <w:p>
            <w:pPr>
              <w:widowControl/>
              <w:spacing w:line="300" w:lineRule="atLeast"/>
              <w:jc w:val="center"/>
              <w:textAlignment w:val="top"/>
              <w:rPr>
                <w:rFonts w:ascii="宋体" w:hAnsi="宋体" w:cs="宋体"/>
                <w:b/>
                <w:szCs w:val="21"/>
              </w:rPr>
            </w:pPr>
            <w:r>
              <w:rPr>
                <w:rFonts w:hint="eastAsia" w:ascii="宋体" w:hAnsi="宋体" w:cs="宋体"/>
                <w:b/>
                <w:kern w:val="0"/>
                <w:szCs w:val="21"/>
              </w:rPr>
              <w:t>募集期间资金及利息的处理方式</w:t>
            </w:r>
          </w:p>
        </w:tc>
        <w:tc>
          <w:tcPr>
            <w:tcW w:w="7513" w:type="dxa"/>
            <w:vAlign w:val="center"/>
          </w:tcPr>
          <w:p>
            <w:pPr>
              <w:widowControl/>
              <w:spacing w:line="300" w:lineRule="atLeast"/>
              <w:textAlignment w:val="top"/>
              <w:rPr>
                <w:rFonts w:ascii="宋体" w:hAnsi="宋体" w:cs="宋体"/>
                <w:kern w:val="0"/>
                <w:szCs w:val="21"/>
              </w:rPr>
            </w:pPr>
            <w:r>
              <w:rPr>
                <w:rFonts w:hint="eastAsia" w:ascii="宋体" w:hAnsi="宋体" w:cs="宋体"/>
                <w:szCs w:val="21"/>
              </w:rPr>
              <w:t>投资者在募集期内的认购申请被受理后，销售服务机构有权冻结认购款项。冻结期间资金由销售服务机构按人民币活期存款利率计付利息，利息不计入认购本金。募集期最后一日全部募集资金将被划入资金募集账户，该日募集资金不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815" w:type="dxa"/>
            <w:vAlign w:val="center"/>
          </w:tcPr>
          <w:p>
            <w:pPr>
              <w:widowControl/>
              <w:spacing w:line="300" w:lineRule="atLeast"/>
              <w:jc w:val="center"/>
              <w:textAlignment w:val="top"/>
              <w:rPr>
                <w:rFonts w:ascii="宋体" w:hAnsi="宋体" w:cs="宋体"/>
                <w:b/>
                <w:szCs w:val="21"/>
              </w:rPr>
            </w:pPr>
            <w:r>
              <w:rPr>
                <w:rFonts w:hint="eastAsia" w:ascii="宋体" w:hAnsi="宋体" w:cs="宋体"/>
                <w:b/>
                <w:kern w:val="0"/>
                <w:szCs w:val="21"/>
              </w:rPr>
              <w:t>提前终止</w:t>
            </w:r>
          </w:p>
        </w:tc>
        <w:tc>
          <w:tcPr>
            <w:tcW w:w="7513" w:type="dxa"/>
            <w:vAlign w:val="center"/>
          </w:tcPr>
          <w:p>
            <w:pPr>
              <w:widowControl/>
              <w:spacing w:line="300" w:lineRule="atLeast"/>
              <w:textAlignment w:val="top"/>
              <w:rPr>
                <w:rFonts w:ascii="宋体" w:hAnsi="宋体" w:cs="宋体"/>
                <w:kern w:val="0"/>
                <w:szCs w:val="21"/>
              </w:rPr>
            </w:pPr>
            <w:r>
              <w:rPr>
                <w:rFonts w:hint="eastAsia" w:ascii="宋体" w:hAnsi="宋体" w:cs="宋体"/>
                <w:kern w:val="0"/>
                <w:szCs w:val="21"/>
              </w:rPr>
              <w:t>为保护投资者利益，管理人可根据市场变化情况提前终止本产品，投资者不得提前终止本产品。</w:t>
            </w:r>
          </w:p>
        </w:tc>
      </w:tr>
    </w:tbl>
    <w:p>
      <w:pPr>
        <w:widowControl/>
        <w:spacing w:line="360" w:lineRule="auto"/>
        <w:jc w:val="left"/>
        <w:rPr>
          <w:rFonts w:ascii="宋体" w:hAnsi="宋体" w:cs="宋体"/>
          <w:sz w:val="24"/>
          <w:szCs w:val="24"/>
        </w:rPr>
      </w:pPr>
    </w:p>
    <w:p>
      <w:pPr>
        <w:spacing w:line="360" w:lineRule="auto"/>
        <w:jc w:val="center"/>
        <w:rPr>
          <w:rFonts w:ascii="宋体" w:hAnsi="宋体" w:cs="宋体"/>
          <w:b/>
          <w:bCs/>
          <w:color w:val="000000"/>
          <w:sz w:val="28"/>
          <w:szCs w:val="28"/>
        </w:rPr>
      </w:pPr>
      <w:r>
        <w:rPr>
          <w:rFonts w:hint="eastAsia" w:ascii="宋体" w:hAnsi="宋体" w:cs="宋体"/>
          <w:b/>
          <w:bCs/>
          <w:color w:val="000000"/>
          <w:sz w:val="28"/>
          <w:szCs w:val="28"/>
        </w:rPr>
        <w:t>二、风险评级</w:t>
      </w:r>
    </w:p>
    <w:p>
      <w:pPr>
        <w:spacing w:line="360" w:lineRule="auto"/>
        <w:ind w:firstLine="420" w:firstLineChars="200"/>
        <w:rPr>
          <w:rFonts w:ascii="宋体" w:hAnsi="宋体" w:cs="宋体"/>
          <w:szCs w:val="21"/>
        </w:rPr>
      </w:pPr>
      <w:r>
        <w:rPr>
          <w:rFonts w:hint="eastAsia" w:ascii="宋体" w:hAnsi="宋体" w:cs="宋体"/>
          <w:szCs w:val="21"/>
        </w:rPr>
        <w:t>本理财产品经光大理财内部风险评级为</w:t>
      </w:r>
      <w:r>
        <w:rPr>
          <w:rFonts w:hint="eastAsia" w:ascii="宋体" w:hAnsi="宋体" w:cs="宋体"/>
          <w:b/>
          <w:bCs/>
          <w:szCs w:val="21"/>
        </w:rPr>
        <w:t>中风险（三星级）。</w:t>
      </w:r>
      <w:r>
        <w:rPr>
          <w:rFonts w:hint="eastAsia" w:ascii="宋体" w:hAnsi="宋体" w:cs="宋体"/>
          <w:szCs w:val="21"/>
        </w:rPr>
        <w:t>销售服务机构负责完成投资者风险承受能力评估，并在遵循投资者适当性原则的前提下进行本理财产品的销售活动。</w:t>
      </w:r>
      <w:r>
        <w:rPr>
          <w:rFonts w:hint="eastAsia"/>
          <w:b/>
          <w:bCs/>
          <w:szCs w:val="21"/>
          <w:u w:val="single"/>
        </w:rPr>
        <w:t>本产品通过销售服务机构渠道销售的，理财产品评级应当以销售服务机构最终披露的评级结果为准。</w:t>
      </w:r>
    </w:p>
    <w:tbl>
      <w:tblPr>
        <w:tblStyle w:val="14"/>
        <w:tblW w:w="78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3"/>
        <w:gridCol w:w="2929"/>
        <w:gridCol w:w="2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2283" w:type="dxa"/>
            <w:vAlign w:val="center"/>
          </w:tcPr>
          <w:p>
            <w:pPr>
              <w:jc w:val="center"/>
              <w:rPr>
                <w:rFonts w:ascii="宋体" w:hAnsi="宋体" w:cs="宋体"/>
                <w:b/>
                <w:color w:val="000000"/>
                <w:szCs w:val="21"/>
              </w:rPr>
            </w:pPr>
            <w:r>
              <w:rPr>
                <w:rFonts w:hint="eastAsia" w:ascii="宋体" w:hAnsi="宋体" w:cs="宋体"/>
                <w:b/>
                <w:bCs/>
                <w:color w:val="000000"/>
                <w:szCs w:val="21"/>
              </w:rPr>
              <w:t>内部风险评级</w:t>
            </w:r>
          </w:p>
        </w:tc>
        <w:tc>
          <w:tcPr>
            <w:tcW w:w="2929" w:type="dxa"/>
            <w:vAlign w:val="center"/>
          </w:tcPr>
          <w:p>
            <w:pPr>
              <w:jc w:val="center"/>
              <w:rPr>
                <w:rFonts w:ascii="宋体" w:hAnsi="宋体" w:cs="宋体"/>
                <w:b/>
                <w:color w:val="000000"/>
                <w:szCs w:val="21"/>
              </w:rPr>
            </w:pPr>
            <w:r>
              <w:rPr>
                <w:rFonts w:hint="eastAsia" w:ascii="宋体" w:hAnsi="宋体" w:cs="宋体"/>
                <w:b/>
                <w:bCs/>
                <w:color w:val="000000"/>
                <w:szCs w:val="21"/>
              </w:rPr>
              <w:t>风险程度</w:t>
            </w:r>
          </w:p>
        </w:tc>
        <w:tc>
          <w:tcPr>
            <w:tcW w:w="2686" w:type="dxa"/>
          </w:tcPr>
          <w:p>
            <w:pPr>
              <w:jc w:val="center"/>
              <w:rPr>
                <w:rFonts w:ascii="宋体" w:hAnsi="宋体" w:cs="宋体"/>
                <w:b/>
                <w:bCs/>
                <w:color w:val="000000"/>
                <w:szCs w:val="21"/>
              </w:rPr>
            </w:pPr>
            <w:r>
              <w:rPr>
                <w:rFonts w:hint="eastAsia" w:ascii="宋体" w:hAnsi="宋体" w:cs="宋体"/>
                <w:b/>
                <w:bCs/>
                <w:color w:val="000000"/>
                <w:szCs w:val="21"/>
              </w:rPr>
              <w:t>适合的投资人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2283" w:type="dxa"/>
          </w:tcPr>
          <w:p>
            <w:pPr>
              <w:jc w:val="center"/>
              <w:rPr>
                <w:rFonts w:ascii="宋体" w:hAnsi="宋体" w:cs="宋体"/>
                <w:bCs/>
                <w:szCs w:val="21"/>
              </w:rPr>
            </w:pPr>
            <w:r>
              <w:rPr>
                <w:rFonts w:hint="eastAsia" w:ascii="宋体" w:hAnsi="宋体" w:cs="宋体"/>
                <w:bCs/>
                <w:szCs w:val="21"/>
              </w:rPr>
              <w:t>★</w:t>
            </w:r>
          </w:p>
        </w:tc>
        <w:tc>
          <w:tcPr>
            <w:tcW w:w="2929" w:type="dxa"/>
          </w:tcPr>
          <w:p>
            <w:pPr>
              <w:jc w:val="center"/>
              <w:rPr>
                <w:rFonts w:ascii="宋体" w:hAnsi="宋体" w:cs="宋体"/>
                <w:szCs w:val="21"/>
              </w:rPr>
            </w:pPr>
            <w:r>
              <w:rPr>
                <w:rFonts w:hint="eastAsia" w:ascii="宋体" w:hAnsi="宋体" w:cs="宋体"/>
                <w:bCs/>
                <w:szCs w:val="21"/>
              </w:rPr>
              <w:t>低</w:t>
            </w:r>
          </w:p>
        </w:tc>
        <w:tc>
          <w:tcPr>
            <w:tcW w:w="2686" w:type="dxa"/>
          </w:tcPr>
          <w:p>
            <w:pPr>
              <w:jc w:val="center"/>
              <w:rPr>
                <w:rFonts w:ascii="宋体" w:hAnsi="宋体" w:cs="宋体"/>
                <w:color w:val="000000"/>
                <w:szCs w:val="21"/>
              </w:rPr>
            </w:pPr>
            <w:r>
              <w:rPr>
                <w:rFonts w:hint="eastAsia" w:ascii="宋体" w:hAnsi="宋体" w:cs="宋体"/>
                <w:color w:val="000000"/>
                <w:szCs w:val="21"/>
              </w:rPr>
              <w:t>谨慎型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2283" w:type="dxa"/>
          </w:tcPr>
          <w:p>
            <w:pPr>
              <w:jc w:val="center"/>
              <w:rPr>
                <w:rFonts w:ascii="宋体" w:hAnsi="宋体" w:cs="宋体"/>
                <w:szCs w:val="21"/>
              </w:rPr>
            </w:pPr>
            <w:r>
              <w:rPr>
                <w:rFonts w:hint="eastAsia" w:ascii="宋体" w:hAnsi="宋体" w:cs="宋体"/>
                <w:b w:val="0"/>
                <w:bCs w:val="0"/>
                <w:szCs w:val="21"/>
              </w:rPr>
              <w:t>★★</w:t>
            </w:r>
          </w:p>
        </w:tc>
        <w:tc>
          <w:tcPr>
            <w:tcW w:w="2929" w:type="dxa"/>
          </w:tcPr>
          <w:p>
            <w:pPr>
              <w:jc w:val="center"/>
              <w:rPr>
                <w:rFonts w:ascii="宋体" w:hAnsi="宋体" w:cs="宋体"/>
                <w:szCs w:val="21"/>
              </w:rPr>
            </w:pPr>
            <w:r>
              <w:rPr>
                <w:rFonts w:hint="eastAsia" w:ascii="宋体" w:hAnsi="宋体" w:cs="宋体"/>
                <w:szCs w:val="21"/>
              </w:rPr>
              <w:t>较低</w:t>
            </w:r>
          </w:p>
        </w:tc>
        <w:tc>
          <w:tcPr>
            <w:tcW w:w="2686" w:type="dxa"/>
          </w:tcPr>
          <w:p>
            <w:pPr>
              <w:jc w:val="center"/>
              <w:rPr>
                <w:rFonts w:ascii="宋体" w:hAnsi="宋体" w:cs="宋体"/>
                <w:color w:val="000000"/>
                <w:szCs w:val="21"/>
              </w:rPr>
            </w:pPr>
            <w:r>
              <w:rPr>
                <w:rFonts w:hint="eastAsia" w:ascii="宋体" w:hAnsi="宋体" w:cs="宋体"/>
                <w:szCs w:val="21"/>
              </w:rPr>
              <w:t>稳健型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2283" w:type="dxa"/>
          </w:tcPr>
          <w:p>
            <w:pPr>
              <w:jc w:val="center"/>
              <w:rPr>
                <w:rFonts w:ascii="宋体" w:hAnsi="宋体" w:cs="宋体"/>
                <w:b/>
                <w:szCs w:val="21"/>
              </w:rPr>
            </w:pPr>
            <w:r>
              <w:rPr>
                <w:rFonts w:hint="eastAsia" w:ascii="宋体" w:hAnsi="宋体" w:cs="宋体"/>
                <w:szCs w:val="21"/>
              </w:rPr>
              <w:t>★★★</w:t>
            </w:r>
          </w:p>
        </w:tc>
        <w:tc>
          <w:tcPr>
            <w:tcW w:w="2929" w:type="dxa"/>
          </w:tcPr>
          <w:p>
            <w:pPr>
              <w:jc w:val="center"/>
              <w:rPr>
                <w:rFonts w:ascii="宋体" w:hAnsi="宋体" w:cs="宋体"/>
                <w:b/>
                <w:szCs w:val="21"/>
              </w:rPr>
            </w:pPr>
            <w:r>
              <w:rPr>
                <w:rFonts w:hint="eastAsia" w:ascii="宋体" w:hAnsi="宋体" w:cs="宋体"/>
                <w:b/>
                <w:szCs w:val="21"/>
              </w:rPr>
              <w:t>中</w:t>
            </w:r>
          </w:p>
        </w:tc>
        <w:tc>
          <w:tcPr>
            <w:tcW w:w="2686" w:type="dxa"/>
          </w:tcPr>
          <w:p>
            <w:pPr>
              <w:jc w:val="center"/>
              <w:rPr>
                <w:rFonts w:ascii="宋体" w:hAnsi="宋体" w:cs="宋体"/>
                <w:b/>
                <w:color w:val="000000"/>
                <w:szCs w:val="21"/>
              </w:rPr>
            </w:pPr>
            <w:r>
              <w:rPr>
                <w:rFonts w:hint="eastAsia" w:ascii="宋体" w:hAnsi="宋体" w:cs="宋体"/>
                <w:b/>
                <w:color w:val="000000"/>
                <w:szCs w:val="21"/>
              </w:rPr>
              <w:t>平衡型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2283" w:type="dxa"/>
          </w:tcPr>
          <w:p>
            <w:pPr>
              <w:jc w:val="center"/>
              <w:rPr>
                <w:rFonts w:ascii="宋体" w:hAnsi="宋体" w:cs="宋体"/>
                <w:b/>
                <w:szCs w:val="21"/>
              </w:rPr>
            </w:pPr>
            <w:r>
              <w:rPr>
                <w:rFonts w:hint="eastAsia" w:ascii="宋体" w:hAnsi="宋体" w:cs="宋体"/>
                <w:bCs/>
                <w:szCs w:val="21"/>
              </w:rPr>
              <w:t>★★★★</w:t>
            </w:r>
          </w:p>
        </w:tc>
        <w:tc>
          <w:tcPr>
            <w:tcW w:w="2929" w:type="dxa"/>
          </w:tcPr>
          <w:p>
            <w:pPr>
              <w:jc w:val="center"/>
              <w:rPr>
                <w:rFonts w:ascii="宋体" w:hAnsi="宋体" w:cs="宋体"/>
                <w:szCs w:val="21"/>
              </w:rPr>
            </w:pPr>
            <w:r>
              <w:rPr>
                <w:rFonts w:hint="eastAsia" w:ascii="宋体" w:hAnsi="宋体" w:cs="宋体"/>
                <w:bCs/>
                <w:szCs w:val="21"/>
              </w:rPr>
              <w:t>较高</w:t>
            </w:r>
          </w:p>
        </w:tc>
        <w:tc>
          <w:tcPr>
            <w:tcW w:w="2686" w:type="dxa"/>
          </w:tcPr>
          <w:p>
            <w:pPr>
              <w:jc w:val="center"/>
              <w:rPr>
                <w:rFonts w:ascii="宋体" w:hAnsi="宋体" w:cs="宋体"/>
                <w:color w:val="000000"/>
                <w:szCs w:val="21"/>
              </w:rPr>
            </w:pPr>
            <w:r>
              <w:rPr>
                <w:rFonts w:hint="eastAsia" w:ascii="宋体" w:hAnsi="宋体" w:cs="宋体"/>
                <w:color w:val="000000"/>
                <w:szCs w:val="21"/>
              </w:rPr>
              <w:t>进取型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2283" w:type="dxa"/>
            <w:tcBorders>
              <w:bottom w:val="single" w:color="auto" w:sz="4" w:space="0"/>
            </w:tcBorders>
          </w:tcPr>
          <w:p>
            <w:pPr>
              <w:jc w:val="center"/>
              <w:rPr>
                <w:rFonts w:ascii="宋体" w:hAnsi="宋体" w:cs="宋体"/>
                <w:b/>
                <w:bCs/>
                <w:szCs w:val="21"/>
              </w:rPr>
            </w:pPr>
            <w:r>
              <w:rPr>
                <w:rFonts w:hint="eastAsia" w:ascii="宋体" w:hAnsi="宋体" w:cs="宋体"/>
                <w:bCs/>
                <w:szCs w:val="21"/>
              </w:rPr>
              <w:t>★★★★★</w:t>
            </w:r>
          </w:p>
        </w:tc>
        <w:tc>
          <w:tcPr>
            <w:tcW w:w="2929" w:type="dxa"/>
            <w:tcBorders>
              <w:bottom w:val="single" w:color="auto" w:sz="4" w:space="0"/>
            </w:tcBorders>
          </w:tcPr>
          <w:p>
            <w:pPr>
              <w:jc w:val="center"/>
              <w:rPr>
                <w:rFonts w:ascii="宋体" w:hAnsi="宋体" w:cs="宋体"/>
                <w:szCs w:val="21"/>
              </w:rPr>
            </w:pPr>
            <w:r>
              <w:rPr>
                <w:rFonts w:hint="eastAsia" w:ascii="宋体" w:hAnsi="宋体" w:cs="宋体"/>
                <w:bCs/>
                <w:szCs w:val="21"/>
              </w:rPr>
              <w:t>高</w:t>
            </w:r>
          </w:p>
        </w:tc>
        <w:tc>
          <w:tcPr>
            <w:tcW w:w="2686" w:type="dxa"/>
            <w:tcBorders>
              <w:bottom w:val="single" w:color="auto" w:sz="4" w:space="0"/>
            </w:tcBorders>
          </w:tcPr>
          <w:p>
            <w:pPr>
              <w:jc w:val="center"/>
              <w:rPr>
                <w:rFonts w:ascii="宋体" w:hAnsi="宋体" w:cs="宋体"/>
                <w:color w:val="000000"/>
                <w:szCs w:val="21"/>
              </w:rPr>
            </w:pPr>
            <w:r>
              <w:rPr>
                <w:rFonts w:hint="eastAsia" w:ascii="宋体" w:hAnsi="宋体" w:cs="宋体"/>
                <w:color w:val="000000"/>
                <w:szCs w:val="21"/>
              </w:rPr>
              <w:t>激进型</w:t>
            </w:r>
          </w:p>
        </w:tc>
      </w:tr>
    </w:tbl>
    <w:p>
      <w:pPr>
        <w:pStyle w:val="22"/>
        <w:spacing w:line="360" w:lineRule="auto"/>
        <w:ind w:firstLine="0" w:firstLineChars="0"/>
        <w:jc w:val="left"/>
        <w:rPr>
          <w:rFonts w:ascii="宋体" w:hAnsi="宋体" w:cs="宋体"/>
          <w:sz w:val="24"/>
          <w:szCs w:val="24"/>
        </w:rPr>
      </w:pPr>
    </w:p>
    <w:p>
      <w:pPr>
        <w:spacing w:line="360" w:lineRule="auto"/>
        <w:jc w:val="center"/>
        <w:rPr>
          <w:rFonts w:ascii="宋体" w:hAnsi="宋体" w:cs="宋体"/>
          <w:b/>
          <w:bCs/>
          <w:color w:val="000000"/>
          <w:sz w:val="28"/>
          <w:szCs w:val="28"/>
        </w:rPr>
      </w:pPr>
      <w:r>
        <w:rPr>
          <w:rFonts w:hint="eastAsia" w:ascii="宋体" w:hAnsi="宋体" w:cs="宋体"/>
          <w:b/>
          <w:bCs/>
          <w:color w:val="000000"/>
          <w:sz w:val="28"/>
          <w:szCs w:val="28"/>
        </w:rPr>
        <w:t>三、名词释义</w:t>
      </w:r>
    </w:p>
    <w:p>
      <w:pPr>
        <w:spacing w:line="360" w:lineRule="auto"/>
        <w:ind w:firstLine="422" w:firstLineChars="200"/>
        <w:rPr>
          <w:rFonts w:ascii="宋体" w:hAnsi="宋体" w:cs="宋体"/>
          <w:szCs w:val="21"/>
        </w:rPr>
      </w:pPr>
      <w:r>
        <w:rPr>
          <w:rFonts w:ascii="宋体" w:hAnsi="宋体" w:cs="宋体"/>
          <w:b/>
          <w:bCs/>
          <w:szCs w:val="21"/>
        </w:rPr>
        <w:t>1.光大理财/本公司</w:t>
      </w:r>
      <w:r>
        <w:rPr>
          <w:rFonts w:ascii="宋体" w:hAnsi="宋体" w:cs="宋体"/>
          <w:b/>
          <w:bCs/>
          <w:color w:val="000000"/>
          <w:szCs w:val="21"/>
        </w:rPr>
        <w:t>/</w:t>
      </w:r>
      <w:r>
        <w:rPr>
          <w:rFonts w:hint="eastAsia" w:ascii="宋体" w:hAnsi="宋体" w:cs="宋体"/>
          <w:b/>
          <w:bCs/>
          <w:szCs w:val="21"/>
        </w:rPr>
        <w:t>理财产品管理人</w:t>
      </w:r>
      <w:r>
        <w:rPr>
          <w:rFonts w:ascii="宋体" w:hAnsi="宋体" w:cs="宋体"/>
          <w:b/>
          <w:bCs/>
          <w:szCs w:val="21"/>
        </w:rPr>
        <w:t>/产品管理人/管理人：</w:t>
      </w:r>
      <w:r>
        <w:rPr>
          <w:rFonts w:hint="eastAsia" w:ascii="宋体" w:hAnsi="宋体" w:cs="宋体"/>
          <w:szCs w:val="21"/>
        </w:rPr>
        <w:t>指光大理财有限责任公司。</w:t>
      </w:r>
    </w:p>
    <w:p>
      <w:pPr>
        <w:spacing w:line="360" w:lineRule="auto"/>
        <w:ind w:firstLine="422" w:firstLineChars="200"/>
        <w:rPr>
          <w:rFonts w:ascii="宋体" w:hAnsi="宋体" w:cs="宋体"/>
          <w:szCs w:val="21"/>
        </w:rPr>
      </w:pPr>
      <w:r>
        <w:rPr>
          <w:rFonts w:ascii="宋体" w:hAnsi="宋体" w:cs="宋体"/>
          <w:b/>
          <w:bCs/>
          <w:szCs w:val="21"/>
        </w:rPr>
        <w:t>2.理财产品/产品：</w:t>
      </w:r>
      <w:r>
        <w:rPr>
          <w:rFonts w:hint="eastAsia" w:ascii="宋体" w:hAnsi="宋体" w:cs="宋体"/>
          <w:szCs w:val="21"/>
        </w:rPr>
        <w:t>指光大理财按照约定条件和实际投资收益情况向投资者支付收益、不保证本金支付和收益水平的非保本理财产品。</w:t>
      </w:r>
    </w:p>
    <w:p>
      <w:pPr>
        <w:spacing w:line="360" w:lineRule="auto"/>
        <w:ind w:firstLine="422" w:firstLineChars="200"/>
        <w:rPr>
          <w:rFonts w:ascii="宋体" w:hAnsi="宋体" w:cs="宋体"/>
          <w:szCs w:val="21"/>
        </w:rPr>
      </w:pPr>
      <w:r>
        <w:rPr>
          <w:rFonts w:ascii="宋体" w:hAnsi="宋体" w:cs="宋体"/>
          <w:b/>
          <w:bCs/>
          <w:szCs w:val="21"/>
        </w:rPr>
        <w:t>3.本理财产品/本产品：</w:t>
      </w:r>
      <w:r>
        <w:rPr>
          <w:rFonts w:hint="eastAsia" w:ascii="宋体" w:hAnsi="宋体" w:cs="宋体"/>
          <w:szCs w:val="21"/>
        </w:rPr>
        <w:t>指光大理财“阳光橙增盈抗通胀1号（1年最低持有）”理财产品。</w:t>
      </w:r>
    </w:p>
    <w:p>
      <w:pPr>
        <w:spacing w:line="360" w:lineRule="auto"/>
        <w:ind w:firstLine="422" w:firstLineChars="200"/>
        <w:rPr>
          <w:rFonts w:ascii="宋体" w:hAnsi="宋体" w:cs="宋体"/>
          <w:szCs w:val="21"/>
        </w:rPr>
      </w:pPr>
      <w:r>
        <w:rPr>
          <w:rFonts w:ascii="宋体" w:hAnsi="宋体" w:cs="宋体"/>
          <w:b/>
          <w:bCs/>
          <w:szCs w:val="21"/>
        </w:rPr>
        <w:t>4.理财产品份额/产品份额：</w:t>
      </w:r>
      <w:r>
        <w:rPr>
          <w:rFonts w:hint="eastAsia" w:ascii="宋体" w:hAnsi="宋体" w:cs="宋体"/>
          <w:szCs w:val="21"/>
        </w:rPr>
        <w:t>指投资者持有本理财产品的单位份额。投资者基于其所持有的理财产品单位份额享有理财产品利益、承担理财产品风险。</w:t>
      </w:r>
    </w:p>
    <w:p>
      <w:pPr>
        <w:spacing w:line="360" w:lineRule="auto"/>
        <w:ind w:firstLine="422" w:firstLineChars="200"/>
        <w:rPr>
          <w:rFonts w:ascii="宋体" w:hAnsi="宋体" w:cs="宋体"/>
          <w:szCs w:val="21"/>
        </w:rPr>
      </w:pPr>
      <w:r>
        <w:rPr>
          <w:rFonts w:ascii="宋体" w:hAnsi="宋体" w:cs="宋体"/>
          <w:b/>
          <w:bCs/>
          <w:szCs w:val="21"/>
        </w:rPr>
        <w:t>5.理财产品份额净值：</w:t>
      </w:r>
      <w:r>
        <w:rPr>
          <w:rFonts w:hint="eastAsia" w:ascii="宋体" w:hAnsi="宋体" w:cs="宋体"/>
          <w:szCs w:val="21"/>
        </w:rPr>
        <w:t>指理财产品份额的单位净值，即每</w:t>
      </w:r>
      <w:r>
        <w:rPr>
          <w:rFonts w:ascii="宋体" w:hAnsi="宋体" w:cs="宋体"/>
          <w:szCs w:val="21"/>
        </w:rPr>
        <w:t>1份理财产品份额以人民币计价的价格。</w:t>
      </w:r>
    </w:p>
    <w:p>
      <w:pPr>
        <w:spacing w:line="360" w:lineRule="auto"/>
        <w:ind w:firstLine="422" w:firstLineChars="200"/>
        <w:rPr>
          <w:rFonts w:ascii="宋体" w:hAnsi="宋体" w:cs="宋体"/>
          <w:szCs w:val="21"/>
        </w:rPr>
      </w:pPr>
      <w:r>
        <w:rPr>
          <w:rFonts w:ascii="宋体" w:hAnsi="宋体" w:cs="宋体"/>
          <w:b/>
          <w:bCs/>
          <w:szCs w:val="21"/>
        </w:rPr>
        <w:t>6.理财产品份额累计净值：</w:t>
      </w:r>
      <w:r>
        <w:rPr>
          <w:rFonts w:hint="eastAsia" w:ascii="宋体" w:hAnsi="宋体" w:cs="宋体"/>
          <w:szCs w:val="21"/>
        </w:rPr>
        <w:t>指理财产品份额的单位净值与产品成立后历次累计单位收益分配的总和。</w:t>
      </w:r>
    </w:p>
    <w:p>
      <w:pPr>
        <w:spacing w:line="360" w:lineRule="auto"/>
        <w:ind w:firstLine="422" w:firstLineChars="200"/>
        <w:rPr>
          <w:rFonts w:ascii="宋体" w:hAnsi="宋体" w:cs="宋体"/>
          <w:szCs w:val="21"/>
        </w:rPr>
      </w:pPr>
      <w:r>
        <w:rPr>
          <w:rFonts w:ascii="宋体" w:hAnsi="宋体" w:cs="宋体"/>
          <w:b/>
          <w:szCs w:val="21"/>
          <w:lang w:bidi="ar"/>
        </w:rPr>
        <w:t>7</w:t>
      </w:r>
      <w:r>
        <w:rPr>
          <w:rFonts w:ascii="宋体" w:hAnsi="宋体" w:cs="宋体"/>
          <w:b/>
          <w:bCs/>
          <w:szCs w:val="21"/>
        </w:rPr>
        <w:t>.工作日：</w:t>
      </w:r>
      <w:r>
        <w:rPr>
          <w:rFonts w:hint="eastAsia" w:ascii="宋体" w:hAnsi="宋体" w:cs="宋体"/>
          <w:szCs w:val="21"/>
        </w:rPr>
        <w:t>指国内法定工作日。</w:t>
      </w:r>
    </w:p>
    <w:p>
      <w:pPr>
        <w:spacing w:line="360" w:lineRule="auto"/>
        <w:ind w:firstLine="422" w:firstLineChars="200"/>
        <w:rPr>
          <w:rFonts w:ascii="宋体" w:hAnsi="宋体" w:cs="宋体"/>
          <w:szCs w:val="21"/>
        </w:rPr>
      </w:pPr>
      <w:r>
        <w:rPr>
          <w:rFonts w:ascii="宋体" w:hAnsi="宋体" w:cs="宋体"/>
          <w:b/>
          <w:bCs/>
          <w:szCs w:val="21"/>
        </w:rPr>
        <w:t>8.交易所工作日：</w:t>
      </w:r>
      <w:r>
        <w:rPr>
          <w:rFonts w:hint="eastAsia" w:ascii="宋体" w:hAnsi="宋体" w:cs="宋体"/>
          <w:szCs w:val="21"/>
        </w:rPr>
        <w:t>指中国证券市场的法定交易日。</w:t>
      </w:r>
    </w:p>
    <w:p>
      <w:pPr>
        <w:spacing w:line="360" w:lineRule="auto"/>
        <w:ind w:firstLine="422" w:firstLineChars="200"/>
        <w:rPr>
          <w:rFonts w:ascii="宋体" w:hAnsi="宋体" w:cs="宋体"/>
          <w:szCs w:val="21"/>
        </w:rPr>
      </w:pPr>
      <w:r>
        <w:rPr>
          <w:rFonts w:ascii="宋体" w:hAnsi="宋体" w:cs="宋体"/>
          <w:b/>
          <w:bCs/>
          <w:szCs w:val="21"/>
        </w:rPr>
        <w:t>9.成立日：</w:t>
      </w:r>
      <w:r>
        <w:rPr>
          <w:rFonts w:hint="eastAsia" w:ascii="宋体" w:hAnsi="宋体" w:cs="宋体"/>
          <w:szCs w:val="21"/>
        </w:rPr>
        <w:t>指本产品完成首次募集发行，正式成立运作日。</w:t>
      </w:r>
    </w:p>
    <w:p>
      <w:pPr>
        <w:spacing w:line="360" w:lineRule="auto"/>
        <w:ind w:firstLine="422" w:firstLineChars="200"/>
        <w:rPr>
          <w:rFonts w:ascii="宋体" w:hAnsi="宋体" w:cs="宋体"/>
          <w:szCs w:val="21"/>
        </w:rPr>
      </w:pPr>
      <w:r>
        <w:rPr>
          <w:rFonts w:ascii="宋体" w:hAnsi="宋体" w:cs="宋体"/>
          <w:b/>
          <w:bCs/>
          <w:szCs w:val="21"/>
        </w:rPr>
        <w:t>10.预约交易指定日</w:t>
      </w:r>
      <w:r>
        <w:rPr>
          <w:rFonts w:hint="eastAsia" w:ascii="宋体" w:hAnsi="宋体" w:cs="宋体"/>
          <w:szCs w:val="21"/>
        </w:rPr>
        <w:t>：指投资者预约交易指定的发起申购或赎回申请的日期。</w:t>
      </w:r>
    </w:p>
    <w:p>
      <w:pPr>
        <w:spacing w:line="360" w:lineRule="auto"/>
        <w:ind w:firstLine="422" w:firstLineChars="200"/>
        <w:rPr>
          <w:rFonts w:ascii="宋体" w:hAnsi="宋体" w:cs="宋体"/>
          <w:szCs w:val="21"/>
        </w:rPr>
      </w:pPr>
      <w:r>
        <w:rPr>
          <w:rFonts w:ascii="宋体" w:hAnsi="宋体" w:cs="宋体"/>
          <w:b/>
          <w:bCs/>
          <w:szCs w:val="21"/>
        </w:rPr>
        <w:t>11.不可抗力：</w:t>
      </w:r>
      <w:r>
        <w:rPr>
          <w:rFonts w:hint="eastAsia" w:ascii="宋体" w:hAnsi="宋体" w:cs="宋体"/>
          <w:szCs w:val="21"/>
        </w:rPr>
        <w:t>指理财产品各方不能预见、不能避免且不能克服的客观情况，该事件妨碍、影响或延误任何一方依理财产品销售文件履行其全部或部分义务。该事件包括但不限于：</w:t>
      </w:r>
    </w:p>
    <w:p>
      <w:pPr>
        <w:spacing w:line="360" w:lineRule="auto"/>
        <w:ind w:firstLine="420" w:firstLineChars="200"/>
        <w:rPr>
          <w:rFonts w:ascii="宋体" w:hAnsi="宋体" w:cs="宋体"/>
          <w:szCs w:val="21"/>
        </w:rPr>
      </w:pPr>
      <w:r>
        <w:rPr>
          <w:rFonts w:hint="eastAsia" w:ascii="宋体" w:hAnsi="宋体" w:cs="宋体"/>
          <w:szCs w:val="21"/>
        </w:rPr>
        <w:t>（</w:t>
      </w:r>
      <w:r>
        <w:rPr>
          <w:rFonts w:ascii="宋体" w:hAnsi="宋体" w:cs="宋体"/>
          <w:szCs w:val="21"/>
        </w:rPr>
        <w:t>1）地震、台风、海啸、洪水、火灾、停电、瘟疫</w:t>
      </w:r>
      <w:r>
        <w:rPr>
          <w:rFonts w:hint="eastAsia" w:ascii="宋体" w:hAnsi="宋体" w:cs="宋体"/>
          <w:szCs w:val="21"/>
        </w:rPr>
        <w:t>等严重传染病；</w:t>
      </w:r>
    </w:p>
    <w:p>
      <w:pPr>
        <w:spacing w:line="360" w:lineRule="auto"/>
        <w:ind w:firstLine="420" w:firstLineChars="200"/>
        <w:rPr>
          <w:rFonts w:ascii="宋体" w:hAnsi="宋体" w:cs="宋体"/>
          <w:szCs w:val="21"/>
        </w:rPr>
      </w:pPr>
      <w:r>
        <w:rPr>
          <w:rFonts w:hint="eastAsia" w:ascii="宋体" w:hAnsi="宋体" w:cs="宋体"/>
          <w:szCs w:val="21"/>
        </w:rPr>
        <w:t>（</w:t>
      </w:r>
      <w:r>
        <w:rPr>
          <w:rFonts w:ascii="宋体" w:hAnsi="宋体" w:cs="宋体"/>
          <w:szCs w:val="21"/>
        </w:rPr>
        <w:t>2）战争、政变、恐怖主义行动、骚乱、罢工；</w:t>
      </w:r>
    </w:p>
    <w:p>
      <w:pPr>
        <w:spacing w:line="360" w:lineRule="auto"/>
        <w:ind w:firstLine="420" w:firstLineChars="200"/>
        <w:rPr>
          <w:rFonts w:ascii="宋体" w:hAnsi="宋体" w:cs="宋体"/>
          <w:szCs w:val="21"/>
        </w:rPr>
      </w:pPr>
      <w:r>
        <w:rPr>
          <w:rFonts w:hint="eastAsia" w:ascii="宋体" w:hAnsi="宋体" w:cs="宋体"/>
          <w:szCs w:val="21"/>
        </w:rPr>
        <w:t>（</w:t>
      </w:r>
      <w:r>
        <w:rPr>
          <w:rFonts w:ascii="宋体" w:hAnsi="宋体" w:cs="宋体"/>
          <w:szCs w:val="21"/>
        </w:rPr>
        <w:t>3）新法律的适用或国家政策的颁布或实施、对原适用法律或国家政策的修改；</w:t>
      </w:r>
    </w:p>
    <w:p>
      <w:pPr>
        <w:spacing w:line="360" w:lineRule="auto"/>
        <w:ind w:firstLine="420" w:firstLineChars="200"/>
        <w:rPr>
          <w:rFonts w:ascii="宋体" w:hAnsi="宋体" w:cs="宋体"/>
          <w:szCs w:val="21"/>
        </w:rPr>
      </w:pPr>
      <w:r>
        <w:rPr>
          <w:rFonts w:hint="eastAsia" w:ascii="宋体" w:hAnsi="宋体" w:cs="宋体"/>
          <w:szCs w:val="21"/>
        </w:rPr>
        <w:t>（</w:t>
      </w:r>
      <w:r>
        <w:rPr>
          <w:rFonts w:ascii="宋体" w:hAnsi="宋体" w:cs="宋体"/>
          <w:szCs w:val="21"/>
        </w:rPr>
        <w:t>4</w:t>
      </w:r>
      <w:r>
        <w:rPr>
          <w:rFonts w:hint="eastAsia" w:ascii="宋体" w:hAnsi="宋体" w:cs="宋体"/>
          <w:szCs w:val="21"/>
        </w:rPr>
        <w:t>）中国银保监会或其他有权机关强制要求终止理财产品（该等强制要求不可归咎于任何一方）；</w:t>
      </w:r>
    </w:p>
    <w:p>
      <w:pPr>
        <w:spacing w:line="360" w:lineRule="auto"/>
        <w:ind w:firstLine="420" w:firstLineChars="200"/>
        <w:rPr>
          <w:rFonts w:ascii="宋体" w:hAnsi="宋体" w:cs="宋体"/>
          <w:szCs w:val="21"/>
        </w:rPr>
      </w:pPr>
      <w:r>
        <w:rPr>
          <w:rFonts w:hint="eastAsia" w:ascii="宋体" w:hAnsi="宋体" w:cs="宋体"/>
          <w:szCs w:val="21"/>
        </w:rPr>
        <w:t>（</w:t>
      </w:r>
      <w:r>
        <w:rPr>
          <w:rFonts w:ascii="宋体" w:hAnsi="宋体" w:cs="宋体"/>
          <w:szCs w:val="21"/>
        </w:rPr>
        <w:t>5）因理财产品各方和/或其关联方运营网络系统遭受黑客攻击、电信部门技术调整或故障等原因而造成的理财产品各方和/或其关联方之服务、营业的中断或者延迟。</w:t>
      </w:r>
    </w:p>
    <w:p>
      <w:pPr>
        <w:spacing w:line="360" w:lineRule="auto"/>
        <w:ind w:firstLine="422" w:firstLineChars="200"/>
        <w:rPr>
          <w:rFonts w:ascii="宋体" w:hAnsi="宋体" w:cs="宋体"/>
          <w:szCs w:val="21"/>
        </w:rPr>
      </w:pPr>
      <w:r>
        <w:rPr>
          <w:rFonts w:ascii="宋体" w:hAnsi="宋体" w:cs="宋体"/>
          <w:b/>
          <w:bCs/>
          <w:szCs w:val="21"/>
        </w:rPr>
        <w:t>12.</w:t>
      </w:r>
      <w:r>
        <w:rPr>
          <w:rFonts w:hint="eastAsia" w:ascii="宋体" w:hAnsi="宋体" w:cs="宋体"/>
          <w:b/>
          <w:bCs/>
          <w:szCs w:val="21"/>
        </w:rPr>
        <w:t>销售服务机构：</w:t>
      </w:r>
      <w:r>
        <w:rPr>
          <w:rFonts w:hint="eastAsia" w:ascii="宋体" w:hAnsi="宋体" w:cs="宋体"/>
          <w:szCs w:val="21"/>
        </w:rPr>
        <w:t>指符合《关于规范金融机构资产管理业务的指导意见》《商业银行理财业务监督管理办法》《商业银行理财子公司管理办法》《理财公司理财产品销售管理暂行办法》和中国银保监会规定的其他条件，取得理财产品销售资格并与管理人签订了理财产品销售代理协议，代为办理理财产品销售业务的机构。</w:t>
      </w:r>
    </w:p>
    <w:p>
      <w:pPr>
        <w:spacing w:line="360" w:lineRule="auto"/>
        <w:jc w:val="left"/>
        <w:rPr>
          <w:rFonts w:ascii="宋体" w:hAnsi="宋体" w:cs="宋体"/>
          <w:color w:val="000000"/>
          <w:sz w:val="22"/>
        </w:rPr>
      </w:pPr>
    </w:p>
    <w:p>
      <w:pPr>
        <w:spacing w:line="360" w:lineRule="auto"/>
        <w:jc w:val="center"/>
        <w:rPr>
          <w:rFonts w:ascii="宋体" w:hAnsi="宋体" w:cs="宋体"/>
          <w:b/>
          <w:bCs/>
          <w:sz w:val="28"/>
          <w:szCs w:val="28"/>
        </w:rPr>
      </w:pPr>
      <w:r>
        <w:rPr>
          <w:rFonts w:ascii="宋体" w:hAnsi="宋体" w:cs="宋体"/>
          <w:b/>
          <w:bCs/>
          <w:sz w:val="28"/>
          <w:szCs w:val="28"/>
        </w:rPr>
        <w:t>四、投资管理</w:t>
      </w:r>
    </w:p>
    <w:p>
      <w:pPr>
        <w:spacing w:line="360" w:lineRule="auto"/>
        <w:ind w:firstLine="422" w:firstLineChars="200"/>
        <w:outlineLvl w:val="0"/>
        <w:rPr>
          <w:rFonts w:ascii="宋体" w:hAnsi="宋体" w:cs="宋体"/>
          <w:b/>
          <w:szCs w:val="21"/>
        </w:rPr>
      </w:pPr>
      <w:r>
        <w:rPr>
          <w:rFonts w:hint="eastAsia" w:ascii="宋体" w:hAnsi="宋体" w:cs="宋体"/>
          <w:b/>
          <w:szCs w:val="21"/>
        </w:rPr>
        <w:t>（一）投资范围</w:t>
      </w:r>
    </w:p>
    <w:p>
      <w:pPr>
        <w:spacing w:line="360" w:lineRule="auto"/>
        <w:ind w:firstLine="420" w:firstLineChars="200"/>
        <w:rPr>
          <w:rFonts w:ascii="宋体" w:hAnsi="宋体" w:cs="宋体"/>
          <w:szCs w:val="21"/>
        </w:rPr>
      </w:pPr>
      <w:r>
        <w:rPr>
          <w:rFonts w:hint="eastAsia" w:ascii="宋体" w:hAnsi="宋体" w:cs="宋体"/>
          <w:szCs w:val="21"/>
        </w:rPr>
        <w:t>本产品投资范围为境内外市场的金融工具，固定收益类投资品种包括：国债、地方政府债券、中央银行票据、政府机构债券、金融债券、银行存款、短期融资券、超短期融资券、大额存单、同业存单、债券回购、公司信用类债券、资产支持证券、可转债、可交换债、非标准化债权类资产及国务院银行业监督管理机构认可的其他资产；权益类投资品种包括：国内依法发行上市的股票（包括主板、创业板、中小板、科创板及其他经中国证监会核准或注册上市的股票、优先股）、港股通标的股票（包括内地与香港股票市场交易互联互通机制允许买卖的规定范围内的香港联合交易所上市的股票）及通过资管产品投资的境外上市股票，以及中国证监会认可的其他标准化股权类资产；商品及金融衍生品类投资品种：包括利率互换、国债期货、股指期货、商品期货、期权等，其中理财产品直接开展的商品及金融衍生品类投资，主要以套期保值为目的。本产品可以投资于以上述资产为投资对象的公募证券投资基金及其他资产管理产品。</w:t>
      </w:r>
    </w:p>
    <w:p>
      <w:pPr>
        <w:spacing w:line="360" w:lineRule="auto"/>
        <w:ind w:firstLine="420" w:firstLineChars="200"/>
        <w:rPr>
          <w:rFonts w:ascii="宋体" w:hAnsi="宋体" w:cs="宋体"/>
          <w:szCs w:val="21"/>
        </w:rPr>
      </w:pPr>
      <w:r>
        <w:rPr>
          <w:rFonts w:hint="eastAsia" w:ascii="宋体" w:hAnsi="宋体" w:cs="宋体"/>
          <w:szCs w:val="21"/>
        </w:rPr>
        <w:t>其中，境外金融工具仅通过港股通和资管产品等方式进行投资。</w:t>
      </w:r>
    </w:p>
    <w:p>
      <w:pPr>
        <w:spacing w:line="360" w:lineRule="auto"/>
        <w:ind w:firstLine="422" w:firstLineChars="200"/>
        <w:rPr>
          <w:rFonts w:ascii="宋体" w:hAnsi="宋体" w:cs="宋体"/>
          <w:b/>
          <w:szCs w:val="21"/>
        </w:rPr>
      </w:pPr>
      <w:r>
        <w:rPr>
          <w:rFonts w:hint="eastAsia" w:ascii="宋体" w:hAnsi="宋体" w:cs="宋体"/>
          <w:b/>
          <w:szCs w:val="21"/>
        </w:rPr>
        <w:t>（二）投资比例</w:t>
      </w:r>
    </w:p>
    <w:p>
      <w:pPr>
        <w:spacing w:line="360" w:lineRule="auto"/>
        <w:ind w:firstLine="420" w:firstLineChars="200"/>
        <w:rPr>
          <w:rFonts w:ascii="宋体" w:hAnsi="宋体" w:cs="宋体"/>
          <w:bCs/>
          <w:szCs w:val="21"/>
        </w:rPr>
      </w:pPr>
      <w:r>
        <w:rPr>
          <w:rFonts w:ascii="宋体" w:hAnsi="宋体" w:cs="宋体"/>
          <w:bCs/>
          <w:szCs w:val="21"/>
        </w:rPr>
        <w:t>1.</w:t>
      </w:r>
      <w:r>
        <w:rPr>
          <w:rFonts w:hint="eastAsia" w:ascii="宋体" w:hAnsi="宋体" w:cs="宋体"/>
          <w:bCs/>
          <w:szCs w:val="21"/>
        </w:rPr>
        <w:t>权益类资产投资比例不高于50%，固定收益类资产投资比例不高于80%，商品及金融衍生品资产合约价值不高于10%。</w:t>
      </w:r>
      <w:r>
        <w:rPr>
          <w:rFonts w:ascii="宋体" w:hAnsi="宋体" w:cs="宋体"/>
          <w:bCs/>
          <w:szCs w:val="21"/>
        </w:rPr>
        <w:t>本产品将会在产品成立日之后的</w:t>
      </w:r>
      <w:r>
        <w:rPr>
          <w:rFonts w:hint="eastAsia" w:ascii="宋体" w:hAnsi="宋体" w:cs="宋体"/>
          <w:bCs/>
          <w:szCs w:val="21"/>
        </w:rPr>
        <w:t>1个月</w:t>
      </w:r>
      <w:r>
        <w:rPr>
          <w:rFonts w:ascii="宋体" w:hAnsi="宋体" w:cs="宋体"/>
          <w:bCs/>
          <w:szCs w:val="21"/>
        </w:rPr>
        <w:t>内使资产配置比例符合上述规定</w:t>
      </w:r>
      <w:r>
        <w:rPr>
          <w:rFonts w:hint="eastAsia" w:ascii="宋体" w:hAnsi="宋体" w:cs="宋体"/>
          <w:bCs/>
          <w:szCs w:val="21"/>
          <w:lang w:bidi="ar"/>
        </w:rPr>
        <w:t>。</w:t>
      </w:r>
      <w:r>
        <w:rPr>
          <w:rFonts w:hint="eastAsia" w:ascii="宋体" w:hAnsi="宋体" w:cs="宋体"/>
          <w:bCs/>
          <w:szCs w:val="21"/>
        </w:rPr>
        <w:t>非因管理人主观因素导致突破上述比例限制的，本产品管理人在流动性受限资产可出售、可转让或者恢复交易的</w:t>
      </w:r>
      <w:r>
        <w:rPr>
          <w:rFonts w:ascii="宋体" w:hAnsi="宋体" w:cs="宋体"/>
          <w:bCs/>
          <w:szCs w:val="21"/>
        </w:rPr>
        <w:t>15个交易日内调整至符合要求。</w:t>
      </w:r>
    </w:p>
    <w:p>
      <w:pPr>
        <w:spacing w:line="360" w:lineRule="auto"/>
        <w:ind w:firstLine="420" w:firstLineChars="200"/>
        <w:rPr>
          <w:rFonts w:ascii="宋体" w:hAnsi="宋体" w:cs="宋体"/>
          <w:bCs/>
          <w:szCs w:val="21"/>
        </w:rPr>
      </w:pPr>
      <w:r>
        <w:rPr>
          <w:rFonts w:ascii="宋体" w:hAnsi="宋体" w:cs="宋体"/>
          <w:bCs/>
          <w:szCs w:val="21"/>
        </w:rPr>
        <w:t>2.现金或者到期日在一年以内的国债、中央银行票据和政策性金融债券占产品资产净值的比例不低于5%。</w:t>
      </w:r>
    </w:p>
    <w:p>
      <w:pPr>
        <w:spacing w:line="360" w:lineRule="auto"/>
        <w:ind w:firstLine="420" w:firstLineChars="200"/>
        <w:rPr>
          <w:rFonts w:ascii="宋体" w:hAnsi="宋体" w:cs="宋体"/>
          <w:szCs w:val="21"/>
        </w:rPr>
      </w:pPr>
      <w:r>
        <w:rPr>
          <w:rFonts w:hint="eastAsia" w:ascii="宋体" w:hAnsi="宋体" w:cs="宋体"/>
          <w:bCs/>
          <w:szCs w:val="21"/>
        </w:rPr>
        <w:t>3</w:t>
      </w:r>
      <w:r>
        <w:rPr>
          <w:rFonts w:ascii="宋体" w:hAnsi="宋体" w:cs="宋体"/>
          <w:bCs/>
          <w:szCs w:val="21"/>
        </w:rPr>
        <w:t>.</w:t>
      </w:r>
      <w:r>
        <w:rPr>
          <w:rFonts w:hint="eastAsia" w:ascii="宋体" w:hAnsi="宋体" w:cs="宋体"/>
          <w:szCs w:val="21"/>
        </w:rPr>
        <w:t>非标准化债权类资产的投资比例不超过</w:t>
      </w:r>
      <w:r>
        <w:rPr>
          <w:rFonts w:ascii="宋体" w:hAnsi="宋体" w:cs="宋体"/>
          <w:szCs w:val="21"/>
        </w:rPr>
        <w:t>49%。</w:t>
      </w:r>
    </w:p>
    <w:p>
      <w:pPr>
        <w:spacing w:line="360" w:lineRule="auto"/>
        <w:ind w:firstLine="422" w:firstLineChars="200"/>
        <w:rPr>
          <w:rFonts w:ascii="宋体" w:hAnsi="宋体" w:cs="宋体"/>
          <w:b/>
          <w:szCs w:val="21"/>
        </w:rPr>
      </w:pPr>
      <w:r>
        <w:rPr>
          <w:rFonts w:hint="eastAsia" w:ascii="宋体" w:hAnsi="宋体" w:cs="宋体"/>
          <w:b/>
          <w:szCs w:val="21"/>
        </w:rPr>
        <w:t>（三）投资策略</w:t>
      </w:r>
    </w:p>
    <w:p>
      <w:pPr>
        <w:spacing w:line="360" w:lineRule="auto"/>
        <w:ind w:firstLine="420" w:firstLineChars="200"/>
        <w:rPr>
          <w:rFonts w:ascii="宋体" w:hAnsi="宋体" w:cs="宋体"/>
          <w:b/>
          <w:szCs w:val="21"/>
        </w:rPr>
      </w:pPr>
      <w:r>
        <w:rPr>
          <w:rFonts w:hint="eastAsia" w:ascii="宋体" w:hAnsi="宋体" w:cs="宋体"/>
          <w:bCs/>
          <w:szCs w:val="21"/>
        </w:rPr>
        <w:t>在投资策略上，本产品将根据市场情况配置与国内通胀水平具有较强相关性的债券、商品、以及与居民消费水平具有较强相关性的股票或资产支持证券。从具体投资策略看，继续发挥银行理财的比较优势，通过大类资产配置研究“自上而下”确定各类资产的比重，在资产方面，采取自主管理和委外投资相结合的方式，使用多策略进行投资配置，实现跟随或超出中长期通胀水平的收益 。</w:t>
      </w:r>
    </w:p>
    <w:p>
      <w:pPr>
        <w:spacing w:line="360" w:lineRule="auto"/>
        <w:ind w:firstLine="422" w:firstLineChars="200"/>
        <w:rPr>
          <w:rFonts w:ascii="宋体" w:hAnsi="宋体" w:cs="宋体"/>
          <w:b/>
          <w:szCs w:val="21"/>
        </w:rPr>
      </w:pPr>
      <w:r>
        <w:rPr>
          <w:rFonts w:hint="eastAsia" w:ascii="宋体" w:hAnsi="宋体" w:cs="宋体"/>
          <w:b/>
          <w:szCs w:val="21"/>
        </w:rPr>
        <w:t>（四）业绩比较基准</w:t>
      </w:r>
    </w:p>
    <w:p>
      <w:pPr>
        <w:spacing w:line="360" w:lineRule="auto"/>
        <w:ind w:firstLine="420" w:firstLineChars="200"/>
        <w:rPr>
          <w:rFonts w:ascii="宋体" w:hAnsi="宋体" w:eastAsia="微软雅黑" w:cs="宋体"/>
          <w:bCs/>
          <w:szCs w:val="21"/>
        </w:rPr>
      </w:pPr>
      <w:r>
        <w:rPr>
          <w:rFonts w:ascii="宋体" w:hAnsi="宋体" w:cs="宋体"/>
          <w:bCs/>
          <w:szCs w:val="21"/>
        </w:rPr>
        <w:t>1.</w:t>
      </w:r>
      <w:r>
        <w:rPr>
          <w:rFonts w:hint="eastAsia" w:ascii="宋体" w:hAnsi="宋体" w:cs="宋体"/>
          <w:bCs/>
          <w:szCs w:val="21"/>
        </w:rPr>
        <w:t>本产品的业绩比较基准：产品成立以来国家统计局每月发布的居民消费价格同比（CPI）的算数平均值+2.2%=</w:t>
      </w:r>
      <w:r>
        <w:rPr>
          <w:rFonts w:hint="eastAsia" w:ascii="微软雅黑" w:hAnsi="微软雅黑" w:eastAsia="微软雅黑" w:cs="微软雅黑"/>
          <w:color w:val="000000"/>
          <w:kern w:val="0"/>
          <w:position w:val="-24"/>
          <w:sz w:val="18"/>
          <w:szCs w:val="18"/>
          <w:lang w:bidi="ar"/>
        </w:rPr>
        <w:object>
          <v:shape id="_x0000_i1027" o:spt="75" type="#_x0000_t75" style="height:31pt;width:156pt;" o:ole="t" filled="f" o:preferrelative="t" stroked="f" coordsize="21600,21600">
            <v:path/>
            <v:fill on="f" focussize="0,0"/>
            <v:stroke on="f" joinstyle="miter"/>
            <v:imagedata r:id="rId11" o:title=""/>
            <o:lock v:ext="edit" aspectratio="t"/>
            <w10:wrap type="none"/>
            <w10:anchorlock/>
          </v:shape>
          <o:OLEObject Type="Embed" ProgID="Equation.3" ShapeID="_x0000_i1027" DrawAspect="Content" ObjectID="_1468075727" r:id="rId10">
            <o:LockedField>false</o:LockedField>
          </o:OLEObject>
        </w:object>
      </w:r>
    </w:p>
    <w:p>
      <w:pPr>
        <w:spacing w:line="360" w:lineRule="auto"/>
        <w:ind w:firstLine="420" w:firstLineChars="200"/>
        <w:rPr>
          <w:rFonts w:ascii="宋体" w:hAnsi="宋体" w:cs="宋体"/>
          <w:bCs/>
          <w:szCs w:val="21"/>
        </w:rPr>
      </w:pPr>
      <w:r>
        <w:rPr>
          <w:rFonts w:hint="eastAsia" w:ascii="宋体" w:hAnsi="宋体" w:cs="宋体"/>
          <w:bCs/>
          <w:szCs w:val="21"/>
        </w:rPr>
        <w:t>居民消费价格同比（CPI）数据为</w:t>
      </w:r>
      <w:r>
        <w:rPr>
          <w:rFonts w:hint="eastAsia" w:ascii="宋体" w:hAnsi="宋体" w:cs="宋体"/>
          <w:bCs/>
          <w:szCs w:val="21"/>
          <w:lang w:val="en-US" w:eastAsia="zh-CN"/>
        </w:rPr>
        <w:t>产品成立以来</w:t>
      </w:r>
      <w:r>
        <w:rPr>
          <w:rFonts w:hint="eastAsia" w:ascii="宋体" w:hAnsi="宋体" w:cs="宋体"/>
          <w:bCs/>
          <w:szCs w:val="21"/>
        </w:rPr>
        <w:t>国家统计局披露的月度CPI数据，产品成立以来实际存续月数（m），产品于国家统计局发布月度CPI</w:t>
      </w:r>
      <w:r>
        <w:rPr>
          <w:rFonts w:hint="eastAsia" w:ascii="宋体" w:hAnsi="宋体" w:cs="宋体"/>
          <w:bCs/>
          <w:szCs w:val="21"/>
          <w:lang w:val="en-US" w:eastAsia="zh-CN"/>
        </w:rPr>
        <w:t>后</w:t>
      </w:r>
      <w:r>
        <w:rPr>
          <w:rFonts w:hint="eastAsia" w:ascii="宋体" w:hAnsi="宋体" w:cs="宋体"/>
          <w:bCs/>
          <w:szCs w:val="21"/>
        </w:rPr>
        <w:t>更新产品业绩表基准。</w:t>
      </w:r>
    </w:p>
    <w:p>
      <w:pPr>
        <w:spacing w:line="360" w:lineRule="auto"/>
        <w:ind w:firstLine="420" w:firstLineChars="200"/>
        <w:rPr>
          <w:rFonts w:ascii="宋体" w:hAnsi="宋体" w:cs="宋体"/>
          <w:bCs/>
          <w:szCs w:val="21"/>
        </w:rPr>
      </w:pPr>
      <w:r>
        <w:rPr>
          <w:rFonts w:ascii="宋体" w:hAnsi="宋体" w:cs="宋体"/>
          <w:bCs/>
          <w:szCs w:val="21"/>
        </w:rPr>
        <w:t>2.</w:t>
      </w:r>
      <w:r>
        <w:rPr>
          <w:rFonts w:hint="eastAsia" w:ascii="宋体" w:hAnsi="宋体" w:cs="宋体"/>
          <w:bCs/>
          <w:szCs w:val="21"/>
        </w:rPr>
        <w:t>业绩比较基准的测算依据</w:t>
      </w:r>
    </w:p>
    <w:p>
      <w:pPr>
        <w:spacing w:line="360" w:lineRule="auto"/>
        <w:ind w:firstLine="420" w:firstLineChars="200"/>
        <w:rPr>
          <w:rFonts w:ascii="宋体" w:hAnsi="宋体" w:cs="宋体"/>
          <w:bCs/>
          <w:szCs w:val="21"/>
        </w:rPr>
      </w:pPr>
      <w:r>
        <w:rPr>
          <w:rFonts w:hint="eastAsia" w:ascii="宋体" w:hAnsi="宋体" w:cs="宋体"/>
          <w:bCs/>
          <w:szCs w:val="21"/>
        </w:rPr>
        <w:t>产品比较基准测算依据：本产品采取债券、股票、商品及衍生品的多资产配置策略，通过低相关性的资产进行大类资产排布，更好地实现风险对冲；同时，综合考量现阶段的市场行情及未来市场环境，结合该产品投资策略和历史各类资产历史收益水平进行测算，通过分析历史通胀同比增幅和未来通胀水平预期，最终形成本产品业绩比较基准。</w:t>
      </w:r>
    </w:p>
    <w:p>
      <w:pPr>
        <w:spacing w:line="360" w:lineRule="auto"/>
        <w:ind w:firstLine="420" w:firstLineChars="200"/>
        <w:rPr>
          <w:rFonts w:ascii="宋体" w:hAnsi="宋体" w:cs="宋体"/>
          <w:bCs/>
          <w:szCs w:val="21"/>
        </w:rPr>
      </w:pPr>
      <w:r>
        <w:rPr>
          <w:rFonts w:hint="eastAsia" w:ascii="宋体" w:hAnsi="宋体" w:cs="宋体"/>
          <w:bCs/>
          <w:szCs w:val="21"/>
        </w:rPr>
        <w:t>业绩比较基准是本机构基于产品性质、投资策略、过往经验等因素对产品设定的投资目标，不代表产品的未来表现和实际收益，不构成对产品收益的承诺。</w:t>
      </w:r>
    </w:p>
    <w:p>
      <w:pPr>
        <w:spacing w:line="360" w:lineRule="auto"/>
        <w:ind w:firstLine="420" w:firstLineChars="200"/>
        <w:rPr>
          <w:rFonts w:ascii="宋体" w:hAnsi="宋体" w:cs="宋体"/>
          <w:bCs/>
          <w:szCs w:val="21"/>
        </w:rPr>
      </w:pPr>
      <w:r>
        <w:rPr>
          <w:rFonts w:hint="eastAsia" w:ascii="宋体" w:hAnsi="宋体" w:cs="宋体"/>
          <w:bCs/>
          <w:szCs w:val="21"/>
        </w:rPr>
        <w:t>本产品可于开放日根据市场利率情况调整业绩比较基准，调整后的业绩比较基准将根据信息披露规则进行披露。业绩比较基准调整后原说明书将不再修订，请投资者及时通过本合同约定的信息披露渠道获取最新业绩比较基准情况。</w:t>
      </w:r>
    </w:p>
    <w:p>
      <w:pPr>
        <w:spacing w:line="360" w:lineRule="auto"/>
        <w:ind w:firstLine="422" w:firstLineChars="200"/>
        <w:rPr>
          <w:rFonts w:ascii="宋体" w:hAnsi="宋体" w:cs="宋体"/>
          <w:b/>
          <w:szCs w:val="21"/>
        </w:rPr>
      </w:pPr>
      <w:r>
        <w:rPr>
          <w:rFonts w:hint="eastAsia" w:ascii="宋体" w:hAnsi="宋体" w:cs="宋体"/>
          <w:b/>
          <w:szCs w:val="21"/>
        </w:rPr>
        <w:t>（五）投资限制</w:t>
      </w:r>
    </w:p>
    <w:p>
      <w:pPr>
        <w:spacing w:line="360" w:lineRule="auto"/>
        <w:ind w:firstLine="420" w:firstLineChars="200"/>
        <w:rPr>
          <w:rFonts w:ascii="宋体" w:hAnsi="宋体" w:cs="宋体"/>
          <w:bCs/>
          <w:szCs w:val="21"/>
        </w:rPr>
      </w:pPr>
      <w:r>
        <w:rPr>
          <w:rFonts w:ascii="宋体" w:hAnsi="宋体" w:cs="宋体"/>
          <w:bCs/>
          <w:szCs w:val="21"/>
        </w:rPr>
        <w:t>1.投资集中度限制</w:t>
      </w:r>
    </w:p>
    <w:p>
      <w:pPr>
        <w:spacing w:line="360" w:lineRule="auto"/>
        <w:ind w:firstLine="420" w:firstLineChars="200"/>
        <w:rPr>
          <w:rFonts w:ascii="宋体" w:hAnsi="宋体" w:cs="宋体"/>
          <w:bCs/>
          <w:szCs w:val="21"/>
        </w:rPr>
      </w:pPr>
      <w:r>
        <w:rPr>
          <w:rFonts w:hint="eastAsia" w:ascii="宋体" w:hAnsi="宋体" w:cs="宋体"/>
          <w:bCs/>
          <w:szCs w:val="21"/>
        </w:rPr>
        <w:t>（</w:t>
      </w:r>
      <w:r>
        <w:rPr>
          <w:rFonts w:ascii="宋体" w:hAnsi="宋体" w:cs="宋体"/>
          <w:bCs/>
          <w:szCs w:val="21"/>
        </w:rPr>
        <w:t>1）本产品投资单只证券或者单只证券投资基金的市值不得超过产品净资产的10%。</w:t>
      </w:r>
    </w:p>
    <w:p>
      <w:pPr>
        <w:spacing w:line="360" w:lineRule="auto"/>
        <w:ind w:firstLine="420" w:firstLineChars="200"/>
        <w:rPr>
          <w:rFonts w:ascii="宋体" w:hAnsi="宋体" w:cs="宋体"/>
          <w:bCs/>
          <w:szCs w:val="21"/>
        </w:rPr>
      </w:pPr>
      <w:r>
        <w:rPr>
          <w:rFonts w:hint="eastAsia" w:ascii="宋体" w:hAnsi="宋体" w:cs="宋体"/>
          <w:bCs/>
          <w:szCs w:val="21"/>
        </w:rPr>
        <w:t>（</w:t>
      </w:r>
      <w:r>
        <w:rPr>
          <w:rFonts w:ascii="宋体" w:hAnsi="宋体" w:cs="宋体"/>
          <w:bCs/>
          <w:szCs w:val="21"/>
        </w:rPr>
        <w:t>2）管理人发行的全部公</w:t>
      </w:r>
      <w:r>
        <w:rPr>
          <w:rFonts w:hint="eastAsia" w:ascii="宋体" w:hAnsi="宋体" w:cs="宋体"/>
          <w:bCs/>
          <w:szCs w:val="21"/>
        </w:rPr>
        <w:t>募资产管理产品投资单只证券或者单只证券投资基金的市值不得超过该证券市值或者该证券投资基金市值的</w:t>
      </w:r>
      <w:r>
        <w:rPr>
          <w:rFonts w:ascii="宋体" w:hAnsi="宋体" w:cs="宋体"/>
          <w:bCs/>
          <w:szCs w:val="21"/>
        </w:rPr>
        <w:t>30%。其中，管理人全部开放式公</w:t>
      </w:r>
      <w:r>
        <w:rPr>
          <w:rFonts w:hint="eastAsia" w:ascii="宋体" w:hAnsi="宋体" w:cs="宋体"/>
          <w:bCs/>
          <w:szCs w:val="21"/>
        </w:rPr>
        <w:t>募资产管理产品投资单一上市公司发行的股票不得超过该上市公司可流通股票的</w:t>
      </w:r>
      <w:r>
        <w:rPr>
          <w:rFonts w:ascii="宋体" w:hAnsi="宋体" w:cs="宋体"/>
          <w:bCs/>
          <w:szCs w:val="21"/>
        </w:rPr>
        <w:t>15%。</w:t>
      </w:r>
    </w:p>
    <w:p>
      <w:pPr>
        <w:spacing w:line="360" w:lineRule="auto"/>
        <w:ind w:firstLine="420" w:firstLineChars="200"/>
        <w:rPr>
          <w:rFonts w:ascii="宋体" w:hAnsi="宋体" w:cs="宋体"/>
          <w:bCs/>
          <w:szCs w:val="21"/>
        </w:rPr>
      </w:pPr>
      <w:r>
        <w:rPr>
          <w:rFonts w:hint="eastAsia" w:ascii="宋体" w:hAnsi="宋体" w:cs="宋体"/>
          <w:bCs/>
          <w:szCs w:val="21"/>
        </w:rPr>
        <w:t>（</w:t>
      </w:r>
      <w:r>
        <w:rPr>
          <w:rFonts w:ascii="宋体" w:hAnsi="宋体" w:cs="宋体"/>
          <w:bCs/>
          <w:szCs w:val="21"/>
        </w:rPr>
        <w:t>3）管理人全部资产管理产品投资单一上市公司发行的股票不得超过该上市公司可流通股票的30%。</w:t>
      </w:r>
    </w:p>
    <w:p>
      <w:pPr>
        <w:spacing w:line="360" w:lineRule="auto"/>
        <w:ind w:firstLine="420" w:firstLineChars="200"/>
        <w:rPr>
          <w:rFonts w:ascii="宋体" w:hAnsi="宋体" w:cs="宋体"/>
          <w:bCs/>
          <w:szCs w:val="21"/>
        </w:rPr>
      </w:pPr>
      <w:r>
        <w:rPr>
          <w:rFonts w:hint="eastAsia" w:ascii="宋体" w:hAnsi="宋体" w:cs="宋体"/>
          <w:bCs/>
          <w:szCs w:val="21"/>
        </w:rPr>
        <w:t>金融监督管理部门另有规定的除外。</w:t>
      </w:r>
    </w:p>
    <w:p>
      <w:pPr>
        <w:spacing w:line="360" w:lineRule="auto"/>
        <w:ind w:firstLine="420" w:firstLineChars="200"/>
        <w:rPr>
          <w:rFonts w:ascii="宋体" w:hAnsi="宋体" w:cs="宋体"/>
          <w:bCs/>
          <w:szCs w:val="21"/>
        </w:rPr>
      </w:pPr>
      <w:r>
        <w:rPr>
          <w:rFonts w:hint="eastAsia" w:ascii="宋体" w:hAnsi="宋体" w:cs="宋体"/>
          <w:bCs/>
          <w:szCs w:val="21"/>
        </w:rPr>
        <w:t>对于非因管理人主观因素导致突破上述比例限制的，管理人应当在流动性受限资产可出售、可转让或者恢复交易的</w:t>
      </w:r>
      <w:r>
        <w:rPr>
          <w:rFonts w:ascii="宋体" w:hAnsi="宋体" w:cs="宋体"/>
          <w:bCs/>
          <w:szCs w:val="21"/>
        </w:rPr>
        <w:t>10个交易日内调整至符合要求。</w:t>
      </w:r>
    </w:p>
    <w:p>
      <w:pPr>
        <w:spacing w:line="360" w:lineRule="auto"/>
        <w:ind w:firstLine="420" w:firstLineChars="200"/>
        <w:rPr>
          <w:rFonts w:ascii="宋体" w:hAnsi="宋体" w:cs="宋体"/>
          <w:bCs/>
          <w:szCs w:val="21"/>
        </w:rPr>
      </w:pPr>
      <w:r>
        <w:rPr>
          <w:rFonts w:ascii="宋体" w:hAnsi="宋体" w:cs="宋体"/>
          <w:bCs/>
          <w:szCs w:val="21"/>
        </w:rPr>
        <w:t>2.投资久期限制</w:t>
      </w:r>
    </w:p>
    <w:p>
      <w:pPr>
        <w:spacing w:line="360" w:lineRule="auto"/>
        <w:ind w:firstLine="420" w:firstLineChars="200"/>
        <w:rPr>
          <w:rFonts w:ascii="宋体" w:hAnsi="宋体" w:cs="宋体"/>
          <w:bCs/>
          <w:szCs w:val="21"/>
        </w:rPr>
      </w:pPr>
      <w:r>
        <w:rPr>
          <w:rFonts w:hint="eastAsia" w:ascii="宋体" w:hAnsi="宋体" w:cs="宋体"/>
          <w:bCs/>
          <w:szCs w:val="21"/>
        </w:rPr>
        <w:t>本产品投资的非标准化债权类资产到期日不得晚于产品下一个开放日。</w:t>
      </w:r>
    </w:p>
    <w:p>
      <w:pPr>
        <w:spacing w:line="360" w:lineRule="auto"/>
        <w:ind w:firstLine="420" w:firstLineChars="200"/>
        <w:rPr>
          <w:rFonts w:ascii="宋体" w:hAnsi="宋体" w:cs="宋体"/>
          <w:bCs/>
          <w:szCs w:val="21"/>
        </w:rPr>
      </w:pPr>
      <w:r>
        <w:rPr>
          <w:rFonts w:ascii="宋体" w:hAnsi="宋体" w:cs="宋体"/>
          <w:bCs/>
          <w:szCs w:val="21"/>
        </w:rPr>
        <w:t>3.评级限制</w:t>
      </w:r>
    </w:p>
    <w:p>
      <w:pPr>
        <w:spacing w:line="360" w:lineRule="auto"/>
        <w:ind w:firstLine="420" w:firstLineChars="200"/>
        <w:rPr>
          <w:rFonts w:ascii="宋体" w:hAnsi="宋体" w:cs="宋体"/>
          <w:bCs/>
          <w:szCs w:val="21"/>
        </w:rPr>
      </w:pPr>
      <w:r>
        <w:rPr>
          <w:rFonts w:hint="eastAsia" w:ascii="宋体" w:hAnsi="宋体" w:cs="宋体"/>
          <w:bCs/>
          <w:szCs w:val="21"/>
        </w:rPr>
        <w:t>（</w:t>
      </w:r>
      <w:r>
        <w:rPr>
          <w:rFonts w:ascii="宋体" w:hAnsi="宋体" w:cs="宋体"/>
          <w:bCs/>
          <w:szCs w:val="21"/>
        </w:rPr>
        <w:t>1）投资债券的债项评级须在AA（含）以上，短期融资</w:t>
      </w:r>
      <w:r>
        <w:rPr>
          <w:rFonts w:hint="eastAsia" w:ascii="宋体" w:hAnsi="宋体" w:cs="宋体"/>
          <w:bCs/>
          <w:szCs w:val="21"/>
        </w:rPr>
        <w:t>券及超短期融资券的债项评级须在</w:t>
      </w:r>
      <w:r>
        <w:rPr>
          <w:rFonts w:ascii="宋体" w:hAnsi="宋体" w:cs="宋体"/>
          <w:bCs/>
          <w:szCs w:val="21"/>
        </w:rPr>
        <w:t>A-1（含）以上，若无债项评级，其主体评级须在AA（含）以上，债项评级为AA债券的对应发行人评级展望不能为负面。若无</w:t>
      </w:r>
      <w:r>
        <w:rPr>
          <w:rFonts w:hint="eastAsia" w:ascii="宋体" w:hAnsi="宋体" w:cs="宋体"/>
          <w:bCs/>
          <w:szCs w:val="21"/>
        </w:rPr>
        <w:t>主体和债项评级的，则按照产品管理人内部投资决策进行投资。</w:t>
      </w:r>
    </w:p>
    <w:p>
      <w:pPr>
        <w:spacing w:line="360" w:lineRule="auto"/>
        <w:ind w:firstLine="420" w:firstLineChars="200"/>
        <w:rPr>
          <w:rFonts w:ascii="宋体" w:hAnsi="宋体" w:cs="宋体"/>
          <w:bCs/>
          <w:szCs w:val="21"/>
        </w:rPr>
      </w:pPr>
      <w:r>
        <w:rPr>
          <w:rFonts w:hint="eastAsia" w:ascii="宋体" w:hAnsi="宋体" w:cs="宋体"/>
          <w:bCs/>
          <w:szCs w:val="21"/>
        </w:rPr>
        <w:t>（</w:t>
      </w:r>
      <w:r>
        <w:rPr>
          <w:rFonts w:ascii="宋体" w:hAnsi="宋体" w:cs="宋体"/>
          <w:bCs/>
          <w:szCs w:val="21"/>
        </w:rPr>
        <w:t>2）投资资产支持证券的债项评级须在AA（含）以上，不投资资产支持证券的次级</w:t>
      </w:r>
      <w:r>
        <w:rPr>
          <w:rFonts w:hint="eastAsia" w:ascii="宋体" w:hAnsi="宋体" w:cs="宋体"/>
          <w:bCs/>
          <w:szCs w:val="21"/>
        </w:rPr>
        <w:t>档债券。</w:t>
      </w:r>
    </w:p>
    <w:p>
      <w:pPr>
        <w:spacing w:line="360" w:lineRule="auto"/>
        <w:ind w:firstLine="420" w:firstLineChars="200"/>
        <w:rPr>
          <w:rFonts w:ascii="宋体" w:hAnsi="宋体" w:cs="宋体"/>
          <w:bCs/>
          <w:szCs w:val="21"/>
        </w:rPr>
      </w:pPr>
      <w:r>
        <w:rPr>
          <w:rFonts w:hint="eastAsia" w:ascii="宋体" w:hAnsi="宋体" w:cs="宋体"/>
          <w:bCs/>
          <w:szCs w:val="21"/>
        </w:rPr>
        <w:t>（</w:t>
      </w:r>
      <w:r>
        <w:rPr>
          <w:rFonts w:ascii="宋体" w:hAnsi="宋体" w:cs="宋体"/>
          <w:bCs/>
          <w:szCs w:val="21"/>
        </w:rPr>
        <w:t>3）对于可转换债券和可交换债券，需遵循以下特别规定：</w:t>
      </w:r>
    </w:p>
    <w:p>
      <w:pPr>
        <w:spacing w:line="360" w:lineRule="auto"/>
        <w:ind w:firstLine="420" w:firstLineChars="200"/>
        <w:rPr>
          <w:rFonts w:ascii="宋体" w:hAnsi="宋体" w:cs="宋体"/>
          <w:bCs/>
          <w:szCs w:val="21"/>
        </w:rPr>
      </w:pPr>
      <w:r>
        <w:rPr>
          <w:rFonts w:hint="eastAsia" w:ascii="宋体" w:hAnsi="宋体" w:cs="宋体"/>
          <w:bCs/>
          <w:szCs w:val="21"/>
        </w:rPr>
        <w:t>①可交换债券发行人质押股票不得是</w:t>
      </w:r>
      <w:r>
        <w:rPr>
          <w:rFonts w:ascii="宋体" w:hAnsi="宋体" w:cs="宋体"/>
          <w:bCs/>
          <w:szCs w:val="21"/>
        </w:rPr>
        <w:t>ST、*ST、SST、S*ST；本批次可交换债券的质押股票数不超过该股票标的流通股本的15%；</w:t>
      </w:r>
    </w:p>
    <w:p>
      <w:pPr>
        <w:spacing w:line="360" w:lineRule="auto"/>
        <w:ind w:firstLine="420" w:firstLineChars="200"/>
        <w:rPr>
          <w:rFonts w:ascii="宋体" w:hAnsi="宋体" w:cs="宋体"/>
          <w:bCs/>
          <w:szCs w:val="21"/>
        </w:rPr>
      </w:pPr>
      <w:r>
        <w:rPr>
          <w:rFonts w:hint="eastAsia" w:ascii="宋体" w:hAnsi="宋体" w:cs="宋体"/>
          <w:bCs/>
          <w:szCs w:val="21"/>
        </w:rPr>
        <w:t>②单个可交换债的质押股票市值不低于本次发行可交换债的本金的</w:t>
      </w:r>
      <w:r>
        <w:rPr>
          <w:rFonts w:ascii="宋体" w:hAnsi="宋体" w:cs="宋体"/>
          <w:bCs/>
          <w:szCs w:val="21"/>
        </w:rPr>
        <w:t>110%（不足时需补充质押，超过时可以解质押）。</w:t>
      </w:r>
    </w:p>
    <w:p>
      <w:pPr>
        <w:spacing w:line="360" w:lineRule="auto"/>
        <w:ind w:firstLine="420" w:firstLineChars="200"/>
        <w:rPr>
          <w:rFonts w:ascii="宋体" w:hAnsi="宋体" w:cs="宋体"/>
          <w:bCs/>
          <w:szCs w:val="21"/>
        </w:rPr>
      </w:pPr>
      <w:r>
        <w:rPr>
          <w:rFonts w:hint="eastAsia" w:ascii="宋体" w:hAnsi="宋体" w:cs="宋体"/>
          <w:bCs/>
          <w:szCs w:val="21"/>
        </w:rPr>
        <w:t>（</w:t>
      </w:r>
      <w:r>
        <w:rPr>
          <w:rFonts w:ascii="宋体" w:hAnsi="宋体" w:cs="宋体"/>
          <w:bCs/>
          <w:szCs w:val="21"/>
        </w:rPr>
        <w:t>4）以上公开及非公开发行标准、评级以及评级展望的判断以第三方机构Wind数据为准。</w:t>
      </w:r>
    </w:p>
    <w:p>
      <w:pPr>
        <w:spacing w:line="360" w:lineRule="auto"/>
        <w:ind w:firstLine="420" w:firstLineChars="200"/>
        <w:rPr>
          <w:rFonts w:ascii="宋体" w:hAnsi="宋体" w:cs="宋体"/>
          <w:bCs/>
          <w:szCs w:val="21"/>
        </w:rPr>
      </w:pPr>
      <w:r>
        <w:rPr>
          <w:rFonts w:ascii="宋体" w:hAnsi="宋体" w:cs="宋体"/>
          <w:bCs/>
          <w:szCs w:val="21"/>
        </w:rPr>
        <w:t>4.本产品的总资产不得超过产品净资产的140%。</w:t>
      </w:r>
    </w:p>
    <w:p>
      <w:pPr>
        <w:tabs>
          <w:tab w:val="left" w:pos="420"/>
          <w:tab w:val="left" w:pos="720"/>
        </w:tabs>
        <w:spacing w:line="360" w:lineRule="auto"/>
        <w:ind w:firstLine="422" w:firstLineChars="200"/>
        <w:rPr>
          <w:rFonts w:ascii="宋体" w:hAnsi="宋体" w:cs="宋体"/>
          <w:b/>
          <w:szCs w:val="21"/>
        </w:rPr>
      </w:pPr>
      <w:r>
        <w:rPr>
          <w:rFonts w:hint="eastAsia" w:ascii="宋体" w:hAnsi="宋体" w:cs="宋体"/>
          <w:b/>
          <w:szCs w:val="21"/>
        </w:rPr>
        <w:t>（六）投资范围调整</w:t>
      </w:r>
    </w:p>
    <w:p>
      <w:pPr>
        <w:spacing w:line="360" w:lineRule="auto"/>
        <w:ind w:firstLine="420" w:firstLineChars="200"/>
        <w:rPr>
          <w:rFonts w:ascii="宋体" w:hAnsi="宋体" w:cs="宋体"/>
          <w:bCs/>
          <w:szCs w:val="21"/>
        </w:rPr>
      </w:pPr>
      <w:r>
        <w:rPr>
          <w:rFonts w:hint="eastAsia" w:ascii="宋体" w:hAnsi="宋体" w:cs="宋体"/>
          <w:bCs/>
          <w:szCs w:val="21"/>
        </w:rPr>
        <w:t>若法律法规、国家监管政策或市场情况发生变化，光大理财在不改变产品类型的情况下，可对本说明书中已约定的投资范围、投资品种、投资比例以及收费项目、条件、标准和方式进行调整。该调整事项将于生效前</w:t>
      </w:r>
      <w:r>
        <w:rPr>
          <w:rFonts w:ascii="宋体" w:hAnsi="宋体" w:cs="宋体"/>
          <w:bCs/>
          <w:szCs w:val="21"/>
        </w:rPr>
        <w:t>2个工作日通过产品管理人官方网站或</w:t>
      </w:r>
      <w:r>
        <w:rPr>
          <w:rFonts w:hint="eastAsia" w:ascii="宋体" w:hAnsi="宋体" w:cs="宋体"/>
          <w:bCs/>
          <w:szCs w:val="21"/>
        </w:rPr>
        <w:t>销售服务机构网上销售平台进行书面公告以征求投资者意见。若本理财产品的投资者不接受上述调整，则应及时通过销售服务机构营业网点或网上销售平台赎回本产品（高风险类型的理财产品超出比例范围投资较低风险资产的情况除外）；若本理财产品投资者未赎回本产品，则视为本理财产品投资者对相关调整无异议并继续持有本理财产品。</w:t>
      </w:r>
    </w:p>
    <w:p>
      <w:pPr>
        <w:tabs>
          <w:tab w:val="left" w:pos="420"/>
          <w:tab w:val="left" w:pos="720"/>
        </w:tabs>
        <w:spacing w:line="360" w:lineRule="auto"/>
        <w:ind w:firstLine="422" w:firstLineChars="200"/>
        <w:rPr>
          <w:rFonts w:ascii="宋体" w:hAnsi="宋体" w:cs="宋体"/>
          <w:b/>
          <w:szCs w:val="21"/>
        </w:rPr>
      </w:pPr>
      <w:r>
        <w:rPr>
          <w:rFonts w:hint="eastAsia" w:ascii="宋体" w:hAnsi="宋体" w:cs="宋体"/>
          <w:b/>
          <w:szCs w:val="21"/>
        </w:rPr>
        <w:t>（七）投资合作机构</w:t>
      </w:r>
    </w:p>
    <w:p>
      <w:pPr>
        <w:spacing w:line="360" w:lineRule="auto"/>
        <w:ind w:firstLine="420" w:firstLineChars="200"/>
        <w:rPr>
          <w:rFonts w:ascii="宋体" w:hAnsi="宋体" w:cs="宋体"/>
          <w:bCs/>
          <w:szCs w:val="21"/>
        </w:rPr>
      </w:pPr>
      <w:r>
        <w:rPr>
          <w:rFonts w:hint="eastAsia" w:ascii="宋体" w:hAnsi="宋体" w:cs="宋体"/>
          <w:bCs/>
          <w:szCs w:val="21"/>
        </w:rPr>
        <w:t>投资合作机构包括但不限于理财产品所投资资产管理产品的发行机构、根据合同约定从事理财产品受托投资的机构以及与理财产品投资管理相关的投资顾问等；主要职责为进行受托资金的投资管理，根据合同约定从事受托投资或提供投资顾问等服务，具体职责以管理人与投资合作机构签署的合同为准。</w:t>
      </w:r>
    </w:p>
    <w:p>
      <w:pPr>
        <w:tabs>
          <w:tab w:val="left" w:pos="420"/>
          <w:tab w:val="left" w:pos="720"/>
        </w:tabs>
        <w:spacing w:line="360" w:lineRule="auto"/>
        <w:ind w:firstLine="602" w:firstLineChars="250"/>
        <w:jc w:val="left"/>
        <w:rPr>
          <w:rFonts w:ascii="宋体" w:hAnsi="宋体" w:cs="宋体"/>
          <w:b/>
          <w:bCs/>
          <w:sz w:val="24"/>
          <w:szCs w:val="24"/>
        </w:rPr>
      </w:pPr>
    </w:p>
    <w:p>
      <w:pPr>
        <w:spacing w:line="360" w:lineRule="auto"/>
        <w:jc w:val="center"/>
        <w:rPr>
          <w:rFonts w:ascii="宋体" w:hAnsi="宋体" w:cs="宋体"/>
          <w:b/>
          <w:bCs/>
          <w:sz w:val="28"/>
          <w:szCs w:val="28"/>
        </w:rPr>
      </w:pPr>
      <w:r>
        <w:rPr>
          <w:rFonts w:hint="eastAsia" w:ascii="宋体" w:hAnsi="宋体" w:cs="宋体"/>
          <w:b/>
          <w:bCs/>
          <w:sz w:val="28"/>
          <w:szCs w:val="28"/>
        </w:rPr>
        <w:t>五、产品估值</w:t>
      </w:r>
    </w:p>
    <w:p>
      <w:pPr>
        <w:spacing w:line="360" w:lineRule="auto"/>
        <w:ind w:firstLine="422" w:firstLineChars="200"/>
        <w:rPr>
          <w:rFonts w:ascii="宋体" w:hAnsi="宋体" w:cs="宋体"/>
          <w:b/>
          <w:bCs/>
          <w:snapToGrid w:val="0"/>
          <w:szCs w:val="21"/>
        </w:rPr>
      </w:pPr>
      <w:r>
        <w:rPr>
          <w:rFonts w:hint="eastAsia" w:ascii="宋体" w:hAnsi="宋体" w:cs="宋体"/>
          <w:b/>
          <w:bCs/>
          <w:snapToGrid w:val="0"/>
          <w:szCs w:val="21"/>
        </w:rPr>
        <w:t>（一）估值对象</w:t>
      </w:r>
    </w:p>
    <w:p>
      <w:pPr>
        <w:spacing w:line="360" w:lineRule="auto"/>
        <w:ind w:firstLine="420" w:firstLineChars="200"/>
        <w:rPr>
          <w:rFonts w:ascii="宋体" w:hAnsi="宋体" w:cs="宋体"/>
          <w:bCs/>
          <w:szCs w:val="21"/>
        </w:rPr>
      </w:pPr>
      <w:r>
        <w:rPr>
          <w:rFonts w:hint="eastAsia" w:ascii="宋体" w:hAnsi="宋体" w:cs="宋体"/>
          <w:bCs/>
          <w:szCs w:val="21"/>
        </w:rPr>
        <w:t>本产品持有的各类证券、银行存款本息、应收款项及其他投资等资产和负债。</w:t>
      </w:r>
    </w:p>
    <w:p>
      <w:pPr>
        <w:spacing w:line="360" w:lineRule="auto"/>
        <w:ind w:firstLine="422" w:firstLineChars="200"/>
        <w:rPr>
          <w:rFonts w:ascii="宋体" w:hAnsi="宋体" w:cs="宋体"/>
          <w:b/>
          <w:bCs/>
          <w:snapToGrid w:val="0"/>
          <w:szCs w:val="21"/>
        </w:rPr>
      </w:pPr>
      <w:r>
        <w:rPr>
          <w:rFonts w:hint="eastAsia" w:ascii="宋体" w:hAnsi="宋体" w:cs="宋体"/>
          <w:b/>
          <w:bCs/>
          <w:snapToGrid w:val="0"/>
          <w:szCs w:val="21"/>
        </w:rPr>
        <w:t>（二）估值要求</w:t>
      </w:r>
    </w:p>
    <w:p>
      <w:pPr>
        <w:spacing w:line="360" w:lineRule="auto"/>
        <w:ind w:firstLine="422" w:firstLineChars="200"/>
        <w:rPr>
          <w:rFonts w:ascii="宋体" w:hAnsi="宋体" w:cs="宋体"/>
          <w:b/>
          <w:szCs w:val="21"/>
        </w:rPr>
      </w:pPr>
      <w:r>
        <w:rPr>
          <w:rFonts w:hint="eastAsia" w:ascii="宋体" w:hAnsi="宋体" w:cs="宋体"/>
          <w:b/>
          <w:szCs w:val="21"/>
        </w:rPr>
        <w:t>1.本产品资产估值的目的是客观、准确的反映资产净值，确定理财产品资产净值，并为理财产品的申购、赎回和兑付提供计价依据。</w:t>
      </w:r>
    </w:p>
    <w:p>
      <w:pPr>
        <w:spacing w:line="360" w:lineRule="auto"/>
        <w:ind w:firstLine="420" w:firstLineChars="200"/>
        <w:rPr>
          <w:rFonts w:ascii="宋体" w:hAnsi="宋体" w:cs="宋体"/>
          <w:bCs/>
          <w:szCs w:val="21"/>
        </w:rPr>
      </w:pPr>
      <w:r>
        <w:rPr>
          <w:rFonts w:ascii="宋体" w:hAnsi="宋体" w:cs="宋体"/>
          <w:bCs/>
          <w:szCs w:val="21"/>
        </w:rPr>
        <w:t>2.理财产品份额净值是按照每个交易日闭市后，理财产品资产净值除以当日理财产品份额的余额数量计算，精确到0.0001元，小数点后第</w:t>
      </w:r>
      <w:r>
        <w:rPr>
          <w:rFonts w:hint="eastAsia" w:ascii="宋体" w:hAnsi="宋体" w:cs="宋体"/>
          <w:bCs/>
          <w:szCs w:val="21"/>
          <w:lang w:val="en-US" w:eastAsia="zh-CN"/>
        </w:rPr>
        <w:t>五</w:t>
      </w:r>
      <w:r>
        <w:rPr>
          <w:rFonts w:ascii="宋体" w:hAnsi="宋体" w:cs="宋体"/>
          <w:bCs/>
          <w:szCs w:val="21"/>
        </w:rPr>
        <w:t>位四舍五入。国家另有规定的，从其规定。</w:t>
      </w:r>
    </w:p>
    <w:p>
      <w:pPr>
        <w:spacing w:line="360" w:lineRule="auto"/>
        <w:ind w:firstLine="420" w:firstLineChars="200"/>
        <w:rPr>
          <w:bCs/>
          <w:szCs w:val="21"/>
        </w:rPr>
      </w:pPr>
      <w:r>
        <w:rPr>
          <w:rFonts w:ascii="宋体" w:hAnsi="宋体" w:cs="宋体"/>
          <w:bCs/>
          <w:szCs w:val="21"/>
        </w:rPr>
        <w:t>3.本产品每</w:t>
      </w:r>
      <w:r>
        <w:rPr>
          <w:rFonts w:hint="eastAsia" w:ascii="宋体" w:hAnsi="宋体" w:cs="宋体"/>
          <w:bCs/>
          <w:szCs w:val="21"/>
        </w:rPr>
        <w:t>周最后一个交易所工作日及开放日为估值日。</w:t>
      </w:r>
    </w:p>
    <w:p>
      <w:pPr>
        <w:spacing w:line="360" w:lineRule="auto"/>
        <w:ind w:firstLine="422" w:firstLineChars="200"/>
        <w:rPr>
          <w:rFonts w:ascii="宋体" w:hAnsi="宋体" w:cs="宋体"/>
          <w:b/>
          <w:bCs/>
          <w:snapToGrid w:val="0"/>
          <w:szCs w:val="21"/>
        </w:rPr>
      </w:pPr>
      <w:r>
        <w:rPr>
          <w:rFonts w:hint="eastAsia" w:ascii="宋体" w:hAnsi="宋体" w:cs="宋体"/>
          <w:b/>
          <w:bCs/>
          <w:snapToGrid w:val="0"/>
          <w:szCs w:val="21"/>
        </w:rPr>
        <w:t>（三）估值方法</w:t>
      </w:r>
    </w:p>
    <w:p>
      <w:pPr>
        <w:spacing w:line="360" w:lineRule="auto"/>
        <w:ind w:firstLine="420" w:firstLineChars="200"/>
        <w:rPr>
          <w:rFonts w:ascii="宋体" w:hAnsi="宋体" w:cs="宋体"/>
          <w:bCs/>
          <w:szCs w:val="21"/>
        </w:rPr>
      </w:pPr>
      <w:r>
        <w:rPr>
          <w:rFonts w:ascii="宋体" w:hAnsi="宋体" w:cs="宋体"/>
          <w:bCs/>
          <w:szCs w:val="21"/>
        </w:rPr>
        <w:t>1.</w:t>
      </w:r>
      <w:r>
        <w:rPr>
          <w:rFonts w:hint="eastAsia" w:ascii="宋体" w:hAnsi="宋体" w:cs="宋体"/>
          <w:bCs/>
          <w:szCs w:val="21"/>
        </w:rPr>
        <w:t>债券、货币市场工具等标准化固定收益类资产</w:t>
      </w:r>
    </w:p>
    <w:p>
      <w:pPr>
        <w:spacing w:line="360" w:lineRule="auto"/>
        <w:ind w:firstLine="420" w:firstLineChars="200"/>
        <w:rPr>
          <w:rFonts w:ascii="宋体" w:hAnsi="宋体" w:cs="宋体"/>
          <w:bCs/>
          <w:szCs w:val="21"/>
        </w:rPr>
      </w:pPr>
      <w:r>
        <w:rPr>
          <w:rFonts w:hint="eastAsia" w:ascii="宋体" w:hAnsi="宋体" w:cs="宋体"/>
          <w:bCs/>
          <w:szCs w:val="21"/>
        </w:rPr>
        <w:t>（1）交易所市场交易的固定收益品种的估值</w:t>
      </w:r>
    </w:p>
    <w:p>
      <w:pPr>
        <w:spacing w:line="360" w:lineRule="auto"/>
        <w:ind w:firstLine="420" w:firstLineChars="200"/>
        <w:rPr>
          <w:rFonts w:ascii="宋体" w:hAnsi="宋体" w:cs="宋体"/>
          <w:bCs/>
          <w:szCs w:val="21"/>
        </w:rPr>
      </w:pPr>
      <w:r>
        <w:rPr>
          <w:rFonts w:hint="eastAsia" w:ascii="宋体" w:hAnsi="宋体" w:cs="宋体"/>
          <w:bCs/>
          <w:szCs w:val="21"/>
        </w:rPr>
        <w:t>① 对在交易所市场上市交易或挂牌转让的固定收益品种（另有规定的除外），选取第三方估值机构提供的相应品种当日的估值净价进行进行估值；</w:t>
      </w:r>
    </w:p>
    <w:p>
      <w:pPr>
        <w:spacing w:line="360" w:lineRule="auto"/>
        <w:ind w:firstLine="420" w:firstLineChars="200"/>
        <w:rPr>
          <w:rFonts w:ascii="宋体" w:hAnsi="宋体" w:cs="宋体"/>
          <w:bCs/>
          <w:szCs w:val="21"/>
        </w:rPr>
      </w:pPr>
      <w:r>
        <w:rPr>
          <w:rFonts w:hint="eastAsia" w:ascii="宋体" w:hAnsi="宋体" w:cs="宋体"/>
          <w:bCs/>
          <w:szCs w:val="21"/>
        </w:rPr>
        <w:t>② 对在交易所市场上市交易的可转换债券，选取每日收盘价作为估值全价；</w:t>
      </w:r>
    </w:p>
    <w:p>
      <w:pPr>
        <w:spacing w:line="360" w:lineRule="auto"/>
        <w:ind w:firstLine="420" w:firstLineChars="200"/>
        <w:rPr>
          <w:rFonts w:ascii="宋体" w:hAnsi="宋体" w:cs="宋体"/>
          <w:bCs/>
          <w:szCs w:val="21"/>
        </w:rPr>
      </w:pPr>
      <w:r>
        <w:rPr>
          <w:rFonts w:hint="eastAsia" w:ascii="宋体" w:hAnsi="宋体" w:cs="宋体"/>
          <w:bCs/>
          <w:szCs w:val="21"/>
        </w:rPr>
        <w:t>③ 对在交易所市场挂牌转让的资产支持证券、私募债券，鉴于目前尚不存在活跃市场而采用估值技术确定其公允价值。</w:t>
      </w:r>
    </w:p>
    <w:p>
      <w:pPr>
        <w:spacing w:line="360" w:lineRule="auto"/>
        <w:ind w:firstLine="420" w:firstLineChars="200"/>
        <w:rPr>
          <w:rFonts w:ascii="宋体" w:hAnsi="宋体" w:cs="宋体"/>
          <w:bCs/>
          <w:szCs w:val="21"/>
        </w:rPr>
      </w:pPr>
      <w:r>
        <w:rPr>
          <w:rFonts w:hint="eastAsia" w:ascii="宋体" w:hAnsi="宋体" w:cs="宋体"/>
          <w:bCs/>
          <w:szCs w:val="21"/>
        </w:rPr>
        <w:t>④ 对在交易所市场发行未上市或未挂牌转让的债券，对存在活跃市场的情况下，以活跃市场上未经调整的报价作为计量日的公允价值；对于活跃市场报价未能代表计量日公允价值的情况下，对市场报价进行调整以确认计量日的公允价值；对于不存在市场活动或市场活动很少的情况下，采用估值技术确定其公允价值。</w:t>
      </w:r>
    </w:p>
    <w:p>
      <w:pPr>
        <w:spacing w:line="360" w:lineRule="auto"/>
        <w:ind w:firstLine="420" w:firstLineChars="200"/>
        <w:rPr>
          <w:rFonts w:ascii="宋体" w:hAnsi="宋体" w:cs="宋体"/>
          <w:bCs/>
          <w:szCs w:val="21"/>
        </w:rPr>
      </w:pPr>
      <w:r>
        <w:rPr>
          <w:rFonts w:hint="eastAsia" w:ascii="宋体" w:hAnsi="宋体" w:cs="宋体"/>
          <w:bCs/>
          <w:szCs w:val="21"/>
        </w:rPr>
        <w:t>（2）银行间市场交易的固定收益品种的估值</w:t>
      </w:r>
    </w:p>
    <w:p>
      <w:pPr>
        <w:spacing w:line="360" w:lineRule="auto"/>
        <w:ind w:firstLine="420" w:firstLineChars="200"/>
        <w:rPr>
          <w:rFonts w:ascii="宋体" w:hAnsi="宋体" w:cs="宋体"/>
          <w:bCs/>
          <w:szCs w:val="21"/>
        </w:rPr>
      </w:pPr>
      <w:r>
        <w:rPr>
          <w:rFonts w:hint="eastAsia" w:ascii="宋体" w:hAnsi="宋体" w:cs="宋体"/>
          <w:bCs/>
          <w:szCs w:val="21"/>
        </w:rPr>
        <w:t>对银行间市场上的固定收益品种，选取第三方估值机构提供的相应品种当日的估值净价进行估值；</w:t>
      </w:r>
    </w:p>
    <w:p>
      <w:pPr>
        <w:spacing w:line="360" w:lineRule="auto"/>
        <w:ind w:firstLine="420" w:firstLineChars="200"/>
        <w:rPr>
          <w:rFonts w:ascii="宋体" w:hAnsi="宋体" w:cs="宋体"/>
          <w:bCs/>
          <w:szCs w:val="21"/>
        </w:rPr>
      </w:pPr>
      <w:r>
        <w:rPr>
          <w:rFonts w:hint="eastAsia" w:ascii="宋体" w:hAnsi="宋体" w:cs="宋体"/>
          <w:bCs/>
          <w:szCs w:val="21"/>
        </w:rPr>
        <w:t>（3）同一证券同时在两个或两个以上市场交易的，按证券所处的市场分别估值。</w:t>
      </w:r>
    </w:p>
    <w:p>
      <w:pPr>
        <w:spacing w:line="360" w:lineRule="auto"/>
        <w:ind w:firstLine="420" w:firstLineChars="200"/>
        <w:rPr>
          <w:rFonts w:ascii="宋体" w:hAnsi="宋体" w:cs="宋体"/>
          <w:bCs/>
          <w:szCs w:val="21"/>
        </w:rPr>
      </w:pPr>
      <w:r>
        <w:rPr>
          <w:rFonts w:ascii="宋体" w:hAnsi="宋体" w:cs="宋体"/>
          <w:bCs/>
          <w:szCs w:val="21"/>
        </w:rPr>
        <w:t>2.</w:t>
      </w:r>
      <w:r>
        <w:rPr>
          <w:rFonts w:hint="eastAsia" w:ascii="宋体" w:hAnsi="宋体" w:cs="宋体"/>
          <w:bCs/>
          <w:szCs w:val="21"/>
        </w:rPr>
        <w:t>非标准化债权类资产</w:t>
      </w:r>
    </w:p>
    <w:p>
      <w:pPr>
        <w:spacing w:line="360" w:lineRule="auto"/>
        <w:ind w:firstLine="420" w:firstLineChars="200"/>
        <w:rPr>
          <w:rFonts w:hint="eastAsia" w:ascii="宋体" w:hAnsi="宋体" w:cs="宋体"/>
          <w:bCs/>
          <w:szCs w:val="21"/>
        </w:rPr>
      </w:pPr>
      <w:r>
        <w:rPr>
          <w:rFonts w:hint="eastAsia" w:ascii="宋体" w:hAnsi="宋体" w:cs="宋体"/>
          <w:bCs/>
          <w:szCs w:val="21"/>
        </w:rPr>
        <w:t>以收取合同现金流为目的并持有到期的非标准化债权类资产采用摊余成本法。</w:t>
      </w:r>
    </w:p>
    <w:p>
      <w:pPr>
        <w:spacing w:line="360" w:lineRule="auto"/>
        <w:ind w:firstLine="420" w:firstLineChars="200"/>
        <w:rPr>
          <w:rFonts w:ascii="宋体" w:hAnsi="宋体" w:cs="宋体"/>
          <w:bCs/>
          <w:szCs w:val="21"/>
        </w:rPr>
      </w:pPr>
      <w:r>
        <w:rPr>
          <w:rFonts w:hint="eastAsia" w:ascii="宋体" w:hAnsi="宋体" w:cs="宋体"/>
          <w:bCs/>
          <w:szCs w:val="21"/>
        </w:rPr>
        <w:t>3.权益类资产</w:t>
      </w:r>
    </w:p>
    <w:p>
      <w:pPr>
        <w:spacing w:line="360" w:lineRule="auto"/>
        <w:ind w:firstLine="420" w:firstLineChars="200"/>
        <w:rPr>
          <w:rFonts w:ascii="宋体" w:hAnsi="宋体" w:cs="宋体"/>
          <w:bCs/>
          <w:szCs w:val="21"/>
        </w:rPr>
      </w:pPr>
      <w:r>
        <w:rPr>
          <w:rFonts w:hint="eastAsia" w:ascii="宋体" w:hAnsi="宋体" w:cs="宋体"/>
          <w:bCs/>
          <w:szCs w:val="21"/>
        </w:rPr>
        <w:t>（1）上市流通股票</w:t>
      </w:r>
    </w:p>
    <w:p>
      <w:pPr>
        <w:spacing w:line="360" w:lineRule="auto"/>
        <w:ind w:firstLine="420" w:firstLineChars="200"/>
        <w:rPr>
          <w:rFonts w:ascii="宋体" w:hAnsi="宋体" w:cs="宋体"/>
          <w:bCs/>
          <w:szCs w:val="21"/>
        </w:rPr>
      </w:pPr>
      <w:r>
        <w:rPr>
          <w:rFonts w:hint="eastAsia" w:ascii="宋体" w:hAnsi="宋体" w:cs="宋体"/>
          <w:bCs/>
          <w:szCs w:val="21"/>
        </w:rPr>
        <w:t>在证券交易所上市流通的股票，估值日有交易的，按估值日收盘价估值；估值日无交易，且最近交易日后未发生影响公允价值计量的重大事件的，按最近交易日的收盘价估值；估值日无交易，且最近交易日后发生影响公允价值计量的重大事件的，参考类似投资品种的现行价格及重大变化因素，调整最近交易日的收盘价确定公允价值。</w:t>
      </w:r>
    </w:p>
    <w:p>
      <w:pPr>
        <w:spacing w:line="360" w:lineRule="auto"/>
        <w:ind w:firstLine="420" w:firstLineChars="200"/>
        <w:rPr>
          <w:rFonts w:ascii="宋体" w:hAnsi="宋体" w:cs="宋体"/>
          <w:bCs/>
          <w:szCs w:val="21"/>
        </w:rPr>
      </w:pPr>
      <w:r>
        <w:rPr>
          <w:rFonts w:hint="eastAsia" w:ascii="宋体" w:hAnsi="宋体" w:cs="宋体"/>
          <w:bCs/>
          <w:szCs w:val="21"/>
        </w:rPr>
        <w:t>（2）优先股</w:t>
      </w:r>
    </w:p>
    <w:p>
      <w:pPr>
        <w:spacing w:line="360" w:lineRule="auto"/>
        <w:ind w:firstLine="420" w:firstLineChars="200"/>
        <w:rPr>
          <w:rFonts w:hint="eastAsia" w:ascii="宋体" w:hAnsi="宋体" w:cs="宋体"/>
          <w:bCs/>
          <w:szCs w:val="21"/>
        </w:rPr>
      </w:pPr>
      <w:r>
        <w:rPr>
          <w:rFonts w:hint="eastAsia" w:ascii="宋体" w:hAnsi="宋体" w:cs="宋体"/>
          <w:bCs/>
          <w:szCs w:val="21"/>
        </w:rPr>
        <w:t xml:space="preserve">在证券交易所及全国中小企业股份转让系统等市场交易的优先股，其交易量及交易频率足以持续提供定价信息的，估值日有交易，可按估值日收盘价估值；估值日无交易，且最近交易日后未发生影响公允价值计量的重大事件的，参考该优先股或类似投资品种最近交易日收盘价确定公允价值。不满足上述条件的，采用估值技术或依据第三方估值机构提供的价格数据估值。 </w:t>
      </w:r>
    </w:p>
    <w:p>
      <w:pPr>
        <w:spacing w:line="360" w:lineRule="auto"/>
        <w:ind w:firstLine="420" w:firstLineChars="200"/>
        <w:rPr>
          <w:rFonts w:ascii="宋体" w:hAnsi="宋体" w:cs="宋体"/>
          <w:bCs/>
          <w:szCs w:val="21"/>
        </w:rPr>
      </w:pPr>
      <w:r>
        <w:rPr>
          <w:rFonts w:hint="eastAsia" w:ascii="宋体" w:hAnsi="宋体" w:cs="宋体"/>
          <w:bCs/>
          <w:szCs w:val="21"/>
        </w:rPr>
        <w:t>（3）处于未上市期间的有价证券应区分如下情况处理：</w:t>
      </w:r>
    </w:p>
    <w:p>
      <w:pPr>
        <w:spacing w:line="360" w:lineRule="auto"/>
        <w:ind w:firstLine="420" w:firstLineChars="200"/>
        <w:rPr>
          <w:rFonts w:ascii="宋体" w:hAnsi="宋体" w:cs="宋体"/>
          <w:bCs/>
          <w:szCs w:val="21"/>
        </w:rPr>
      </w:pPr>
      <w:r>
        <w:rPr>
          <w:rFonts w:hint="eastAsia" w:ascii="宋体" w:hAnsi="宋体" w:cs="宋体"/>
          <w:bCs/>
          <w:szCs w:val="21"/>
        </w:rPr>
        <w:t>①送股、转增股、配股和公开增发的新股，按估值日在证券交易所挂牌的同一股票的估值方法估值；</w:t>
      </w:r>
    </w:p>
    <w:p>
      <w:pPr>
        <w:spacing w:line="360" w:lineRule="auto"/>
        <w:ind w:firstLine="420" w:firstLineChars="200"/>
        <w:rPr>
          <w:rFonts w:ascii="宋体" w:hAnsi="宋体" w:cs="宋体"/>
          <w:bCs/>
          <w:szCs w:val="21"/>
        </w:rPr>
      </w:pPr>
      <w:r>
        <w:rPr>
          <w:rFonts w:hint="eastAsia" w:ascii="宋体" w:hAnsi="宋体" w:cs="宋体"/>
          <w:bCs/>
          <w:szCs w:val="21"/>
        </w:rPr>
        <w:t>②首次公开发行未上市的股票、债券，采用估值技术确定公允价值；</w:t>
      </w:r>
    </w:p>
    <w:p>
      <w:pPr>
        <w:spacing w:line="360" w:lineRule="auto"/>
        <w:ind w:firstLine="420" w:firstLineChars="200"/>
        <w:rPr>
          <w:rFonts w:ascii="宋体" w:hAnsi="宋体" w:cs="宋体"/>
          <w:bCs/>
          <w:szCs w:val="21"/>
        </w:rPr>
      </w:pPr>
      <w:r>
        <w:rPr>
          <w:rFonts w:hint="eastAsia" w:ascii="宋体" w:hAnsi="宋体" w:cs="宋体"/>
          <w:bCs/>
          <w:szCs w:val="21"/>
        </w:rPr>
        <w:t>③在发行时明确一定期限限售期的股票，包括但不限于非公开发行股票、首次公开发行股票时公司股东公开发售股份、通过大宗交易取得的带限售期的股票等，不包括停牌、新发行未上市、回购交易中的质押券等流通受限股票，按监管机构或行业协会有关规定确定公允价值。</w:t>
      </w:r>
    </w:p>
    <w:p>
      <w:pPr>
        <w:spacing w:line="360" w:lineRule="auto"/>
        <w:ind w:firstLine="420" w:firstLineChars="200"/>
        <w:rPr>
          <w:rFonts w:ascii="宋体" w:hAnsi="宋体" w:cs="宋体"/>
          <w:bCs/>
          <w:szCs w:val="21"/>
        </w:rPr>
      </w:pPr>
      <w:r>
        <w:rPr>
          <w:rFonts w:hint="eastAsia" w:ascii="宋体" w:hAnsi="宋体" w:cs="宋体"/>
          <w:bCs/>
          <w:szCs w:val="21"/>
        </w:rPr>
        <w:t>4.证券投资基金</w:t>
      </w:r>
    </w:p>
    <w:p>
      <w:pPr>
        <w:spacing w:line="360" w:lineRule="auto"/>
        <w:ind w:firstLine="420" w:firstLineChars="200"/>
        <w:rPr>
          <w:rFonts w:ascii="宋体" w:hAnsi="宋体" w:cs="宋体"/>
          <w:bCs/>
          <w:szCs w:val="21"/>
        </w:rPr>
      </w:pPr>
      <w:r>
        <w:rPr>
          <w:rFonts w:hint="eastAsia" w:ascii="宋体" w:hAnsi="宋体" w:cs="宋体"/>
          <w:bCs/>
          <w:szCs w:val="21"/>
        </w:rPr>
        <w:t>（1）非上市基金估值</w:t>
      </w:r>
    </w:p>
    <w:p>
      <w:pPr>
        <w:spacing w:line="360" w:lineRule="auto"/>
        <w:ind w:firstLine="420" w:firstLineChars="200"/>
        <w:rPr>
          <w:rFonts w:ascii="宋体" w:hAnsi="宋体" w:cs="宋体"/>
          <w:bCs/>
          <w:szCs w:val="21"/>
        </w:rPr>
      </w:pPr>
      <w:r>
        <w:rPr>
          <w:rFonts w:hint="eastAsia" w:ascii="宋体" w:hAnsi="宋体" w:cs="宋体"/>
          <w:bCs/>
          <w:szCs w:val="21"/>
        </w:rPr>
        <w:t>境内非货币市场基金，按所投资基金估值日的份额净值估值；境内货币市场基金，按所投资基金前一估值日后至估值日期间（含节假日）的万份收益计提估值日基金收益。</w:t>
      </w:r>
    </w:p>
    <w:p>
      <w:pPr>
        <w:spacing w:line="360" w:lineRule="auto"/>
        <w:ind w:firstLine="420" w:firstLineChars="200"/>
        <w:rPr>
          <w:rFonts w:ascii="宋体" w:hAnsi="宋体" w:cs="宋体"/>
          <w:bCs/>
          <w:szCs w:val="21"/>
        </w:rPr>
      </w:pPr>
      <w:r>
        <w:rPr>
          <w:rFonts w:hint="eastAsia" w:ascii="宋体" w:hAnsi="宋体" w:cs="宋体"/>
          <w:bCs/>
          <w:szCs w:val="21"/>
        </w:rPr>
        <w:t>（2）上市基金估值</w:t>
      </w:r>
    </w:p>
    <w:p>
      <w:pPr>
        <w:spacing w:line="360" w:lineRule="auto"/>
        <w:ind w:firstLine="420" w:firstLineChars="200"/>
        <w:rPr>
          <w:rFonts w:ascii="宋体" w:hAnsi="宋体" w:cs="宋体"/>
          <w:bCs/>
          <w:szCs w:val="21"/>
        </w:rPr>
      </w:pPr>
      <w:r>
        <w:rPr>
          <w:rFonts w:hint="eastAsia" w:ascii="宋体" w:hAnsi="宋体" w:cs="宋体"/>
          <w:bCs/>
          <w:szCs w:val="21"/>
        </w:rPr>
        <w:t>交易所上市流通的基金，按估值日其所在证券交易所的收盘价估值。</w:t>
      </w:r>
    </w:p>
    <w:p>
      <w:pPr>
        <w:spacing w:line="360" w:lineRule="auto"/>
        <w:ind w:firstLine="420" w:firstLineChars="200"/>
        <w:rPr>
          <w:rFonts w:ascii="宋体" w:hAnsi="宋体" w:cs="宋体"/>
          <w:bCs/>
          <w:szCs w:val="21"/>
        </w:rPr>
      </w:pPr>
      <w:r>
        <w:rPr>
          <w:rFonts w:hint="eastAsia" w:ascii="宋体" w:hAnsi="宋体" w:cs="宋体"/>
          <w:bCs/>
          <w:szCs w:val="21"/>
        </w:rPr>
        <w:t>（3）如遇所投资基金不公布基金份额净值、进行折算或拆分、估值日无交易等特殊情况，按照以下原则进行估值：</w:t>
      </w:r>
    </w:p>
    <w:p>
      <w:pPr>
        <w:spacing w:line="360" w:lineRule="auto"/>
        <w:ind w:firstLine="420" w:firstLineChars="200"/>
        <w:rPr>
          <w:rFonts w:ascii="宋体" w:hAnsi="宋体" w:cs="宋体"/>
          <w:bCs/>
          <w:szCs w:val="21"/>
        </w:rPr>
      </w:pPr>
      <w:r>
        <w:rPr>
          <w:rFonts w:hint="eastAsia" w:ascii="宋体" w:hAnsi="宋体" w:cs="宋体"/>
          <w:bCs/>
          <w:szCs w:val="21"/>
        </w:rPr>
        <w:t>①以所投基金的基金份额净值估值的，若所投资基金与基金中基金估值频率一致但未公布估值日基金份额净值，按其最近公布的基金份额净值为基础估值；</w:t>
      </w:r>
    </w:p>
    <w:p>
      <w:pPr>
        <w:spacing w:line="360" w:lineRule="auto"/>
        <w:ind w:firstLine="420" w:firstLineChars="200"/>
        <w:rPr>
          <w:rFonts w:ascii="宋体" w:hAnsi="宋体" w:cs="宋体"/>
          <w:bCs/>
          <w:szCs w:val="21"/>
        </w:rPr>
      </w:pPr>
      <w:r>
        <w:rPr>
          <w:rFonts w:hint="eastAsia" w:ascii="宋体" w:hAnsi="宋体" w:cs="宋体"/>
          <w:bCs/>
          <w:szCs w:val="21"/>
        </w:rPr>
        <w:t>②以所投资基金的收盘价估值的，若估值日无交易，且最近交易日后市场环境未发生重大变化，按最近交易日的收盘价估值；如最近交易日后市场环境发生了重大变化的，可使用最新的基金份额净值为基础或参考类似投资品种的现行市场及重大变化因素调整最近交易市场，确定公允价值；</w:t>
      </w:r>
    </w:p>
    <w:p>
      <w:pPr>
        <w:spacing w:line="360" w:lineRule="auto"/>
        <w:ind w:firstLine="420" w:firstLineChars="200"/>
        <w:rPr>
          <w:rFonts w:ascii="宋体" w:hAnsi="宋体" w:cs="宋体"/>
          <w:bCs/>
          <w:szCs w:val="21"/>
        </w:rPr>
      </w:pPr>
      <w:r>
        <w:rPr>
          <w:rFonts w:hint="eastAsia" w:ascii="宋体" w:hAnsi="宋体" w:cs="宋体"/>
          <w:bCs/>
          <w:szCs w:val="21"/>
        </w:rPr>
        <w:t>③如果所投资基金前一估值日至估值日期间发生分红除权、折算或拆分，基金管理人应根据基金份额净值或收盘价、单位基金份额分红金额、折算拆分比例、持仓份额等因素合理确定公允价值。</w:t>
      </w:r>
    </w:p>
    <w:p>
      <w:pPr>
        <w:spacing w:line="360" w:lineRule="auto"/>
        <w:ind w:firstLine="420" w:firstLineChars="200"/>
        <w:rPr>
          <w:rFonts w:ascii="宋体" w:hAnsi="宋体" w:cs="宋体"/>
          <w:bCs/>
          <w:szCs w:val="21"/>
        </w:rPr>
      </w:pPr>
      <w:r>
        <w:rPr>
          <w:rFonts w:hint="eastAsia" w:ascii="宋体" w:hAnsi="宋体" w:cs="宋体"/>
          <w:bCs/>
          <w:szCs w:val="21"/>
        </w:rPr>
        <w:t>5.资管产品</w:t>
      </w:r>
    </w:p>
    <w:p>
      <w:pPr>
        <w:spacing w:line="360" w:lineRule="auto"/>
        <w:ind w:firstLine="420" w:firstLineChars="200"/>
        <w:rPr>
          <w:rFonts w:ascii="宋体" w:hAnsi="宋体" w:cs="宋体"/>
          <w:bCs/>
          <w:szCs w:val="21"/>
        </w:rPr>
      </w:pPr>
      <w:r>
        <w:rPr>
          <w:rFonts w:hint="eastAsia" w:ascii="宋体" w:hAnsi="宋体" w:cs="宋体"/>
          <w:bCs/>
          <w:szCs w:val="21"/>
        </w:rPr>
        <w:t>本产品投资资管产品，以能获取资管产品的净值或投资收益情况进行估值；如无法获取净值或投资收益情况，可采用估值技术确定公允价值。有确定的预期收益，则根据预期收益每天计提利息；无确定的预期收益，则不计提利息；实际利息以到期金额为准。</w:t>
      </w:r>
    </w:p>
    <w:p>
      <w:pPr>
        <w:spacing w:line="360" w:lineRule="auto"/>
        <w:ind w:firstLine="420" w:firstLineChars="200"/>
        <w:rPr>
          <w:rFonts w:ascii="宋体" w:hAnsi="宋体" w:cs="宋体"/>
          <w:bCs/>
          <w:szCs w:val="21"/>
        </w:rPr>
      </w:pPr>
      <w:r>
        <w:rPr>
          <w:rFonts w:hint="eastAsia" w:ascii="宋体" w:hAnsi="宋体" w:cs="宋体"/>
          <w:bCs/>
          <w:szCs w:val="21"/>
        </w:rPr>
        <w:t>6.</w:t>
      </w:r>
      <w:r>
        <w:rPr>
          <w:rFonts w:hint="eastAsia" w:ascii="宋体" w:hAnsi="宋体" w:cs="宋体"/>
          <w:bCs/>
          <w:szCs w:val="21"/>
          <w:lang w:val="en-US" w:eastAsia="zh-CN"/>
        </w:rPr>
        <w:t>金融</w:t>
      </w:r>
      <w:r>
        <w:rPr>
          <w:rFonts w:hint="eastAsia" w:ascii="宋体" w:hAnsi="宋体" w:cs="宋体"/>
          <w:bCs/>
          <w:szCs w:val="21"/>
        </w:rPr>
        <w:t>衍生品类资产</w:t>
      </w:r>
    </w:p>
    <w:p>
      <w:pPr>
        <w:spacing w:line="360" w:lineRule="auto"/>
        <w:ind w:firstLine="420" w:firstLineChars="200"/>
        <w:rPr>
          <w:rFonts w:ascii="宋体" w:hAnsi="宋体" w:cs="宋体"/>
          <w:bCs/>
          <w:szCs w:val="21"/>
        </w:rPr>
      </w:pPr>
      <w:r>
        <w:rPr>
          <w:rFonts w:hint="eastAsia" w:ascii="宋体" w:hAnsi="宋体" w:cs="宋体"/>
          <w:bCs/>
          <w:szCs w:val="21"/>
        </w:rPr>
        <w:t>期货、互换、期权等</w:t>
      </w:r>
      <w:r>
        <w:rPr>
          <w:rFonts w:hint="eastAsia" w:ascii="宋体" w:hAnsi="宋体" w:cs="宋体"/>
          <w:bCs/>
          <w:szCs w:val="21"/>
          <w:lang w:val="en-US" w:eastAsia="zh-CN"/>
        </w:rPr>
        <w:t>金融</w:t>
      </w:r>
      <w:r>
        <w:rPr>
          <w:rFonts w:hint="eastAsia" w:ascii="宋体" w:hAnsi="宋体" w:cs="宋体"/>
          <w:bCs/>
          <w:szCs w:val="21"/>
        </w:rPr>
        <w:t>衍生品，场内交易一般以估值当日结算价进行估值，估值当日无结算价的，且最近交易日后经济环境未发生重大变化的，采用最近交易日结算价估值；场外交易按照第三方机构提供的估值数据进行估值，如果第三方估值机构未提供估值价格的，采用估值技术确定其公允价值。</w:t>
      </w:r>
    </w:p>
    <w:p>
      <w:pPr>
        <w:spacing w:line="360" w:lineRule="auto"/>
        <w:ind w:firstLine="420" w:firstLineChars="200"/>
        <w:rPr>
          <w:rFonts w:ascii="宋体" w:hAnsi="宋体" w:cs="宋体"/>
          <w:bCs/>
          <w:szCs w:val="21"/>
        </w:rPr>
      </w:pPr>
      <w:r>
        <w:rPr>
          <w:rFonts w:ascii="宋体" w:hAnsi="宋体" w:cs="宋体"/>
          <w:bCs/>
          <w:szCs w:val="21"/>
        </w:rPr>
        <w:t>7.</w:t>
      </w:r>
      <w:r>
        <w:rPr>
          <w:rFonts w:hint="eastAsia" w:ascii="宋体" w:hAnsi="宋体" w:cs="宋体"/>
          <w:bCs/>
          <w:szCs w:val="21"/>
        </w:rPr>
        <w:t>银行存款、定期存款、债券回购、同业拆借、同业借款等投资品种的利息收入按照权责发生制原则逐日计提。</w:t>
      </w:r>
    </w:p>
    <w:p>
      <w:pPr>
        <w:tabs>
          <w:tab w:val="left" w:pos="540"/>
        </w:tabs>
        <w:spacing w:line="360" w:lineRule="auto"/>
        <w:ind w:firstLine="420" w:firstLineChars="200"/>
        <w:rPr>
          <w:rFonts w:ascii="宋体" w:hAnsi="宋体" w:cs="宋体"/>
          <w:bCs/>
          <w:szCs w:val="21"/>
        </w:rPr>
      </w:pPr>
      <w:r>
        <w:rPr>
          <w:rFonts w:hint="eastAsia" w:ascii="宋体" w:hAnsi="宋体" w:cs="宋体"/>
          <w:bCs/>
          <w:szCs w:val="21"/>
          <w:lang w:val="en-US" w:eastAsia="zh-CN"/>
        </w:rPr>
        <w:t>8</w:t>
      </w:r>
      <w:r>
        <w:rPr>
          <w:rFonts w:ascii="宋体" w:hAnsi="宋体" w:cs="宋体"/>
          <w:bCs/>
          <w:szCs w:val="21"/>
        </w:rPr>
        <w:t>.投资于其他资产存在并可以确定公允价值的，以公允价值计算；若公允价值不能确定的</w:t>
      </w:r>
      <w:r>
        <w:rPr>
          <w:rFonts w:hint="eastAsia" w:ascii="宋体" w:hAnsi="宋体" w:cs="宋体"/>
          <w:bCs/>
          <w:szCs w:val="21"/>
        </w:rPr>
        <w:t>可采用估值技术确定</w:t>
      </w:r>
      <w:r>
        <w:rPr>
          <w:rFonts w:ascii="宋体" w:hAnsi="宋体" w:cs="宋体"/>
          <w:bCs/>
          <w:szCs w:val="21"/>
        </w:rPr>
        <w:t>；有确定的预期收益，则每天计提利息；如无确定的预期收益，则不计提利息；实际利息以到期金额为准。</w:t>
      </w:r>
    </w:p>
    <w:p>
      <w:pPr>
        <w:tabs>
          <w:tab w:val="left" w:pos="540"/>
        </w:tabs>
        <w:spacing w:line="360" w:lineRule="auto"/>
        <w:ind w:firstLine="420" w:firstLineChars="200"/>
        <w:rPr>
          <w:rFonts w:ascii="宋体" w:hAnsi="宋体" w:cs="宋体"/>
          <w:bCs/>
          <w:szCs w:val="21"/>
        </w:rPr>
      </w:pPr>
      <w:r>
        <w:rPr>
          <w:rFonts w:hint="eastAsia" w:ascii="宋体" w:hAnsi="宋体" w:cs="宋体"/>
          <w:bCs/>
          <w:szCs w:val="21"/>
          <w:lang w:val="en-US" w:eastAsia="zh-CN"/>
        </w:rPr>
        <w:t>9</w:t>
      </w:r>
      <w:r>
        <w:rPr>
          <w:rFonts w:ascii="宋体" w:hAnsi="宋体" w:cs="宋体"/>
          <w:bCs/>
          <w:szCs w:val="21"/>
        </w:rPr>
        <w:t>.相关法律法规以及监管部门有强制规定的，从其规定。如有新增事项或变更事项，依法按最新规定计算。没有相关规定的，由产品管理人与托管人协商确定计算方法。</w:t>
      </w:r>
    </w:p>
    <w:p>
      <w:pPr>
        <w:spacing w:line="360" w:lineRule="auto"/>
        <w:ind w:firstLine="420" w:firstLineChars="200"/>
        <w:rPr>
          <w:rFonts w:ascii="宋体" w:hAnsi="宋体" w:cs="宋体"/>
          <w:b/>
          <w:bCs/>
          <w:snapToGrid w:val="0"/>
          <w:szCs w:val="21"/>
        </w:rPr>
      </w:pPr>
      <w:r>
        <w:rPr>
          <w:rFonts w:hint="eastAsia" w:ascii="宋体" w:hAnsi="宋体" w:cs="宋体"/>
          <w:bCs/>
          <w:szCs w:val="21"/>
          <w:lang w:val="en-US" w:eastAsia="zh-CN"/>
        </w:rPr>
        <w:t>10</w:t>
      </w:r>
      <w:r>
        <w:rPr>
          <w:rFonts w:ascii="宋体" w:hAnsi="宋体" w:cs="宋体"/>
          <w:bCs/>
          <w:szCs w:val="21"/>
        </w:rPr>
        <w:t>.如有确凿证据表明按上述规定不能客观反映理财产品财产公允价值的，产品管理人可根据具体情况，在与托管人商议后，按最能反映理财产品财产公允价值的方法估值。即使存在上述情况，产品管理人或托管人若采用上述规定的方法为理财产品财产进行了估值，仍应被认为采用了适当的估值方法。</w:t>
      </w:r>
    </w:p>
    <w:p>
      <w:pPr>
        <w:spacing w:line="360" w:lineRule="auto"/>
        <w:ind w:firstLine="422" w:firstLineChars="200"/>
        <w:rPr>
          <w:rFonts w:ascii="宋体" w:hAnsi="宋体" w:cs="宋体"/>
          <w:b/>
          <w:bCs/>
          <w:snapToGrid w:val="0"/>
          <w:szCs w:val="21"/>
        </w:rPr>
      </w:pPr>
      <w:r>
        <w:rPr>
          <w:rFonts w:hint="eastAsia" w:ascii="宋体" w:hAnsi="宋体" w:cs="宋体"/>
          <w:b/>
          <w:bCs/>
          <w:snapToGrid w:val="0"/>
          <w:szCs w:val="21"/>
        </w:rPr>
        <w:t>（四）估值错误的处理</w:t>
      </w:r>
    </w:p>
    <w:p>
      <w:pPr>
        <w:tabs>
          <w:tab w:val="left" w:pos="0"/>
        </w:tabs>
        <w:spacing w:line="360" w:lineRule="auto"/>
        <w:ind w:firstLine="420" w:firstLineChars="200"/>
        <w:rPr>
          <w:rFonts w:ascii="宋体" w:hAnsi="宋体" w:cs="宋体"/>
          <w:szCs w:val="21"/>
        </w:rPr>
      </w:pPr>
      <w:r>
        <w:rPr>
          <w:rFonts w:hint="eastAsia" w:ascii="宋体" w:hAnsi="宋体" w:cs="宋体"/>
          <w:szCs w:val="21"/>
        </w:rPr>
        <w:t>产品管理人和产品托管人将采取必要、适当合理的措施确保产品资产估值的准确性、及时性。当产品单位净值出现错误时，产品管理人应当立即予以纠正，并采取合理的措施防止损失进一步扩大。由于本理财产品估值所用的数据来源中出现错误，或由于其它不可抗力原因，产品管理人和产品托管人虽然已采取必要、适当、合理的措施进行检查，但是未能发现该错误的，由此造成的产品估值错误，产品管理人和产品托管人免除赔偿责任。但产品管理人和产品托管人应当积极采取必要的措施消除由此造成的影响。</w:t>
      </w:r>
    </w:p>
    <w:p>
      <w:pPr>
        <w:spacing w:line="360" w:lineRule="auto"/>
        <w:ind w:firstLine="422" w:firstLineChars="200"/>
        <w:rPr>
          <w:rFonts w:ascii="宋体" w:hAnsi="宋体" w:cs="宋体"/>
          <w:b/>
          <w:bCs/>
          <w:snapToGrid w:val="0"/>
          <w:szCs w:val="21"/>
        </w:rPr>
      </w:pPr>
      <w:r>
        <w:rPr>
          <w:rFonts w:hint="eastAsia" w:ascii="宋体" w:hAnsi="宋体" w:cs="宋体"/>
          <w:b/>
          <w:bCs/>
          <w:snapToGrid w:val="0"/>
          <w:szCs w:val="21"/>
        </w:rPr>
        <w:t>（五）暂停估值</w:t>
      </w:r>
    </w:p>
    <w:p>
      <w:pPr>
        <w:tabs>
          <w:tab w:val="left" w:pos="0"/>
        </w:tabs>
        <w:spacing w:line="360" w:lineRule="auto"/>
        <w:ind w:firstLine="420" w:firstLineChars="200"/>
        <w:rPr>
          <w:rFonts w:ascii="宋体" w:hAnsi="宋体" w:cs="宋体"/>
          <w:szCs w:val="21"/>
        </w:rPr>
      </w:pPr>
      <w:r>
        <w:rPr>
          <w:rFonts w:hint="eastAsia" w:ascii="宋体" w:hAnsi="宋体" w:cs="宋体"/>
          <w:szCs w:val="21"/>
        </w:rPr>
        <w:t>理财产品投资所涉及的证券交易所遇法定节假日或其他原因暂停营业时，或因任何不可抗力致使无法准确评估资产价值时，可暂停估值。但估值条件恢复时，将按规定完成估值工作。</w:t>
      </w:r>
    </w:p>
    <w:p>
      <w:pPr>
        <w:tabs>
          <w:tab w:val="left" w:pos="420"/>
          <w:tab w:val="left" w:pos="720"/>
        </w:tabs>
        <w:spacing w:line="360" w:lineRule="auto"/>
        <w:ind w:firstLine="482" w:firstLineChars="200"/>
        <w:rPr>
          <w:rFonts w:ascii="宋体" w:hAnsi="宋体" w:cs="宋体"/>
          <w:b/>
          <w:bCs/>
          <w:snapToGrid w:val="0"/>
          <w:sz w:val="24"/>
          <w:szCs w:val="24"/>
        </w:rPr>
      </w:pPr>
    </w:p>
    <w:p>
      <w:pPr>
        <w:spacing w:line="360" w:lineRule="auto"/>
        <w:jc w:val="center"/>
        <w:rPr>
          <w:rFonts w:ascii="宋体" w:hAnsi="宋体" w:cs="宋体"/>
          <w:b/>
          <w:bCs/>
          <w:snapToGrid w:val="0"/>
          <w:sz w:val="28"/>
          <w:szCs w:val="28"/>
        </w:rPr>
      </w:pPr>
      <w:r>
        <w:rPr>
          <w:rFonts w:ascii="宋体" w:hAnsi="宋体" w:cs="宋体"/>
          <w:b/>
          <w:bCs/>
          <w:snapToGrid w:val="0"/>
          <w:sz w:val="28"/>
          <w:szCs w:val="28"/>
        </w:rPr>
        <w:t>六、产品运作</w:t>
      </w:r>
    </w:p>
    <w:p>
      <w:pPr>
        <w:tabs>
          <w:tab w:val="left" w:pos="420"/>
          <w:tab w:val="left" w:pos="720"/>
        </w:tabs>
        <w:spacing w:line="360" w:lineRule="auto"/>
        <w:ind w:firstLine="422" w:firstLineChars="200"/>
        <w:rPr>
          <w:rFonts w:ascii="宋体" w:hAnsi="宋体" w:cs="宋体"/>
          <w:b/>
          <w:bCs/>
          <w:snapToGrid w:val="0"/>
          <w:szCs w:val="21"/>
        </w:rPr>
      </w:pPr>
      <w:r>
        <w:rPr>
          <w:rFonts w:hint="eastAsia" w:ascii="宋体" w:hAnsi="宋体" w:cs="宋体"/>
          <w:b/>
          <w:bCs/>
          <w:snapToGrid w:val="0"/>
          <w:szCs w:val="21"/>
        </w:rPr>
        <w:t>特别提示：投资者认（申）购本理财产品必须全额交付认（申）购款项，银保监会另有规定的除外；投资者按规定提交认（申）购申请并全额交付款项的，认（申）购申请成立；认（申）购申请是否生效以产品管理人发出的确认信息为准</w:t>
      </w:r>
      <w:r>
        <w:rPr>
          <w:rFonts w:ascii="宋体" w:hAnsi="宋体" w:cs="宋体"/>
          <w:b/>
          <w:bCs/>
          <w:snapToGrid w:val="0"/>
          <w:szCs w:val="21"/>
        </w:rPr>
        <w:t>，</w:t>
      </w:r>
      <w:r>
        <w:rPr>
          <w:rFonts w:hint="eastAsia" w:ascii="宋体" w:hAnsi="宋体" w:cs="宋体"/>
          <w:b/>
          <w:bCs/>
          <w:snapToGrid w:val="0"/>
          <w:szCs w:val="21"/>
        </w:rPr>
        <w:t>产品管理人</w:t>
      </w:r>
      <w:r>
        <w:rPr>
          <w:rFonts w:ascii="宋体" w:hAnsi="宋体" w:cs="宋体"/>
          <w:b/>
          <w:bCs/>
          <w:snapToGrid w:val="0"/>
          <w:szCs w:val="21"/>
        </w:rPr>
        <w:t>委托销售服务机构向投资者展示</w:t>
      </w:r>
      <w:r>
        <w:rPr>
          <w:rFonts w:hint="eastAsia" w:ascii="宋体" w:hAnsi="宋体" w:cs="宋体"/>
          <w:b/>
          <w:bCs/>
          <w:snapToGrid w:val="0"/>
          <w:szCs w:val="21"/>
        </w:rPr>
        <w:t>。</w:t>
      </w:r>
    </w:p>
    <w:p>
      <w:pPr>
        <w:tabs>
          <w:tab w:val="left" w:pos="420"/>
          <w:tab w:val="left" w:pos="720"/>
        </w:tabs>
        <w:spacing w:line="360" w:lineRule="auto"/>
        <w:ind w:firstLine="422" w:firstLineChars="200"/>
        <w:rPr>
          <w:rFonts w:ascii="宋体" w:hAnsi="宋体" w:cs="宋体"/>
          <w:b/>
          <w:bCs/>
          <w:snapToGrid w:val="0"/>
          <w:szCs w:val="21"/>
        </w:rPr>
      </w:pPr>
      <w:r>
        <w:rPr>
          <w:rFonts w:hint="eastAsia" w:ascii="宋体" w:hAnsi="宋体" w:cs="宋体"/>
          <w:b/>
          <w:bCs/>
          <w:snapToGrid w:val="0"/>
          <w:szCs w:val="21"/>
        </w:rPr>
        <w:t>（一）销售渠道与销售服务机构</w:t>
      </w:r>
    </w:p>
    <w:p>
      <w:pPr>
        <w:tabs>
          <w:tab w:val="left" w:pos="0"/>
        </w:tabs>
        <w:spacing w:line="360" w:lineRule="auto"/>
        <w:ind w:firstLine="420" w:firstLineChars="200"/>
        <w:rPr>
          <w:rFonts w:ascii="宋体" w:hAnsi="宋体" w:cs="宋体"/>
          <w:szCs w:val="21"/>
        </w:rPr>
      </w:pPr>
      <w:r>
        <w:rPr>
          <w:rFonts w:hint="eastAsia" w:ascii="宋体" w:hAnsi="宋体" w:cs="宋体"/>
          <w:szCs w:val="21"/>
        </w:rPr>
        <w:t>本产品的认购、申购与赎回将通过销售机构营业网点或网上销售平台</w:t>
      </w:r>
      <w:r>
        <w:rPr>
          <w:rFonts w:ascii="宋体" w:hAnsi="宋体" w:cs="宋体"/>
          <w:szCs w:val="21"/>
        </w:rPr>
        <w:t>（</w:t>
      </w:r>
      <w:r>
        <w:rPr>
          <w:rFonts w:hint="eastAsia" w:ascii="宋体" w:hAnsi="宋体" w:cs="宋体"/>
          <w:szCs w:val="21"/>
        </w:rPr>
        <w:t>含网上银行、手机银行，具体以销售机构提供的方式为准）进行。本产品销售服务机构包括但不限于光大银行股份有限公司等销售服务机构，其他销售服务机构由产品管理人在官方网站或相关公告中列明。产品管理人可根据情况变更或增减销售服务机构，并在产品管理人官方网站予以公布。</w:t>
      </w:r>
    </w:p>
    <w:p>
      <w:pPr>
        <w:tabs>
          <w:tab w:val="left" w:pos="0"/>
        </w:tabs>
        <w:spacing w:line="360" w:lineRule="auto"/>
        <w:ind w:firstLine="420" w:firstLineChars="200"/>
        <w:rPr>
          <w:rFonts w:ascii="宋体" w:hAnsi="宋体" w:cs="宋体"/>
          <w:szCs w:val="21"/>
        </w:rPr>
      </w:pPr>
      <w:r>
        <w:rPr>
          <w:rFonts w:hint="eastAsia" w:ascii="宋体" w:hAnsi="宋体" w:cs="宋体"/>
          <w:szCs w:val="21"/>
        </w:rPr>
        <w:t>本产品销售服务机构主要信息如下：</w:t>
      </w:r>
    </w:p>
    <w:p>
      <w:pPr>
        <w:tabs>
          <w:tab w:val="left" w:pos="0"/>
        </w:tabs>
        <w:spacing w:line="360" w:lineRule="auto"/>
        <w:ind w:firstLine="420" w:firstLineChars="200"/>
        <w:rPr>
          <w:rFonts w:ascii="宋体" w:hAnsi="宋体" w:cs="宋体"/>
          <w:szCs w:val="21"/>
        </w:rPr>
      </w:pPr>
      <w:r>
        <w:rPr>
          <w:rFonts w:ascii="宋体" w:hAnsi="宋体" w:cs="宋体"/>
          <w:szCs w:val="21"/>
        </w:rPr>
        <w:t>1.</w:t>
      </w:r>
      <w:r>
        <w:rPr>
          <w:rFonts w:hint="eastAsia" w:ascii="宋体" w:hAnsi="宋体" w:cs="宋体"/>
          <w:szCs w:val="21"/>
        </w:rPr>
        <w:t>光大银行股份有限公司</w:t>
      </w:r>
    </w:p>
    <w:tbl>
      <w:tblPr>
        <w:tblStyle w:val="15"/>
        <w:tblW w:w="89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6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951" w:type="dxa"/>
            <w:vAlign w:val="center"/>
          </w:tcPr>
          <w:p>
            <w:pPr>
              <w:tabs>
                <w:tab w:val="left" w:pos="0"/>
              </w:tabs>
              <w:ind w:left="181" w:leftChars="86"/>
              <w:jc w:val="center"/>
              <w:rPr>
                <w:rFonts w:ascii="宋体" w:hAnsi="宋体" w:cs="宋体"/>
                <w:b/>
                <w:bCs/>
                <w:snapToGrid w:val="0"/>
                <w:szCs w:val="21"/>
              </w:rPr>
            </w:pPr>
            <w:r>
              <w:rPr>
                <w:rFonts w:hint="eastAsia" w:ascii="宋体" w:hAnsi="宋体" w:cs="宋体"/>
                <w:b/>
                <w:bCs/>
                <w:snapToGrid w:val="0"/>
                <w:szCs w:val="21"/>
              </w:rPr>
              <w:t>销售服务机构</w:t>
            </w:r>
          </w:p>
        </w:tc>
        <w:tc>
          <w:tcPr>
            <w:tcW w:w="6968" w:type="dxa"/>
            <w:vAlign w:val="center"/>
          </w:tcPr>
          <w:p>
            <w:pPr>
              <w:tabs>
                <w:tab w:val="left" w:pos="0"/>
              </w:tabs>
              <w:ind w:left="181" w:leftChars="86"/>
              <w:jc w:val="center"/>
              <w:rPr>
                <w:rFonts w:ascii="宋体" w:hAnsi="宋体" w:cs="宋体"/>
                <w:snapToGrid w:val="0"/>
                <w:szCs w:val="21"/>
              </w:rPr>
            </w:pPr>
            <w:r>
              <w:rPr>
                <w:rFonts w:hint="eastAsia" w:ascii="宋体" w:hAnsi="宋体" w:cs="宋体"/>
                <w:snapToGrid w:val="0"/>
                <w:szCs w:val="21"/>
              </w:rPr>
              <w:t>中国光大银行股份有限公司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951" w:type="dxa"/>
            <w:vAlign w:val="center"/>
          </w:tcPr>
          <w:p>
            <w:pPr>
              <w:tabs>
                <w:tab w:val="left" w:pos="0"/>
              </w:tabs>
              <w:ind w:left="181" w:leftChars="86"/>
              <w:jc w:val="center"/>
              <w:rPr>
                <w:rFonts w:ascii="宋体" w:hAnsi="宋体" w:cs="宋体"/>
                <w:b/>
                <w:bCs/>
                <w:snapToGrid w:val="0"/>
                <w:szCs w:val="21"/>
              </w:rPr>
            </w:pPr>
            <w:r>
              <w:rPr>
                <w:rFonts w:hint="eastAsia" w:ascii="宋体" w:hAnsi="宋体" w:cs="宋体"/>
                <w:b/>
                <w:bCs/>
                <w:snapToGrid w:val="0"/>
                <w:szCs w:val="21"/>
              </w:rPr>
              <w:t>住所</w:t>
            </w:r>
          </w:p>
        </w:tc>
        <w:tc>
          <w:tcPr>
            <w:tcW w:w="6968" w:type="dxa"/>
            <w:vAlign w:val="center"/>
          </w:tcPr>
          <w:p>
            <w:pPr>
              <w:tabs>
                <w:tab w:val="left" w:pos="0"/>
              </w:tabs>
              <w:ind w:left="181" w:leftChars="86"/>
              <w:jc w:val="center"/>
              <w:rPr>
                <w:rFonts w:ascii="宋体" w:hAnsi="宋体" w:cs="宋体"/>
                <w:snapToGrid w:val="0"/>
                <w:szCs w:val="21"/>
              </w:rPr>
            </w:pPr>
            <w:r>
              <w:rPr>
                <w:rFonts w:hint="eastAsia" w:ascii="宋体" w:hAnsi="宋体" w:cs="宋体"/>
                <w:snapToGrid w:val="0"/>
                <w:szCs w:val="21"/>
              </w:rPr>
              <w:t>北京市西城区太平桥大街25号中国光大中心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951" w:type="dxa"/>
            <w:vAlign w:val="center"/>
          </w:tcPr>
          <w:p>
            <w:pPr>
              <w:tabs>
                <w:tab w:val="left" w:pos="0"/>
              </w:tabs>
              <w:ind w:left="181" w:leftChars="86"/>
              <w:jc w:val="center"/>
              <w:rPr>
                <w:rFonts w:ascii="宋体" w:hAnsi="宋体" w:cs="宋体"/>
                <w:b/>
                <w:bCs/>
                <w:snapToGrid w:val="0"/>
                <w:szCs w:val="21"/>
              </w:rPr>
            </w:pPr>
            <w:r>
              <w:rPr>
                <w:rFonts w:hint="eastAsia" w:ascii="宋体" w:hAnsi="宋体" w:cs="宋体"/>
                <w:b/>
                <w:bCs/>
                <w:snapToGrid w:val="0"/>
                <w:szCs w:val="21"/>
              </w:rPr>
              <w:t>客户服务热线</w:t>
            </w:r>
          </w:p>
        </w:tc>
        <w:tc>
          <w:tcPr>
            <w:tcW w:w="6968" w:type="dxa"/>
            <w:vAlign w:val="center"/>
          </w:tcPr>
          <w:p>
            <w:pPr>
              <w:tabs>
                <w:tab w:val="left" w:pos="0"/>
              </w:tabs>
              <w:ind w:left="181" w:leftChars="86"/>
              <w:jc w:val="center"/>
              <w:rPr>
                <w:rFonts w:ascii="宋体" w:hAnsi="宋体" w:cs="宋体"/>
                <w:snapToGrid w:val="0"/>
                <w:szCs w:val="21"/>
              </w:rPr>
            </w:pPr>
            <w:r>
              <w:rPr>
                <w:rFonts w:hint="eastAsia" w:ascii="宋体" w:hAnsi="宋体" w:cs="宋体"/>
                <w:snapToGrid w:val="0"/>
                <w:szCs w:val="21"/>
              </w:rPr>
              <w:t>95595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951" w:type="dxa"/>
            <w:vAlign w:val="center"/>
          </w:tcPr>
          <w:p>
            <w:pPr>
              <w:tabs>
                <w:tab w:val="left" w:pos="0"/>
              </w:tabs>
              <w:jc w:val="center"/>
              <w:rPr>
                <w:rFonts w:ascii="宋体" w:hAnsi="宋体" w:cs="宋体"/>
                <w:b/>
                <w:bCs/>
                <w:snapToGrid w:val="0"/>
                <w:szCs w:val="21"/>
              </w:rPr>
            </w:pPr>
            <w:r>
              <w:rPr>
                <w:rFonts w:hint="eastAsia" w:ascii="宋体" w:hAnsi="宋体" w:cs="宋体"/>
                <w:b/>
                <w:bCs/>
                <w:snapToGrid w:val="0"/>
                <w:szCs w:val="21"/>
              </w:rPr>
              <w:t>官方网站</w:t>
            </w:r>
          </w:p>
        </w:tc>
        <w:tc>
          <w:tcPr>
            <w:tcW w:w="6968" w:type="dxa"/>
            <w:vAlign w:val="center"/>
          </w:tcPr>
          <w:p>
            <w:pPr>
              <w:tabs>
                <w:tab w:val="left" w:pos="0"/>
              </w:tabs>
              <w:ind w:left="181" w:leftChars="86"/>
              <w:jc w:val="center"/>
              <w:rPr>
                <w:rFonts w:ascii="宋体" w:hAnsi="宋体" w:cs="宋体"/>
                <w:snapToGrid w:val="0"/>
                <w:szCs w:val="21"/>
              </w:rPr>
            </w:pPr>
            <w:r>
              <w:rPr>
                <w:rFonts w:hint="eastAsia" w:ascii="宋体" w:hAnsi="宋体" w:cs="宋体"/>
                <w:snapToGrid w:val="0"/>
                <w:szCs w:val="21"/>
              </w:rPr>
              <w:t>http://www.cebbank.com/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951" w:type="dxa"/>
            <w:vAlign w:val="center"/>
          </w:tcPr>
          <w:p>
            <w:pPr>
              <w:tabs>
                <w:tab w:val="left" w:pos="0"/>
              </w:tabs>
              <w:jc w:val="center"/>
              <w:rPr>
                <w:rFonts w:ascii="宋体" w:hAnsi="宋体" w:cs="宋体"/>
                <w:b/>
                <w:bCs/>
                <w:snapToGrid w:val="0"/>
                <w:szCs w:val="21"/>
              </w:rPr>
            </w:pPr>
            <w:r>
              <w:rPr>
                <w:rFonts w:hint="eastAsia" w:ascii="宋体" w:hAnsi="宋体" w:cs="宋体"/>
                <w:b/>
                <w:bCs/>
                <w:snapToGrid w:val="0"/>
                <w:szCs w:val="21"/>
              </w:rPr>
              <w:t>主要职责</w:t>
            </w:r>
          </w:p>
        </w:tc>
        <w:tc>
          <w:tcPr>
            <w:tcW w:w="6968" w:type="dxa"/>
            <w:vAlign w:val="center"/>
          </w:tcPr>
          <w:p>
            <w:pPr>
              <w:tabs>
                <w:tab w:val="left" w:pos="0"/>
              </w:tabs>
              <w:ind w:left="181" w:leftChars="86"/>
              <w:jc w:val="center"/>
              <w:rPr>
                <w:rFonts w:ascii="宋体" w:hAnsi="宋体" w:cs="宋体"/>
                <w:snapToGrid w:val="0"/>
                <w:szCs w:val="21"/>
              </w:rPr>
            </w:pPr>
            <w:r>
              <w:rPr>
                <w:rFonts w:hint="eastAsia" w:ascii="宋体" w:hAnsi="宋体" w:cs="宋体"/>
                <w:snapToGrid w:val="0"/>
                <w:szCs w:val="21"/>
              </w:rPr>
              <w:t>包括理财产品宣传推广、投资者风险承受能力评估和投资者适当性管理、理财产品份额认购/申购/赎回、配合管理人进行理财产品客户身份识别及反洗钱、反恐怖融资及非居民金融账户涉税信息调查、协助管理人与投资者订立理财产品销售文件、协助管理人与投资者沟通及进行信息披露、接受投资者咨询和客户维护等销售服务。</w:t>
            </w:r>
          </w:p>
        </w:tc>
      </w:tr>
    </w:tbl>
    <w:p>
      <w:pPr>
        <w:tabs>
          <w:tab w:val="left" w:pos="0"/>
        </w:tabs>
        <w:spacing w:line="360" w:lineRule="auto"/>
        <w:ind w:firstLine="422" w:firstLineChars="200"/>
        <w:rPr>
          <w:rFonts w:ascii="宋体" w:hAnsi="宋体" w:cs="宋体"/>
          <w:b/>
          <w:bCs/>
          <w:snapToGrid w:val="0"/>
          <w:szCs w:val="21"/>
        </w:rPr>
      </w:pPr>
      <w:r>
        <w:rPr>
          <w:rFonts w:hint="eastAsia" w:ascii="宋体" w:hAnsi="宋体" w:cs="宋体"/>
          <w:b/>
          <w:bCs/>
          <w:snapToGrid w:val="0"/>
          <w:szCs w:val="21"/>
        </w:rPr>
        <w:t>（二）认购</w:t>
      </w:r>
    </w:p>
    <w:p>
      <w:pPr>
        <w:tabs>
          <w:tab w:val="left" w:pos="0"/>
        </w:tabs>
        <w:spacing w:line="360" w:lineRule="auto"/>
        <w:ind w:firstLine="420" w:firstLineChars="200"/>
        <w:rPr>
          <w:rFonts w:ascii="宋体" w:hAnsi="宋体" w:cs="宋体"/>
          <w:szCs w:val="21"/>
        </w:rPr>
      </w:pPr>
      <w:r>
        <w:rPr>
          <w:rFonts w:ascii="宋体" w:hAnsi="宋体" w:cs="宋体"/>
          <w:szCs w:val="21"/>
        </w:rPr>
        <w:t>1.认购指投资者在募集期开始日至结束日15点前进行的购买行为。产品募集期为</w:t>
      </w:r>
      <w:bookmarkStart w:id="14" w:name="OLE_LINK9"/>
      <w:r>
        <w:rPr>
          <w:rFonts w:ascii="宋体" w:hAnsi="宋体" w:cs="宋体"/>
          <w:szCs w:val="21"/>
        </w:rPr>
        <w:t>2021年</w:t>
      </w:r>
      <w:r>
        <w:rPr>
          <w:rFonts w:hint="eastAsia" w:ascii="宋体" w:hAnsi="宋体" w:cs="宋体"/>
          <w:szCs w:val="21"/>
          <w:lang w:val="en-US" w:eastAsia="zh-CN"/>
        </w:rPr>
        <w:t>9月27日</w:t>
      </w:r>
      <w:r>
        <w:rPr>
          <w:rFonts w:ascii="宋体" w:hAnsi="宋体" w:cs="宋体"/>
          <w:szCs w:val="21"/>
        </w:rPr>
        <w:t>至</w:t>
      </w:r>
      <w:bookmarkEnd w:id="14"/>
      <w:r>
        <w:rPr>
          <w:rFonts w:hint="eastAsia" w:ascii="宋体" w:hAnsi="宋体" w:cs="宋体"/>
          <w:szCs w:val="21"/>
          <w:lang w:val="en-US" w:eastAsia="zh-CN"/>
        </w:rPr>
        <w:t>10月12日</w:t>
      </w:r>
      <w:r>
        <w:rPr>
          <w:rFonts w:hint="eastAsia" w:ascii="宋体" w:hAnsi="宋体" w:cs="宋体"/>
          <w:szCs w:val="21"/>
        </w:rPr>
        <w:t>，管理人有权根据募集情况缩短或延长产品募集期，本产品最长募集期不超过</w:t>
      </w:r>
      <w:r>
        <w:rPr>
          <w:rFonts w:ascii="宋体" w:hAnsi="宋体" w:cs="宋体"/>
          <w:szCs w:val="21"/>
        </w:rPr>
        <w:t>1个月。管理人有权根据实际募集期提前或延后产品成立日期，并将通过</w:t>
      </w:r>
      <w:r>
        <w:rPr>
          <w:rFonts w:hint="eastAsia" w:ascii="宋体" w:hAnsi="宋体" w:cs="宋体"/>
          <w:bCs/>
          <w:szCs w:val="21"/>
        </w:rPr>
        <w:t>产品管理人官方网站或销售服务机构网上销售平台</w:t>
      </w:r>
      <w:r>
        <w:rPr>
          <w:rFonts w:hint="eastAsia" w:ascii="宋体" w:hAnsi="宋体" w:cs="宋体"/>
          <w:szCs w:val="21"/>
        </w:rPr>
        <w:t>进行公布。</w:t>
      </w:r>
    </w:p>
    <w:p>
      <w:pPr>
        <w:tabs>
          <w:tab w:val="left" w:pos="420"/>
          <w:tab w:val="left" w:pos="720"/>
        </w:tabs>
        <w:spacing w:line="360" w:lineRule="auto"/>
        <w:ind w:firstLine="422" w:firstLineChars="200"/>
        <w:rPr>
          <w:rFonts w:ascii="宋体" w:hAnsi="宋体" w:cs="宋体"/>
          <w:szCs w:val="21"/>
        </w:rPr>
      </w:pPr>
      <w:r>
        <w:rPr>
          <w:rFonts w:ascii="宋体" w:hAnsi="宋体" w:cs="宋体"/>
          <w:b/>
          <w:bCs/>
          <w:snapToGrid w:val="0"/>
          <w:szCs w:val="21"/>
        </w:rPr>
        <w:t>2.认购费用：</w:t>
      </w:r>
      <w:r>
        <w:rPr>
          <w:rFonts w:hint="eastAsia" w:ascii="宋体" w:hAnsi="宋体" w:cs="宋体"/>
          <w:szCs w:val="21"/>
        </w:rPr>
        <w:t>本产品免认购费，产品认购时以单位份额净值</w:t>
      </w:r>
      <w:r>
        <w:rPr>
          <w:rFonts w:ascii="宋体" w:hAnsi="宋体" w:cs="宋体"/>
          <w:szCs w:val="21"/>
        </w:rPr>
        <w:t>1.0000元/份为基准进行认购。</w:t>
      </w:r>
    </w:p>
    <w:p>
      <w:pPr>
        <w:tabs>
          <w:tab w:val="left" w:pos="0"/>
        </w:tabs>
        <w:spacing w:line="360" w:lineRule="auto"/>
        <w:ind w:firstLine="422" w:firstLineChars="200"/>
        <w:rPr>
          <w:rFonts w:ascii="宋体" w:hAnsi="宋体" w:cs="宋体"/>
          <w:szCs w:val="21"/>
        </w:rPr>
      </w:pPr>
      <w:r>
        <w:rPr>
          <w:rFonts w:ascii="宋体" w:hAnsi="宋体" w:cs="宋体"/>
          <w:b/>
          <w:bCs/>
          <w:snapToGrid w:val="0"/>
          <w:szCs w:val="21"/>
        </w:rPr>
        <w:t>3.认购份额：</w:t>
      </w:r>
      <w:r>
        <w:rPr>
          <w:rFonts w:hint="eastAsia" w:ascii="宋体" w:hAnsi="宋体" w:cs="宋体"/>
          <w:szCs w:val="21"/>
        </w:rPr>
        <w:t>本产品采用金额认购方法，认购时计算方法如下：</w:t>
      </w:r>
    </w:p>
    <w:p>
      <w:pPr>
        <w:tabs>
          <w:tab w:val="left" w:pos="0"/>
        </w:tabs>
        <w:spacing w:line="360" w:lineRule="auto"/>
        <w:ind w:firstLine="420" w:firstLineChars="200"/>
        <w:rPr>
          <w:rFonts w:ascii="宋体" w:hAnsi="宋体" w:cs="宋体"/>
          <w:szCs w:val="21"/>
        </w:rPr>
      </w:pPr>
      <w:r>
        <w:rPr>
          <w:rFonts w:hint="eastAsia" w:ascii="宋体" w:hAnsi="宋体" w:cs="宋体"/>
          <w:szCs w:val="21"/>
        </w:rPr>
        <w:t>净认购金额</w:t>
      </w:r>
      <w:r>
        <w:rPr>
          <w:rFonts w:ascii="宋体" w:hAnsi="宋体" w:cs="宋体"/>
          <w:szCs w:val="21"/>
        </w:rPr>
        <w:t>=认购金额/</w:t>
      </w:r>
      <w:r>
        <w:rPr>
          <w:rFonts w:hint="eastAsia" w:ascii="宋体" w:hAnsi="宋体" w:cs="宋体"/>
          <w:szCs w:val="21"/>
        </w:rPr>
        <w:t>（</w:t>
      </w:r>
      <w:r>
        <w:rPr>
          <w:rFonts w:ascii="宋体" w:hAnsi="宋体" w:cs="宋体"/>
          <w:szCs w:val="21"/>
        </w:rPr>
        <w:t>1+认购费率</w:t>
      </w:r>
      <w:r>
        <w:rPr>
          <w:rFonts w:hint="eastAsia" w:ascii="宋体" w:hAnsi="宋体" w:cs="宋体"/>
          <w:szCs w:val="21"/>
        </w:rPr>
        <w:t>）</w:t>
      </w:r>
    </w:p>
    <w:p>
      <w:pPr>
        <w:tabs>
          <w:tab w:val="left" w:pos="0"/>
        </w:tabs>
        <w:spacing w:line="360" w:lineRule="auto"/>
        <w:ind w:firstLine="420" w:firstLineChars="200"/>
        <w:rPr>
          <w:rFonts w:ascii="宋体" w:hAnsi="宋体" w:cs="宋体"/>
          <w:szCs w:val="21"/>
        </w:rPr>
      </w:pPr>
      <w:r>
        <w:rPr>
          <w:rFonts w:hint="eastAsia" w:ascii="宋体" w:hAnsi="宋体" w:cs="宋体"/>
          <w:szCs w:val="21"/>
        </w:rPr>
        <w:t>认购费用＝净认购金额×认购费率</w:t>
      </w:r>
    </w:p>
    <w:p>
      <w:pPr>
        <w:tabs>
          <w:tab w:val="left" w:pos="420"/>
          <w:tab w:val="left" w:pos="720"/>
        </w:tabs>
        <w:spacing w:line="360" w:lineRule="auto"/>
        <w:ind w:firstLine="420" w:firstLineChars="200"/>
        <w:rPr>
          <w:rFonts w:ascii="宋体" w:hAnsi="宋体" w:cs="宋体"/>
          <w:snapToGrid w:val="0"/>
          <w:szCs w:val="21"/>
        </w:rPr>
      </w:pPr>
      <w:r>
        <w:rPr>
          <w:rFonts w:hint="eastAsia" w:ascii="宋体" w:hAnsi="宋体" w:cs="宋体"/>
          <w:snapToGrid w:val="0"/>
          <w:szCs w:val="21"/>
        </w:rPr>
        <w:t>认购份额＝净认购金额</w:t>
      </w:r>
      <w:r>
        <w:rPr>
          <w:rFonts w:ascii="宋体" w:hAnsi="宋体" w:cs="宋体"/>
          <w:snapToGrid w:val="0"/>
          <w:szCs w:val="21"/>
        </w:rPr>
        <w:t>/产品单位份额面值</w:t>
      </w:r>
    </w:p>
    <w:p>
      <w:pPr>
        <w:tabs>
          <w:tab w:val="left" w:pos="420"/>
          <w:tab w:val="left" w:pos="720"/>
        </w:tabs>
        <w:spacing w:line="360" w:lineRule="auto"/>
        <w:ind w:firstLine="420" w:firstLineChars="200"/>
        <w:rPr>
          <w:rFonts w:ascii="宋体" w:hAnsi="宋体" w:cs="宋体"/>
          <w:snapToGrid w:val="0"/>
          <w:szCs w:val="21"/>
        </w:rPr>
      </w:pPr>
      <w:r>
        <w:rPr>
          <w:rFonts w:hint="eastAsia" w:ascii="宋体" w:hAnsi="宋体" w:cs="宋体"/>
          <w:snapToGrid w:val="0"/>
          <w:szCs w:val="21"/>
        </w:rPr>
        <w:t>认购份额以四舍五入的方法保留到小数点后两位。</w:t>
      </w:r>
    </w:p>
    <w:p>
      <w:pPr>
        <w:tabs>
          <w:tab w:val="left" w:pos="420"/>
          <w:tab w:val="left" w:pos="720"/>
        </w:tabs>
        <w:spacing w:line="360" w:lineRule="auto"/>
        <w:ind w:firstLine="422" w:firstLineChars="200"/>
        <w:rPr>
          <w:rFonts w:ascii="宋体" w:hAnsi="宋体" w:cs="宋体"/>
          <w:snapToGrid w:val="0"/>
          <w:szCs w:val="21"/>
        </w:rPr>
      </w:pPr>
      <w:r>
        <w:rPr>
          <w:rFonts w:ascii="宋体" w:hAnsi="宋体" w:cs="宋体"/>
          <w:b/>
          <w:bCs/>
          <w:snapToGrid w:val="0"/>
          <w:szCs w:val="21"/>
        </w:rPr>
        <w:t>4.认购金额：</w:t>
      </w:r>
      <w:r>
        <w:rPr>
          <w:rFonts w:hint="eastAsia" w:ascii="宋体" w:hAnsi="宋体" w:cs="宋体"/>
          <w:snapToGrid w:val="0"/>
          <w:szCs w:val="21"/>
        </w:rPr>
        <w:t>投资者在募集期内可以多次认购，其中：</w:t>
      </w:r>
    </w:p>
    <w:p>
      <w:pPr>
        <w:spacing w:line="360" w:lineRule="auto"/>
        <w:ind w:firstLine="420" w:firstLineChars="200"/>
        <w:rPr>
          <w:rFonts w:ascii="宋体" w:hAnsi="宋体" w:cs="宋体"/>
          <w:bCs/>
          <w:kern w:val="0"/>
          <w:szCs w:val="21"/>
          <w:lang w:bidi="bn-IN"/>
        </w:rPr>
      </w:pPr>
      <w:r>
        <w:rPr>
          <w:rFonts w:hint="eastAsia" w:ascii="宋体" w:hAnsi="宋体" w:cs="宋体"/>
          <w:bCs/>
          <w:kern w:val="0"/>
          <w:szCs w:val="21"/>
          <w:lang w:bidi="bn-IN"/>
        </w:rPr>
        <w:t>个人投资者</w:t>
      </w:r>
      <w:r>
        <w:rPr>
          <w:rFonts w:ascii="宋体" w:hAnsi="宋体" w:cs="宋体"/>
          <w:bCs/>
          <w:kern w:val="0"/>
          <w:szCs w:val="21"/>
          <w:lang w:bidi="bn-IN"/>
        </w:rPr>
        <w:t>的</w:t>
      </w:r>
      <w:r>
        <w:rPr>
          <w:rFonts w:hint="eastAsia" w:ascii="宋体" w:hAnsi="宋体" w:cs="宋体"/>
          <w:bCs/>
          <w:kern w:val="0"/>
          <w:szCs w:val="21"/>
          <w:lang w:bidi="bn-IN"/>
        </w:rPr>
        <w:t>初次认购金额</w:t>
      </w:r>
      <w:r>
        <w:rPr>
          <w:rFonts w:ascii="宋体" w:hAnsi="宋体" w:cs="宋体"/>
          <w:bCs/>
          <w:kern w:val="0"/>
          <w:szCs w:val="21"/>
          <w:lang w:bidi="bn-IN"/>
        </w:rPr>
        <w:t>均</w:t>
      </w:r>
      <w:r>
        <w:rPr>
          <w:rFonts w:hint="eastAsia" w:ascii="宋体" w:hAnsi="宋体" w:cs="宋体"/>
          <w:bCs/>
          <w:kern w:val="0"/>
          <w:szCs w:val="21"/>
          <w:lang w:bidi="bn-IN"/>
        </w:rPr>
        <w:t>不低于人民币100</w:t>
      </w:r>
      <w:r>
        <w:rPr>
          <w:rFonts w:ascii="宋体" w:hAnsi="宋体" w:cs="宋体"/>
          <w:bCs/>
          <w:kern w:val="0"/>
          <w:szCs w:val="21"/>
          <w:lang w:bidi="bn-IN"/>
        </w:rPr>
        <w:t>元</w:t>
      </w:r>
      <w:r>
        <w:rPr>
          <w:rFonts w:hint="eastAsia" w:ascii="宋体" w:hAnsi="宋体" w:cs="宋体"/>
          <w:bCs/>
          <w:kern w:val="0"/>
          <w:szCs w:val="21"/>
          <w:lang w:bidi="bn-IN"/>
        </w:rPr>
        <w:t>，后续单笔认购金额须高于人民币1</w:t>
      </w:r>
      <w:r>
        <w:rPr>
          <w:rFonts w:ascii="宋体" w:hAnsi="宋体" w:cs="宋体"/>
          <w:bCs/>
          <w:kern w:val="0"/>
          <w:szCs w:val="21"/>
          <w:lang w:bidi="bn-IN"/>
        </w:rPr>
        <w:t>元</w:t>
      </w:r>
      <w:r>
        <w:rPr>
          <w:rFonts w:hint="eastAsia" w:ascii="宋体" w:hAnsi="宋体" w:cs="宋体"/>
          <w:bCs/>
          <w:kern w:val="0"/>
          <w:szCs w:val="21"/>
          <w:lang w:bidi="bn-IN"/>
        </w:rPr>
        <w:t>，且为1</w:t>
      </w:r>
      <w:r>
        <w:rPr>
          <w:rFonts w:ascii="宋体" w:hAnsi="宋体" w:cs="宋体"/>
          <w:bCs/>
          <w:kern w:val="0"/>
          <w:szCs w:val="21"/>
          <w:lang w:bidi="bn-IN"/>
        </w:rPr>
        <w:t>元</w:t>
      </w:r>
      <w:r>
        <w:rPr>
          <w:rFonts w:hint="eastAsia" w:ascii="宋体" w:hAnsi="宋体" w:cs="宋体"/>
          <w:bCs/>
          <w:kern w:val="0"/>
          <w:szCs w:val="21"/>
          <w:lang w:bidi="bn-IN"/>
        </w:rPr>
        <w:t>的整倍。</w:t>
      </w:r>
    </w:p>
    <w:p>
      <w:pPr>
        <w:spacing w:line="360" w:lineRule="auto"/>
        <w:ind w:firstLine="420" w:firstLineChars="200"/>
        <w:rPr>
          <w:rFonts w:ascii="宋体" w:hAnsi="宋体" w:cs="宋体"/>
          <w:bCs/>
          <w:kern w:val="0"/>
          <w:szCs w:val="21"/>
          <w:lang w:bidi="bn-IN"/>
        </w:rPr>
      </w:pPr>
      <w:r>
        <w:rPr>
          <w:rFonts w:hint="eastAsia" w:ascii="宋体" w:hAnsi="宋体" w:cs="宋体"/>
          <w:snapToGrid w:val="0"/>
          <w:szCs w:val="21"/>
        </w:rPr>
        <w:t>机构投资者</w:t>
      </w:r>
      <w:r>
        <w:rPr>
          <w:rFonts w:hint="eastAsia" w:ascii="宋体" w:hAnsi="宋体" w:cs="宋体"/>
          <w:snapToGrid w:val="0"/>
          <w:szCs w:val="21"/>
          <w:lang w:bidi="bn-IN"/>
        </w:rPr>
        <w:t>的初次认购金额均不低于人民币</w:t>
      </w:r>
      <w:r>
        <w:rPr>
          <w:rFonts w:hint="eastAsia" w:ascii="宋体" w:hAnsi="宋体" w:cs="宋体"/>
          <w:bCs/>
          <w:kern w:val="0"/>
          <w:szCs w:val="21"/>
          <w:lang w:bidi="bn-IN"/>
        </w:rPr>
        <w:t>10万元</w:t>
      </w:r>
      <w:r>
        <w:rPr>
          <w:rFonts w:ascii="宋体" w:hAnsi="宋体" w:cs="宋体"/>
          <w:bCs/>
          <w:kern w:val="0"/>
          <w:szCs w:val="21"/>
          <w:lang w:bidi="bn-IN"/>
        </w:rPr>
        <w:t>，后续单笔认购金额须高于人民币</w:t>
      </w:r>
      <w:r>
        <w:rPr>
          <w:rFonts w:hint="eastAsia" w:ascii="宋体" w:hAnsi="宋体" w:cs="宋体"/>
          <w:bCs/>
          <w:kern w:val="0"/>
          <w:szCs w:val="21"/>
          <w:lang w:bidi="bn-IN"/>
        </w:rPr>
        <w:t>1万</w:t>
      </w:r>
      <w:r>
        <w:rPr>
          <w:rFonts w:ascii="宋体" w:hAnsi="宋体" w:cs="宋体"/>
          <w:bCs/>
          <w:kern w:val="0"/>
          <w:szCs w:val="21"/>
          <w:lang w:bidi="bn-IN"/>
        </w:rPr>
        <w:t>元，且为</w:t>
      </w:r>
      <w:r>
        <w:rPr>
          <w:rFonts w:hint="eastAsia" w:ascii="宋体" w:hAnsi="宋体" w:cs="宋体"/>
          <w:bCs/>
          <w:kern w:val="0"/>
          <w:szCs w:val="21"/>
          <w:lang w:bidi="bn-IN"/>
        </w:rPr>
        <w:t>1万</w:t>
      </w:r>
      <w:r>
        <w:rPr>
          <w:rFonts w:ascii="宋体" w:hAnsi="宋体" w:cs="宋体"/>
          <w:bCs/>
          <w:kern w:val="0"/>
          <w:szCs w:val="21"/>
          <w:lang w:bidi="bn-IN"/>
        </w:rPr>
        <w:t>元的整</w:t>
      </w:r>
      <w:r>
        <w:rPr>
          <w:rFonts w:hint="eastAsia" w:ascii="宋体" w:hAnsi="宋体" w:cs="宋体"/>
          <w:bCs/>
          <w:kern w:val="0"/>
          <w:szCs w:val="21"/>
          <w:lang w:bidi="bn-IN"/>
        </w:rPr>
        <w:t>倍。</w:t>
      </w:r>
    </w:p>
    <w:p>
      <w:pPr>
        <w:tabs>
          <w:tab w:val="left" w:pos="420"/>
          <w:tab w:val="left" w:pos="720"/>
        </w:tabs>
        <w:spacing w:line="360" w:lineRule="auto"/>
        <w:ind w:firstLine="420" w:firstLineChars="200"/>
        <w:rPr>
          <w:rFonts w:ascii="宋体" w:hAnsi="宋体" w:cs="宋体"/>
          <w:snapToGrid w:val="0"/>
          <w:szCs w:val="21"/>
        </w:rPr>
      </w:pPr>
      <w:r>
        <w:rPr>
          <w:rFonts w:hint="eastAsia" w:ascii="宋体" w:hAnsi="宋体" w:cs="宋体"/>
          <w:snapToGrid w:val="0"/>
          <w:szCs w:val="21"/>
        </w:rPr>
        <w:t>如投资者在认购期内多次认购，则认购费用按合并金额的费率分笔计算。</w:t>
      </w:r>
    </w:p>
    <w:p>
      <w:pPr>
        <w:tabs>
          <w:tab w:val="left" w:pos="420"/>
          <w:tab w:val="left" w:pos="720"/>
        </w:tabs>
        <w:spacing w:line="360" w:lineRule="auto"/>
        <w:ind w:firstLine="422" w:firstLineChars="200"/>
        <w:rPr>
          <w:rFonts w:ascii="宋体" w:hAnsi="宋体" w:cs="宋体"/>
          <w:snapToGrid w:val="0"/>
          <w:szCs w:val="21"/>
        </w:rPr>
      </w:pPr>
      <w:r>
        <w:rPr>
          <w:rFonts w:ascii="宋体" w:hAnsi="宋体" w:cs="宋体"/>
          <w:b/>
          <w:bCs/>
          <w:snapToGrid w:val="0"/>
          <w:szCs w:val="21"/>
        </w:rPr>
        <w:t>5.认购确认：</w:t>
      </w:r>
      <w:r>
        <w:rPr>
          <w:rFonts w:hint="eastAsia" w:ascii="宋体" w:hAnsi="宋体" w:cs="宋体"/>
          <w:snapToGrid w:val="0"/>
          <w:szCs w:val="21"/>
        </w:rPr>
        <w:t>销售服务机构受理认购申请并不代表对该申请成功的确认，而仅代表其收到了认购申请，申请是否成功应以管理人的确认为准。本产品认购份额确认日为本产品成立日。</w:t>
      </w:r>
    </w:p>
    <w:p>
      <w:pPr>
        <w:tabs>
          <w:tab w:val="left" w:pos="420"/>
          <w:tab w:val="left" w:pos="720"/>
        </w:tabs>
        <w:spacing w:line="360" w:lineRule="auto"/>
        <w:ind w:firstLine="422" w:firstLineChars="200"/>
        <w:rPr>
          <w:rFonts w:ascii="宋体" w:hAnsi="宋体" w:cs="宋体"/>
          <w:snapToGrid w:val="0"/>
          <w:szCs w:val="21"/>
        </w:rPr>
      </w:pPr>
      <w:r>
        <w:rPr>
          <w:rFonts w:ascii="宋体" w:hAnsi="宋体" w:cs="宋体"/>
          <w:b/>
          <w:bCs/>
          <w:snapToGrid w:val="0"/>
          <w:szCs w:val="21"/>
        </w:rPr>
        <w:t>6.认购撤销：</w:t>
      </w:r>
      <w:r>
        <w:rPr>
          <w:rFonts w:hint="eastAsia" w:ascii="宋体" w:hAnsi="宋体" w:cs="宋体"/>
          <w:snapToGrid w:val="0"/>
          <w:szCs w:val="21"/>
        </w:rPr>
        <w:t>认购期内，投资者可以撤销其已提交的认购申请，具体请以销售服务机构规定为准。已经由系统处理并确认的认购申请不得撤销。</w:t>
      </w:r>
    </w:p>
    <w:p>
      <w:pPr>
        <w:tabs>
          <w:tab w:val="left" w:pos="0"/>
        </w:tabs>
        <w:spacing w:line="360" w:lineRule="auto"/>
        <w:ind w:firstLine="422" w:firstLineChars="200"/>
        <w:rPr>
          <w:rFonts w:ascii="宋体" w:hAnsi="宋体" w:cs="宋体"/>
          <w:b/>
          <w:kern w:val="0"/>
          <w:szCs w:val="21"/>
        </w:rPr>
      </w:pPr>
      <w:r>
        <w:rPr>
          <w:rFonts w:ascii="宋体" w:hAnsi="宋体" w:cs="宋体"/>
          <w:b/>
          <w:kern w:val="0"/>
          <w:szCs w:val="21"/>
          <w:lang w:bidi="ar"/>
        </w:rPr>
        <w:t>7.拒绝或暂停接受认购的情形及处理</w:t>
      </w:r>
    </w:p>
    <w:p>
      <w:pPr>
        <w:tabs>
          <w:tab w:val="left" w:pos="0"/>
        </w:tabs>
        <w:spacing w:line="360" w:lineRule="auto"/>
        <w:ind w:firstLine="420" w:firstLineChars="200"/>
        <w:rPr>
          <w:rFonts w:ascii="宋体" w:hAnsi="宋体" w:cs="宋体"/>
          <w:szCs w:val="21"/>
        </w:rPr>
      </w:pPr>
      <w:r>
        <w:rPr>
          <w:rFonts w:hint="eastAsia" w:ascii="宋体" w:hAnsi="宋体" w:cs="宋体"/>
          <w:szCs w:val="21"/>
        </w:rPr>
        <w:t>（</w:t>
      </w:r>
      <w:r>
        <w:rPr>
          <w:rFonts w:ascii="宋体" w:hAnsi="宋体" w:cs="宋体"/>
          <w:szCs w:val="21"/>
        </w:rPr>
        <w:t>1）除下列情形外，管理人不得拒绝接受或暂停接受投资者的认购申请：</w:t>
      </w:r>
    </w:p>
    <w:p>
      <w:pPr>
        <w:tabs>
          <w:tab w:val="left" w:pos="0"/>
        </w:tabs>
        <w:spacing w:line="360" w:lineRule="auto"/>
        <w:ind w:firstLine="420" w:firstLineChars="200"/>
        <w:rPr>
          <w:rFonts w:ascii="宋体" w:hAnsi="宋体" w:cs="宋体"/>
          <w:szCs w:val="21"/>
        </w:rPr>
      </w:pPr>
      <w:r>
        <w:rPr>
          <w:rFonts w:hint="eastAsia" w:ascii="宋体" w:hAnsi="宋体" w:cs="宋体"/>
          <w:szCs w:val="21"/>
        </w:rPr>
        <w:t>①不可抗力的原因导致产品无法正常成立；</w:t>
      </w:r>
    </w:p>
    <w:p>
      <w:pPr>
        <w:tabs>
          <w:tab w:val="left" w:pos="0"/>
        </w:tabs>
        <w:spacing w:line="360" w:lineRule="auto"/>
        <w:ind w:firstLine="420" w:firstLineChars="200"/>
        <w:rPr>
          <w:rFonts w:ascii="宋体" w:hAnsi="宋体" w:cs="宋体"/>
          <w:szCs w:val="21"/>
        </w:rPr>
      </w:pPr>
      <w:r>
        <w:rPr>
          <w:rFonts w:hint="eastAsia" w:ascii="宋体" w:hAnsi="宋体" w:cs="宋体"/>
          <w:szCs w:val="21"/>
        </w:rPr>
        <w:t>②超过产品募集规模上限；</w:t>
      </w:r>
    </w:p>
    <w:p>
      <w:pPr>
        <w:tabs>
          <w:tab w:val="left" w:pos="0"/>
        </w:tabs>
        <w:spacing w:line="360" w:lineRule="auto"/>
        <w:ind w:firstLine="420" w:firstLineChars="200"/>
        <w:rPr>
          <w:rFonts w:ascii="宋体" w:hAnsi="宋体" w:cs="宋体"/>
          <w:szCs w:val="21"/>
        </w:rPr>
      </w:pPr>
      <w:r>
        <w:rPr>
          <w:rFonts w:hint="eastAsia" w:ascii="宋体" w:hAnsi="宋体" w:cs="宋体"/>
          <w:szCs w:val="21"/>
        </w:rPr>
        <w:t>③投资者认购超过个人</w:t>
      </w:r>
      <w:r>
        <w:rPr>
          <w:rFonts w:ascii="宋体" w:hAnsi="宋体" w:cs="宋体"/>
          <w:szCs w:val="21"/>
        </w:rPr>
        <w:t>/机构投资者持有上限；</w:t>
      </w:r>
    </w:p>
    <w:p>
      <w:pPr>
        <w:tabs>
          <w:tab w:val="left" w:pos="0"/>
        </w:tabs>
        <w:spacing w:line="360" w:lineRule="auto"/>
        <w:ind w:firstLine="420" w:firstLineChars="200"/>
        <w:rPr>
          <w:rFonts w:ascii="宋体" w:hAnsi="宋体" w:cs="宋体"/>
          <w:szCs w:val="21"/>
        </w:rPr>
      </w:pPr>
      <w:r>
        <w:rPr>
          <w:rFonts w:hint="eastAsia" w:ascii="宋体" w:hAnsi="宋体" w:cs="宋体"/>
          <w:szCs w:val="21"/>
        </w:rPr>
        <w:t>④当产品管理人认为某笔认购申请会有损于其他产品份额持有人利益时，可拒绝该笔认购申请；</w:t>
      </w:r>
    </w:p>
    <w:p>
      <w:pPr>
        <w:tabs>
          <w:tab w:val="left" w:pos="0"/>
        </w:tabs>
        <w:spacing w:line="360" w:lineRule="auto"/>
        <w:ind w:firstLine="420" w:firstLineChars="200"/>
        <w:rPr>
          <w:rFonts w:ascii="宋体" w:hAnsi="宋体" w:cs="宋体"/>
          <w:szCs w:val="21"/>
        </w:rPr>
      </w:pPr>
      <w:r>
        <w:rPr>
          <w:rFonts w:hint="eastAsia" w:ascii="宋体" w:hAnsi="宋体" w:cs="宋体"/>
          <w:szCs w:val="21"/>
        </w:rPr>
        <w:t>⑤法律、法规规定认定的其他情形。</w:t>
      </w:r>
    </w:p>
    <w:p>
      <w:pPr>
        <w:tabs>
          <w:tab w:val="left" w:pos="0"/>
        </w:tabs>
        <w:spacing w:line="360" w:lineRule="auto"/>
        <w:ind w:firstLine="420" w:firstLineChars="200"/>
        <w:rPr>
          <w:rFonts w:ascii="宋体" w:hAnsi="宋体" w:cs="宋体"/>
          <w:szCs w:val="21"/>
        </w:rPr>
      </w:pPr>
      <w:r>
        <w:rPr>
          <w:rFonts w:hint="eastAsia" w:ascii="宋体" w:hAnsi="宋体" w:cs="宋体"/>
          <w:szCs w:val="21"/>
        </w:rPr>
        <w:t>如果投资者的认购申请被拒绝，被拒绝的认购款项本金将全额退还给投资者。</w:t>
      </w:r>
    </w:p>
    <w:p>
      <w:pPr>
        <w:tabs>
          <w:tab w:val="left" w:pos="420"/>
          <w:tab w:val="left" w:pos="720"/>
        </w:tabs>
        <w:spacing w:line="360" w:lineRule="auto"/>
        <w:ind w:firstLine="422" w:firstLineChars="200"/>
        <w:rPr>
          <w:rFonts w:ascii="宋体" w:hAnsi="宋体" w:cs="宋体"/>
          <w:b/>
          <w:bCs/>
          <w:snapToGrid w:val="0"/>
          <w:szCs w:val="21"/>
        </w:rPr>
      </w:pPr>
      <w:r>
        <w:rPr>
          <w:rFonts w:hint="eastAsia" w:ascii="宋体" w:hAnsi="宋体" w:cs="宋体"/>
          <w:b/>
          <w:bCs/>
          <w:snapToGrid w:val="0"/>
          <w:szCs w:val="21"/>
        </w:rPr>
        <w:t>（三）申购与赎回</w:t>
      </w:r>
    </w:p>
    <w:p>
      <w:pPr>
        <w:tabs>
          <w:tab w:val="left" w:pos="0"/>
        </w:tabs>
        <w:spacing w:line="360" w:lineRule="auto"/>
        <w:ind w:firstLine="420" w:firstLineChars="200"/>
        <w:rPr>
          <w:rFonts w:ascii="宋体" w:hAnsi="宋体" w:cs="宋体"/>
          <w:szCs w:val="21"/>
        </w:rPr>
      </w:pPr>
      <w:r>
        <w:rPr>
          <w:rFonts w:hint="eastAsia" w:ascii="宋体" w:hAnsi="宋体" w:cs="宋体"/>
          <w:szCs w:val="21"/>
        </w:rPr>
        <w:t>本产品开放申购、赎回、预约申购、预约赎回等交易。</w:t>
      </w:r>
    </w:p>
    <w:p>
      <w:pPr>
        <w:tabs>
          <w:tab w:val="left" w:pos="210"/>
          <w:tab w:val="left" w:pos="1050"/>
        </w:tabs>
        <w:autoSpaceDE w:val="0"/>
        <w:autoSpaceDN w:val="0"/>
        <w:adjustRightInd w:val="0"/>
        <w:spacing w:line="360" w:lineRule="auto"/>
        <w:ind w:left="420" w:leftChars="200"/>
        <w:rPr>
          <w:rFonts w:ascii="宋体" w:hAnsi="宋体" w:cs="宋体"/>
          <w:b/>
          <w:bCs/>
          <w:kern w:val="0"/>
          <w:szCs w:val="21"/>
          <w:lang w:bidi="bn-IN"/>
        </w:rPr>
      </w:pPr>
      <w:r>
        <w:rPr>
          <w:rFonts w:ascii="宋体" w:hAnsi="宋体" w:cs="宋体"/>
          <w:b/>
          <w:bCs/>
          <w:kern w:val="0"/>
          <w:szCs w:val="21"/>
          <w:lang w:bidi="bn-IN"/>
        </w:rPr>
        <w:t>1.</w:t>
      </w:r>
      <w:r>
        <w:rPr>
          <w:rFonts w:hint="eastAsia" w:ascii="宋体" w:hAnsi="宋体" w:cs="宋体"/>
          <w:b/>
          <w:bCs/>
          <w:kern w:val="0"/>
          <w:szCs w:val="21"/>
          <w:lang w:bidi="bn-IN"/>
        </w:rPr>
        <w:t>申购与赎回的操作</w:t>
      </w:r>
    </w:p>
    <w:p>
      <w:pPr>
        <w:tabs>
          <w:tab w:val="left" w:pos="0"/>
        </w:tabs>
        <w:spacing w:line="360" w:lineRule="auto"/>
        <w:ind w:firstLine="420" w:firstLineChars="200"/>
        <w:rPr>
          <w:rFonts w:ascii="宋体" w:hAnsi="宋体" w:cs="宋体"/>
          <w:szCs w:val="21"/>
        </w:rPr>
      </w:pPr>
      <w:r>
        <w:rPr>
          <w:rFonts w:hint="eastAsia" w:ascii="宋体" w:hAnsi="宋体" w:cs="宋体"/>
          <w:szCs w:val="21"/>
        </w:rPr>
        <w:t>（</w:t>
      </w:r>
      <w:r>
        <w:rPr>
          <w:rFonts w:ascii="宋体" w:hAnsi="宋体" w:cs="宋体"/>
          <w:szCs w:val="21"/>
        </w:rPr>
        <w:t>1）自本产品成立后，每个月</w:t>
      </w:r>
      <w:r>
        <w:rPr>
          <w:rFonts w:hint="eastAsia" w:ascii="宋体" w:hAnsi="宋体" w:cs="宋体"/>
          <w:szCs w:val="21"/>
        </w:rPr>
        <w:t>开放申购与赎回</w:t>
      </w:r>
      <w:r>
        <w:rPr>
          <w:rFonts w:hint="eastAsia" w:ascii="宋体" w:hAnsi="宋体" w:cs="宋体"/>
          <w:szCs w:val="21"/>
          <w:highlight w:val="none"/>
        </w:rPr>
        <w:t>，但赎回交易的份额需满足最低持有期要求</w:t>
      </w:r>
      <w:r>
        <w:rPr>
          <w:rFonts w:hint="eastAsia" w:ascii="宋体" w:hAnsi="宋体" w:cs="宋体"/>
          <w:szCs w:val="21"/>
        </w:rPr>
        <w:t>。投资者可以在产品开放日办理申购与赎回，业务办理时间为产品开放日当日北京时间</w:t>
      </w:r>
      <w:r>
        <w:rPr>
          <w:rFonts w:hint="eastAsia" w:ascii="宋体" w:hAnsi="宋体" w:cs="宋体"/>
          <w:szCs w:val="21"/>
        </w:rPr>
        <w:br w:type="textWrapping"/>
      </w:r>
      <w:r>
        <w:rPr>
          <w:rFonts w:ascii="宋体" w:hAnsi="宋体" w:cs="宋体"/>
          <w:szCs w:val="21"/>
        </w:rPr>
        <w:t>00：05至15：00。</w:t>
      </w:r>
    </w:p>
    <w:p>
      <w:pPr>
        <w:tabs>
          <w:tab w:val="left" w:pos="0"/>
        </w:tabs>
        <w:spacing w:line="360" w:lineRule="auto"/>
        <w:ind w:firstLine="420" w:firstLineChars="200"/>
        <w:rPr>
          <w:rFonts w:ascii="宋体" w:hAnsi="宋体" w:cs="宋体"/>
          <w:szCs w:val="21"/>
        </w:rPr>
      </w:pPr>
      <w:r>
        <w:rPr>
          <w:rFonts w:hint="eastAsia" w:ascii="宋体" w:hAnsi="宋体" w:cs="宋体"/>
          <w:szCs w:val="21"/>
        </w:rPr>
        <w:t>（</w:t>
      </w:r>
      <w:r>
        <w:rPr>
          <w:rFonts w:ascii="宋体" w:hAnsi="宋体" w:cs="宋体"/>
          <w:szCs w:val="21"/>
        </w:rPr>
        <w:t>2）投资者可在产品预约期内办理预约申购以及预约赎回，即在约定的产品开放日，按约定的金额（或份额）申购或赎回本产品。</w:t>
      </w:r>
      <w:r>
        <w:rPr>
          <w:rFonts w:hint="eastAsia" w:ascii="宋体" w:hAnsi="宋体" w:cs="宋体"/>
          <w:szCs w:val="21"/>
        </w:rPr>
        <w:t>产品管理人将根据投资者的预约情况，在预约交易指定日当日</w:t>
      </w:r>
      <w:r>
        <w:rPr>
          <w:rFonts w:ascii="宋体" w:hAnsi="宋体" w:cs="宋体"/>
          <w:szCs w:val="21"/>
        </w:rPr>
        <w:t>03：00自动发起预约转受理操作，已预约的投资者无需在预约发起日当日再次办理。</w:t>
      </w:r>
    </w:p>
    <w:p>
      <w:pPr>
        <w:tabs>
          <w:tab w:val="left" w:pos="0"/>
        </w:tabs>
        <w:spacing w:line="360" w:lineRule="auto"/>
        <w:ind w:firstLine="420" w:firstLineChars="200"/>
        <w:rPr>
          <w:rFonts w:ascii="宋体" w:hAnsi="宋体" w:cs="宋体"/>
          <w:szCs w:val="21"/>
        </w:rPr>
      </w:pPr>
      <w:r>
        <w:rPr>
          <w:rFonts w:hint="eastAsia" w:ascii="宋体" w:hAnsi="宋体" w:cs="宋体"/>
          <w:szCs w:val="21"/>
        </w:rPr>
        <w:t>（</w:t>
      </w:r>
      <w:r>
        <w:rPr>
          <w:rFonts w:ascii="宋体" w:hAnsi="宋体" w:cs="宋体"/>
          <w:szCs w:val="21"/>
        </w:rPr>
        <w:t>3）</w:t>
      </w:r>
      <w:r>
        <w:rPr>
          <w:rFonts w:hint="eastAsia" w:ascii="宋体" w:hAnsi="宋体" w:cs="宋体"/>
          <w:szCs w:val="21"/>
        </w:rPr>
        <w:t>投资者办理预约申购时，将于预约交易指定日进行自动扣款，投资者账户资金不足将导致购买失败。</w:t>
      </w:r>
    </w:p>
    <w:p>
      <w:pPr>
        <w:tabs>
          <w:tab w:val="left" w:pos="0"/>
        </w:tabs>
        <w:spacing w:line="360" w:lineRule="auto"/>
        <w:ind w:firstLine="420" w:firstLineChars="200"/>
        <w:rPr>
          <w:rFonts w:ascii="宋体" w:hAnsi="宋体" w:cs="宋体"/>
          <w:szCs w:val="21"/>
        </w:rPr>
      </w:pPr>
      <w:r>
        <w:rPr>
          <w:rFonts w:hint="eastAsia" w:ascii="宋体" w:hAnsi="宋体" w:cs="宋体"/>
          <w:szCs w:val="21"/>
        </w:rPr>
        <w:t>（</w:t>
      </w:r>
      <w:r>
        <w:rPr>
          <w:rFonts w:ascii="宋体" w:hAnsi="宋体" w:cs="宋体"/>
          <w:szCs w:val="21"/>
        </w:rPr>
        <w:t>4）投资者在产品开放日当日办理申购时，采用全额缴款方式，投资者交付全额款项后，申购申请即转为正常受理；投资者采用预约申购时，仅冻结客户资金，不进行资金扣划，预约交易指定日当日统一进行资金扣划，若申购资金在当日03:00之前未全额到账则申购不成功不扣划资金，双方签订的本次申购协议自动终止。</w:t>
      </w:r>
    </w:p>
    <w:p>
      <w:pPr>
        <w:tabs>
          <w:tab w:val="left" w:pos="0"/>
        </w:tabs>
        <w:spacing w:line="360" w:lineRule="auto"/>
        <w:ind w:firstLine="420" w:firstLineChars="200"/>
        <w:rPr>
          <w:rFonts w:ascii="宋体" w:hAnsi="宋体" w:cs="宋体"/>
          <w:szCs w:val="21"/>
        </w:rPr>
      </w:pPr>
      <w:r>
        <w:rPr>
          <w:rFonts w:hint="eastAsia" w:ascii="宋体" w:hAnsi="宋体" w:cs="宋体"/>
          <w:szCs w:val="21"/>
        </w:rPr>
        <w:t>（</w:t>
      </w:r>
      <w:r>
        <w:rPr>
          <w:rFonts w:ascii="宋体" w:hAnsi="宋体" w:cs="宋体"/>
          <w:szCs w:val="21"/>
        </w:rPr>
        <w:t>5）投资者赎回资金将在产品开放日后3个交易所工作日</w:t>
      </w:r>
      <w:r>
        <w:rPr>
          <w:rFonts w:hint="eastAsia" w:ascii="宋体" w:hAnsi="宋体" w:cs="宋体"/>
          <w:szCs w:val="21"/>
        </w:rPr>
        <w:t>内划到投资者指定账户，产品开放日后至投资者资金划到投资者指定账户之前为清算期，清算期不计息。</w:t>
      </w:r>
    </w:p>
    <w:p>
      <w:pPr>
        <w:tabs>
          <w:tab w:val="left" w:pos="210"/>
          <w:tab w:val="left" w:pos="1050"/>
        </w:tabs>
        <w:autoSpaceDE w:val="0"/>
        <w:autoSpaceDN w:val="0"/>
        <w:adjustRightInd w:val="0"/>
        <w:spacing w:line="360" w:lineRule="auto"/>
        <w:ind w:left="420" w:leftChars="200"/>
        <w:rPr>
          <w:rFonts w:ascii="宋体" w:hAnsi="宋体" w:cs="宋体"/>
          <w:b/>
          <w:bCs/>
          <w:kern w:val="0"/>
          <w:szCs w:val="21"/>
          <w:lang w:bidi="bn-IN"/>
        </w:rPr>
      </w:pPr>
      <w:r>
        <w:rPr>
          <w:rFonts w:ascii="宋体" w:hAnsi="宋体" w:cs="宋体"/>
          <w:b/>
          <w:bCs/>
          <w:kern w:val="0"/>
          <w:szCs w:val="21"/>
          <w:lang w:bidi="bn-IN"/>
        </w:rPr>
        <w:t>2.申购与赎回的原则</w:t>
      </w:r>
    </w:p>
    <w:p>
      <w:pPr>
        <w:tabs>
          <w:tab w:val="left" w:pos="0"/>
        </w:tabs>
        <w:spacing w:line="360" w:lineRule="auto"/>
        <w:ind w:firstLine="420" w:firstLineChars="200"/>
        <w:rPr>
          <w:rFonts w:ascii="宋体" w:hAnsi="宋体" w:cs="宋体"/>
          <w:szCs w:val="21"/>
        </w:rPr>
      </w:pPr>
      <w:r>
        <w:rPr>
          <w:rFonts w:hint="eastAsia" w:ascii="宋体" w:hAnsi="宋体" w:cs="宋体"/>
          <w:szCs w:val="21"/>
        </w:rPr>
        <w:t>（</w:t>
      </w:r>
      <w:r>
        <w:rPr>
          <w:rFonts w:ascii="宋体" w:hAnsi="宋体" w:cs="宋体"/>
          <w:szCs w:val="21"/>
        </w:rPr>
        <w:t>1）未知价原则，即产品的申购价格以申购当日收市后计算的</w:t>
      </w:r>
      <w:r>
        <w:rPr>
          <w:rFonts w:hint="eastAsia" w:ascii="宋体" w:hAnsi="宋体" w:cs="宋体"/>
          <w:szCs w:val="21"/>
        </w:rPr>
        <w:t>份额净值为基准进行计算；赎回价格以赎回当日收益分配前</w:t>
      </w:r>
      <w:r>
        <w:rPr>
          <w:rFonts w:ascii="宋体" w:hAnsi="宋体" w:cs="宋体"/>
          <w:szCs w:val="21"/>
        </w:rPr>
        <w:t>的</w:t>
      </w:r>
      <w:r>
        <w:rPr>
          <w:rFonts w:hint="eastAsia" w:ascii="宋体" w:hAnsi="宋体" w:cs="宋体"/>
          <w:szCs w:val="21"/>
        </w:rPr>
        <w:t>份额净值为基准进行计算。</w:t>
      </w:r>
    </w:p>
    <w:p>
      <w:pPr>
        <w:tabs>
          <w:tab w:val="left" w:pos="0"/>
        </w:tabs>
        <w:spacing w:line="360" w:lineRule="auto"/>
        <w:ind w:firstLine="420" w:firstLineChars="200"/>
        <w:rPr>
          <w:rFonts w:ascii="宋体" w:hAnsi="宋体" w:cs="宋体"/>
          <w:szCs w:val="21"/>
        </w:rPr>
      </w:pPr>
      <w:r>
        <w:rPr>
          <w:rFonts w:hint="eastAsia" w:ascii="宋体" w:hAnsi="宋体" w:cs="宋体"/>
          <w:szCs w:val="21"/>
        </w:rPr>
        <w:t>（</w:t>
      </w:r>
      <w:r>
        <w:rPr>
          <w:rFonts w:ascii="宋体" w:hAnsi="宋体" w:cs="宋体"/>
          <w:szCs w:val="21"/>
        </w:rPr>
        <w:t>2）产品采用金额申购和份额赎回的方式，即申购以金额申请，赎回以份额申请。</w:t>
      </w:r>
    </w:p>
    <w:p>
      <w:pPr>
        <w:tabs>
          <w:tab w:val="left" w:pos="0"/>
        </w:tabs>
        <w:spacing w:line="360" w:lineRule="auto"/>
        <w:ind w:firstLine="420" w:firstLineChars="200"/>
        <w:rPr>
          <w:rFonts w:ascii="宋体" w:hAnsi="宋体" w:cs="宋体"/>
          <w:szCs w:val="21"/>
        </w:rPr>
      </w:pPr>
      <w:r>
        <w:rPr>
          <w:rFonts w:hint="eastAsia" w:ascii="宋体" w:hAnsi="宋体" w:cs="宋体"/>
          <w:szCs w:val="21"/>
        </w:rPr>
        <w:t>（</w:t>
      </w:r>
      <w:r>
        <w:rPr>
          <w:rFonts w:ascii="宋体" w:hAnsi="宋体" w:cs="宋体"/>
          <w:szCs w:val="21"/>
        </w:rPr>
        <w:t>3）申购与赎回申请可在当日15：00前撤销，15：00后不得撤销。</w:t>
      </w:r>
    </w:p>
    <w:p>
      <w:pPr>
        <w:tabs>
          <w:tab w:val="left" w:pos="0"/>
        </w:tabs>
        <w:spacing w:line="360" w:lineRule="auto"/>
        <w:ind w:firstLine="420" w:firstLineChars="200"/>
        <w:rPr>
          <w:rFonts w:ascii="宋体" w:hAnsi="宋体" w:cs="宋体"/>
          <w:szCs w:val="21"/>
        </w:rPr>
      </w:pPr>
      <w:r>
        <w:rPr>
          <w:rFonts w:hint="eastAsia" w:ascii="宋体" w:hAnsi="宋体" w:cs="宋体"/>
          <w:szCs w:val="21"/>
        </w:rPr>
        <w:t>（</w:t>
      </w:r>
      <w:r>
        <w:rPr>
          <w:rFonts w:ascii="宋体" w:hAnsi="宋体" w:cs="宋体"/>
          <w:szCs w:val="21"/>
        </w:rPr>
        <w:t>4）预约购买、预约赎回交易可在预约交易指定日15:00前撤销。</w:t>
      </w:r>
    </w:p>
    <w:p>
      <w:pPr>
        <w:tabs>
          <w:tab w:val="left" w:pos="0"/>
        </w:tabs>
        <w:spacing w:line="360" w:lineRule="auto"/>
        <w:ind w:firstLine="420" w:firstLineChars="200"/>
        <w:rPr>
          <w:rFonts w:ascii="宋体" w:hAnsi="宋体" w:cs="宋体"/>
          <w:szCs w:val="21"/>
        </w:rPr>
      </w:pPr>
      <w:r>
        <w:rPr>
          <w:rFonts w:hint="eastAsia" w:ascii="宋体" w:hAnsi="宋体" w:cs="宋体"/>
          <w:szCs w:val="21"/>
        </w:rPr>
        <w:t>（</w:t>
      </w:r>
      <w:r>
        <w:rPr>
          <w:rFonts w:ascii="宋体" w:hAnsi="宋体" w:cs="宋体"/>
          <w:szCs w:val="21"/>
        </w:rPr>
        <w:t>5）产品管理人在不损害产品份额持有人权益的情况下可更改上述原则，但最迟须在新的原则实施前5个工作日予以公告。</w:t>
      </w:r>
    </w:p>
    <w:p>
      <w:pPr>
        <w:tabs>
          <w:tab w:val="left" w:pos="0"/>
        </w:tabs>
        <w:spacing w:line="360" w:lineRule="auto"/>
        <w:ind w:firstLine="420" w:firstLineChars="200"/>
        <w:rPr>
          <w:rFonts w:ascii="宋体" w:hAnsi="宋体" w:cs="宋体"/>
          <w:szCs w:val="21"/>
        </w:rPr>
      </w:pPr>
      <w:r>
        <w:rPr>
          <w:rFonts w:hint="eastAsia" w:ascii="宋体" w:hAnsi="宋体" w:cs="宋体"/>
          <w:szCs w:val="21"/>
        </w:rPr>
        <w:t>（</w:t>
      </w:r>
      <w:r>
        <w:rPr>
          <w:rFonts w:ascii="宋体" w:hAnsi="宋体" w:cs="宋体"/>
          <w:szCs w:val="21"/>
        </w:rPr>
        <w:t>6）个人投资者在办理预约购买的撤单业务时需保证账户资金没有提前</w:t>
      </w:r>
      <w:r>
        <w:rPr>
          <w:rFonts w:hint="eastAsia" w:ascii="宋体" w:hAnsi="宋体" w:cs="宋体"/>
          <w:szCs w:val="21"/>
        </w:rPr>
        <w:t>解控且账户状态正常，否则撤单将失败。</w:t>
      </w:r>
    </w:p>
    <w:p>
      <w:pPr>
        <w:tabs>
          <w:tab w:val="left" w:pos="210"/>
          <w:tab w:val="left" w:pos="1050"/>
        </w:tabs>
        <w:autoSpaceDE w:val="0"/>
        <w:autoSpaceDN w:val="0"/>
        <w:adjustRightInd w:val="0"/>
        <w:spacing w:line="360" w:lineRule="auto"/>
        <w:ind w:left="420" w:leftChars="200"/>
        <w:rPr>
          <w:rFonts w:ascii="宋体" w:hAnsi="宋体" w:cs="宋体"/>
          <w:b/>
          <w:bCs/>
          <w:kern w:val="0"/>
          <w:szCs w:val="21"/>
          <w:lang w:bidi="bn-IN"/>
        </w:rPr>
      </w:pPr>
      <w:r>
        <w:rPr>
          <w:rFonts w:ascii="宋体" w:hAnsi="宋体" w:cs="宋体"/>
          <w:b/>
          <w:bCs/>
          <w:kern w:val="0"/>
          <w:szCs w:val="21"/>
          <w:lang w:bidi="bn-IN"/>
        </w:rPr>
        <w:t>3.申购与赎回申请的确认</w:t>
      </w:r>
    </w:p>
    <w:p>
      <w:pPr>
        <w:tabs>
          <w:tab w:val="left" w:pos="0"/>
        </w:tabs>
        <w:spacing w:line="360" w:lineRule="auto"/>
        <w:ind w:firstLine="420" w:firstLineChars="200"/>
        <w:rPr>
          <w:rFonts w:ascii="宋体" w:hAnsi="宋体" w:cs="宋体"/>
          <w:szCs w:val="21"/>
        </w:rPr>
      </w:pPr>
      <w:r>
        <w:rPr>
          <w:rFonts w:hint="eastAsia" w:ascii="宋体" w:hAnsi="宋体" w:cs="宋体"/>
          <w:szCs w:val="21"/>
        </w:rPr>
        <w:t>产品管理人将在每个产品开放日后</w:t>
      </w:r>
      <w:r>
        <w:rPr>
          <w:rFonts w:hint="eastAsia" w:ascii="宋体" w:hAnsi="宋体" w:cs="宋体"/>
          <w:szCs w:val="21"/>
          <w:lang w:val="en-US" w:eastAsia="zh-CN"/>
        </w:rPr>
        <w:t>3</w:t>
      </w:r>
      <w:r>
        <w:rPr>
          <w:rFonts w:hint="eastAsia" w:ascii="宋体" w:hAnsi="宋体" w:cs="宋体"/>
          <w:szCs w:val="21"/>
        </w:rPr>
        <w:t>个交易所工作日内对投资者申购、赎回交易的有效性进行确认，投资者可在每个产品开放日后第</w:t>
      </w:r>
      <w:r>
        <w:rPr>
          <w:rFonts w:hint="eastAsia" w:ascii="宋体" w:hAnsi="宋体" w:cs="宋体"/>
          <w:szCs w:val="21"/>
          <w:lang w:val="en-US" w:eastAsia="zh-CN"/>
        </w:rPr>
        <w:t>4</w:t>
      </w:r>
      <w:r>
        <w:rPr>
          <w:rFonts w:hint="eastAsia" w:ascii="宋体" w:hAnsi="宋体" w:cs="宋体"/>
          <w:szCs w:val="21"/>
        </w:rPr>
        <w:t>个交易所工作日起到销售服务机构营业网点或网上销售平台查询申购、赎回的确认情况。</w:t>
      </w:r>
    </w:p>
    <w:p>
      <w:pPr>
        <w:tabs>
          <w:tab w:val="left" w:pos="0"/>
          <w:tab w:val="left" w:pos="454"/>
        </w:tabs>
        <w:spacing w:line="360" w:lineRule="auto"/>
        <w:ind w:left="418" w:leftChars="199"/>
        <w:rPr>
          <w:rFonts w:ascii="宋体" w:hAnsi="宋体" w:cs="宋体"/>
          <w:b/>
          <w:bCs/>
          <w:kern w:val="0"/>
          <w:szCs w:val="21"/>
          <w:lang w:bidi="bn-IN"/>
        </w:rPr>
      </w:pPr>
      <w:r>
        <w:rPr>
          <w:rFonts w:ascii="宋体" w:hAnsi="宋体" w:cs="宋体"/>
          <w:b/>
          <w:bCs/>
          <w:kern w:val="0"/>
          <w:szCs w:val="21"/>
          <w:lang w:bidi="bn-IN"/>
        </w:rPr>
        <w:t>4.申购与赎回的限制</w:t>
      </w:r>
    </w:p>
    <w:p>
      <w:pPr>
        <w:tabs>
          <w:tab w:val="left" w:pos="0"/>
        </w:tabs>
        <w:spacing w:line="360" w:lineRule="auto"/>
        <w:ind w:firstLine="420" w:firstLineChars="200"/>
        <w:rPr>
          <w:rFonts w:ascii="宋体" w:hAnsi="宋体" w:cs="宋体"/>
          <w:szCs w:val="21"/>
        </w:rPr>
      </w:pPr>
      <w:r>
        <w:rPr>
          <w:rFonts w:hint="eastAsia" w:ascii="宋体" w:hAnsi="宋体" w:cs="宋体"/>
          <w:szCs w:val="21"/>
        </w:rPr>
        <w:t>（</w:t>
      </w:r>
      <w:r>
        <w:rPr>
          <w:rFonts w:ascii="宋体" w:hAnsi="宋体" w:cs="宋体"/>
          <w:szCs w:val="21"/>
        </w:rPr>
        <w:t>1）</w:t>
      </w:r>
      <w:r>
        <w:rPr>
          <w:rFonts w:hint="eastAsia" w:ascii="宋体" w:hAnsi="宋体" w:cs="宋体"/>
          <w:szCs w:val="21"/>
        </w:rPr>
        <w:t>个人投资者</w:t>
      </w:r>
      <w:r>
        <w:rPr>
          <w:rFonts w:ascii="宋体" w:hAnsi="宋体" w:cs="宋体"/>
          <w:szCs w:val="21"/>
        </w:rPr>
        <w:t>申购</w:t>
      </w:r>
      <w:r>
        <w:rPr>
          <w:rFonts w:hint="eastAsia" w:ascii="宋体" w:hAnsi="宋体" w:cs="宋体"/>
          <w:szCs w:val="21"/>
        </w:rPr>
        <w:t>（预约申购）金额以</w:t>
      </w:r>
      <w:r>
        <w:rPr>
          <w:rFonts w:ascii="宋体" w:hAnsi="宋体" w:cs="宋体"/>
          <w:szCs w:val="21"/>
        </w:rPr>
        <w:t>1</w:t>
      </w:r>
      <w:r>
        <w:rPr>
          <w:rFonts w:hint="eastAsia" w:ascii="宋体" w:hAnsi="宋体" w:cs="宋体"/>
          <w:szCs w:val="21"/>
        </w:rPr>
        <w:t>元整数倍递增，申购时若为首次投资，申购金额不得少于人民</w:t>
      </w:r>
      <w:r>
        <w:rPr>
          <w:rFonts w:ascii="宋体" w:hAnsi="宋体" w:cs="宋体"/>
          <w:szCs w:val="21"/>
        </w:rPr>
        <w:t>1</w:t>
      </w:r>
      <w:r>
        <w:rPr>
          <w:rFonts w:hint="eastAsia" w:ascii="宋体" w:hAnsi="宋体" w:cs="宋体"/>
          <w:szCs w:val="21"/>
        </w:rPr>
        <w:t>00</w:t>
      </w:r>
      <w:r>
        <w:rPr>
          <w:rFonts w:ascii="宋体" w:hAnsi="宋体" w:cs="宋体"/>
          <w:szCs w:val="21"/>
        </w:rPr>
        <w:t>元</w:t>
      </w:r>
      <w:r>
        <w:rPr>
          <w:rFonts w:hint="eastAsia" w:ascii="宋体" w:hAnsi="宋体" w:cs="宋体"/>
          <w:szCs w:val="21"/>
        </w:rPr>
        <w:t>，追加投资不得少于</w:t>
      </w:r>
      <w:r>
        <w:rPr>
          <w:rFonts w:ascii="宋体" w:hAnsi="宋体" w:cs="宋体"/>
          <w:szCs w:val="21"/>
        </w:rPr>
        <w:t>1元</w:t>
      </w:r>
      <w:r>
        <w:rPr>
          <w:rFonts w:hint="eastAsia" w:ascii="宋体" w:hAnsi="宋体" w:cs="宋体"/>
          <w:szCs w:val="21"/>
        </w:rPr>
        <w:t>。</w:t>
      </w:r>
    </w:p>
    <w:p>
      <w:pPr>
        <w:tabs>
          <w:tab w:val="left" w:pos="0"/>
        </w:tabs>
        <w:spacing w:line="360" w:lineRule="auto"/>
        <w:ind w:firstLine="420" w:firstLineChars="200"/>
        <w:rPr>
          <w:rFonts w:ascii="宋体" w:hAnsi="宋体" w:cs="宋体"/>
          <w:szCs w:val="21"/>
        </w:rPr>
      </w:pPr>
      <w:r>
        <w:rPr>
          <w:rFonts w:hint="eastAsia" w:ascii="宋体" w:hAnsi="宋体" w:cs="宋体"/>
          <w:szCs w:val="21"/>
        </w:rPr>
        <w:t>机构投资者</w:t>
      </w:r>
      <w:r>
        <w:rPr>
          <w:rFonts w:ascii="宋体" w:hAnsi="宋体" w:cs="宋体"/>
          <w:szCs w:val="21"/>
        </w:rPr>
        <w:t>申购</w:t>
      </w:r>
      <w:r>
        <w:rPr>
          <w:rFonts w:hint="eastAsia" w:ascii="宋体" w:hAnsi="宋体" w:cs="宋体"/>
          <w:szCs w:val="21"/>
        </w:rPr>
        <w:t>（预约申购）金额以</w:t>
      </w:r>
      <w:r>
        <w:rPr>
          <w:rFonts w:ascii="宋体" w:hAnsi="宋体" w:cs="宋体"/>
          <w:szCs w:val="21"/>
        </w:rPr>
        <w:t>1</w:t>
      </w:r>
      <w:r>
        <w:rPr>
          <w:rFonts w:hint="eastAsia" w:ascii="宋体" w:hAnsi="宋体" w:cs="宋体"/>
          <w:szCs w:val="21"/>
        </w:rPr>
        <w:t>万</w:t>
      </w:r>
      <w:r>
        <w:rPr>
          <w:rFonts w:ascii="宋体" w:hAnsi="宋体" w:cs="宋体"/>
          <w:szCs w:val="21"/>
        </w:rPr>
        <w:t>元</w:t>
      </w:r>
      <w:r>
        <w:rPr>
          <w:rFonts w:hint="eastAsia" w:ascii="宋体" w:hAnsi="宋体" w:cs="宋体"/>
          <w:szCs w:val="21"/>
        </w:rPr>
        <w:t>整数倍递增，申购时若为首次投资，申购金额不得少于人民币</w:t>
      </w:r>
      <w:r>
        <w:rPr>
          <w:rFonts w:ascii="宋体" w:hAnsi="宋体" w:cs="宋体"/>
          <w:szCs w:val="21"/>
        </w:rPr>
        <w:t>10</w:t>
      </w:r>
      <w:r>
        <w:rPr>
          <w:rFonts w:hint="eastAsia" w:ascii="宋体" w:hAnsi="宋体" w:cs="宋体"/>
          <w:szCs w:val="21"/>
        </w:rPr>
        <w:t>万</w:t>
      </w:r>
      <w:r>
        <w:rPr>
          <w:rFonts w:ascii="宋体" w:hAnsi="宋体" w:cs="宋体"/>
          <w:szCs w:val="21"/>
        </w:rPr>
        <w:t>元</w:t>
      </w:r>
      <w:r>
        <w:rPr>
          <w:rFonts w:hint="eastAsia" w:ascii="宋体" w:hAnsi="宋体" w:cs="宋体"/>
          <w:szCs w:val="21"/>
        </w:rPr>
        <w:t>，追加投资不得少于1万元。</w:t>
      </w:r>
    </w:p>
    <w:p>
      <w:pPr>
        <w:tabs>
          <w:tab w:val="left" w:pos="0"/>
        </w:tabs>
        <w:spacing w:line="360" w:lineRule="auto"/>
        <w:ind w:firstLine="420" w:firstLineChars="200"/>
        <w:rPr>
          <w:rFonts w:ascii="宋体" w:hAnsi="宋体" w:cs="宋体"/>
          <w:szCs w:val="21"/>
        </w:rPr>
      </w:pPr>
      <w:r>
        <w:rPr>
          <w:rFonts w:hint="eastAsia" w:ascii="宋体" w:hAnsi="宋体" w:cs="宋体"/>
          <w:szCs w:val="21"/>
        </w:rPr>
        <w:t>（</w:t>
      </w:r>
      <w:r>
        <w:rPr>
          <w:rFonts w:ascii="宋体" w:hAnsi="宋体" w:cs="宋体"/>
          <w:szCs w:val="21"/>
        </w:rPr>
        <w:t>2）</w:t>
      </w:r>
      <w:r>
        <w:rPr>
          <w:rFonts w:hint="eastAsia" w:ascii="宋体" w:hAnsi="宋体" w:cs="宋体"/>
          <w:szCs w:val="21"/>
        </w:rPr>
        <w:t>个人</w:t>
      </w:r>
      <w:r>
        <w:rPr>
          <w:rFonts w:ascii="宋体" w:hAnsi="宋体" w:cs="宋体"/>
          <w:szCs w:val="21"/>
        </w:rPr>
        <w:t>投资者每次赎回申请不得低于</w:t>
      </w:r>
      <w:r>
        <w:rPr>
          <w:rFonts w:hint="eastAsia" w:ascii="宋体" w:hAnsi="宋体" w:cs="宋体"/>
          <w:szCs w:val="21"/>
          <w:lang w:val="en-US" w:eastAsia="zh-CN"/>
        </w:rPr>
        <w:t>100</w:t>
      </w:r>
      <w:r>
        <w:rPr>
          <w:rFonts w:ascii="宋体" w:hAnsi="宋体" w:cs="宋体"/>
          <w:szCs w:val="21"/>
        </w:rPr>
        <w:t>份</w:t>
      </w:r>
      <w:r>
        <w:rPr>
          <w:rFonts w:hint="eastAsia" w:ascii="宋体" w:hAnsi="宋体" w:cs="宋体"/>
          <w:szCs w:val="21"/>
        </w:rPr>
        <w:t>产品份额，产品份额持有人赎回时或赎回后保留的产品份额余额不足</w:t>
      </w:r>
      <w:r>
        <w:rPr>
          <w:rFonts w:hint="eastAsia" w:ascii="宋体" w:hAnsi="宋体" w:cs="宋体"/>
          <w:szCs w:val="21"/>
          <w:lang w:val="en-US" w:eastAsia="zh-CN"/>
        </w:rPr>
        <w:t>100</w:t>
      </w:r>
      <w:r>
        <w:rPr>
          <w:rFonts w:ascii="宋体" w:hAnsi="宋体" w:cs="宋体"/>
          <w:szCs w:val="21"/>
        </w:rPr>
        <w:t>份</w:t>
      </w:r>
      <w:r>
        <w:rPr>
          <w:rFonts w:hint="eastAsia" w:ascii="宋体" w:hAnsi="宋体" w:cs="宋体"/>
          <w:szCs w:val="21"/>
        </w:rPr>
        <w:t>的，在赎回时需一次全部赎回；</w:t>
      </w:r>
    </w:p>
    <w:p>
      <w:pPr>
        <w:tabs>
          <w:tab w:val="left" w:pos="0"/>
        </w:tabs>
        <w:spacing w:line="360" w:lineRule="auto"/>
        <w:ind w:firstLine="420" w:firstLineChars="200"/>
        <w:rPr>
          <w:rFonts w:ascii="宋体" w:hAnsi="宋体" w:cs="宋体"/>
          <w:szCs w:val="21"/>
        </w:rPr>
      </w:pPr>
      <w:r>
        <w:rPr>
          <w:rFonts w:hint="eastAsia" w:ascii="宋体" w:hAnsi="宋体" w:cs="宋体"/>
          <w:szCs w:val="21"/>
        </w:rPr>
        <w:t>机构投资者每次赎回</w:t>
      </w:r>
      <w:r>
        <w:rPr>
          <w:rFonts w:ascii="宋体" w:hAnsi="宋体" w:cs="宋体"/>
          <w:szCs w:val="21"/>
        </w:rPr>
        <w:t>申请不得低于</w:t>
      </w:r>
      <w:r>
        <w:rPr>
          <w:rFonts w:hint="eastAsia" w:ascii="宋体" w:hAnsi="宋体" w:cs="宋体"/>
          <w:szCs w:val="21"/>
        </w:rPr>
        <w:t>1万</w:t>
      </w:r>
      <w:r>
        <w:rPr>
          <w:rFonts w:ascii="宋体" w:hAnsi="宋体" w:cs="宋体"/>
          <w:szCs w:val="21"/>
        </w:rPr>
        <w:t>份</w:t>
      </w:r>
      <w:r>
        <w:rPr>
          <w:rFonts w:hint="eastAsia" w:ascii="宋体" w:hAnsi="宋体" w:cs="宋体"/>
          <w:szCs w:val="21"/>
        </w:rPr>
        <w:t>产品份额，产品份额持有人赎回时或赎回后保留的产品份额余额不足</w:t>
      </w:r>
      <w:r>
        <w:rPr>
          <w:rFonts w:ascii="宋体" w:hAnsi="宋体" w:cs="宋体"/>
          <w:szCs w:val="21"/>
        </w:rPr>
        <w:t>10</w:t>
      </w:r>
      <w:r>
        <w:rPr>
          <w:rFonts w:hint="eastAsia" w:ascii="宋体" w:hAnsi="宋体" w:cs="宋体"/>
          <w:szCs w:val="21"/>
        </w:rPr>
        <w:t>万</w:t>
      </w:r>
      <w:r>
        <w:rPr>
          <w:rFonts w:ascii="宋体" w:hAnsi="宋体" w:cs="宋体"/>
          <w:szCs w:val="21"/>
        </w:rPr>
        <w:t>份</w:t>
      </w:r>
      <w:r>
        <w:rPr>
          <w:rFonts w:hint="eastAsia" w:ascii="宋体" w:hAnsi="宋体" w:cs="宋体"/>
          <w:szCs w:val="21"/>
        </w:rPr>
        <w:t>的，在赎回时需一次全部赎回；</w:t>
      </w:r>
    </w:p>
    <w:p>
      <w:pPr>
        <w:tabs>
          <w:tab w:val="left" w:pos="0"/>
        </w:tabs>
        <w:spacing w:line="360" w:lineRule="auto"/>
        <w:ind w:firstLine="420" w:firstLineChars="200"/>
        <w:rPr>
          <w:rFonts w:ascii="宋体" w:hAnsi="宋体" w:cs="宋体"/>
          <w:szCs w:val="21"/>
        </w:rPr>
      </w:pPr>
      <w:r>
        <w:rPr>
          <w:rFonts w:hint="eastAsia" w:ascii="宋体" w:hAnsi="宋体" w:cs="宋体"/>
          <w:szCs w:val="21"/>
        </w:rPr>
        <w:t>（</w:t>
      </w:r>
      <w:r>
        <w:rPr>
          <w:rFonts w:ascii="宋体" w:hAnsi="宋体" w:cs="宋体"/>
          <w:szCs w:val="21"/>
        </w:rPr>
        <w:t>3</w:t>
      </w:r>
      <w:r>
        <w:rPr>
          <w:rFonts w:hint="eastAsia" w:ascii="宋体" w:hAnsi="宋体" w:cs="宋体"/>
          <w:szCs w:val="21"/>
        </w:rPr>
        <w:t>）产品管理人在不损害产品份额持有人权益的情况下可以根据实际情况对以上限制进行调整，并按照信息披露要求进行公告。</w:t>
      </w:r>
    </w:p>
    <w:p>
      <w:pPr>
        <w:tabs>
          <w:tab w:val="left" w:pos="0"/>
        </w:tabs>
        <w:spacing w:line="360" w:lineRule="auto"/>
        <w:ind w:left="442"/>
        <w:rPr>
          <w:rFonts w:ascii="宋体" w:hAnsi="宋体" w:cs="宋体"/>
          <w:b/>
          <w:bCs/>
          <w:kern w:val="0"/>
          <w:szCs w:val="21"/>
          <w:lang w:bidi="bn-IN"/>
        </w:rPr>
      </w:pPr>
      <w:r>
        <w:rPr>
          <w:rFonts w:ascii="宋体" w:hAnsi="宋体" w:cs="宋体"/>
          <w:b/>
          <w:bCs/>
          <w:kern w:val="0"/>
          <w:szCs w:val="21"/>
          <w:lang w:bidi="bn-IN"/>
        </w:rPr>
        <w:t>5.申购份额的计算</w:t>
      </w:r>
    </w:p>
    <w:p>
      <w:pPr>
        <w:tabs>
          <w:tab w:val="left" w:pos="0"/>
        </w:tabs>
        <w:spacing w:line="360" w:lineRule="auto"/>
        <w:ind w:firstLine="420" w:firstLineChars="200"/>
        <w:rPr>
          <w:rFonts w:ascii="宋体" w:hAnsi="宋体" w:cs="宋体"/>
          <w:szCs w:val="21"/>
        </w:rPr>
      </w:pPr>
      <w:r>
        <w:rPr>
          <w:rFonts w:hint="eastAsia" w:ascii="宋体" w:hAnsi="宋体" w:cs="宋体"/>
          <w:szCs w:val="21"/>
        </w:rPr>
        <w:t>申购份额的计算公式如下：</w:t>
      </w:r>
    </w:p>
    <w:p>
      <w:pPr>
        <w:tabs>
          <w:tab w:val="left" w:pos="0"/>
        </w:tabs>
        <w:spacing w:line="360" w:lineRule="auto"/>
        <w:ind w:firstLine="420" w:firstLineChars="200"/>
        <w:rPr>
          <w:rFonts w:ascii="宋体" w:hAnsi="宋体" w:cs="宋体"/>
          <w:szCs w:val="21"/>
        </w:rPr>
      </w:pPr>
      <w:r>
        <w:rPr>
          <w:rFonts w:hint="eastAsia" w:ascii="宋体" w:hAnsi="宋体" w:cs="宋体"/>
          <w:szCs w:val="21"/>
        </w:rPr>
        <w:t>净申购金额</w:t>
      </w:r>
      <w:r>
        <w:rPr>
          <w:rFonts w:ascii="宋体" w:hAnsi="宋体" w:cs="宋体"/>
          <w:szCs w:val="21"/>
        </w:rPr>
        <w:t>=申购金额/</w:t>
      </w:r>
      <w:r>
        <w:rPr>
          <w:rFonts w:hint="eastAsia" w:ascii="宋体" w:hAnsi="宋体" w:cs="宋体"/>
          <w:szCs w:val="21"/>
        </w:rPr>
        <w:t>（</w:t>
      </w:r>
      <w:r>
        <w:rPr>
          <w:rFonts w:ascii="宋体" w:hAnsi="宋体" w:cs="宋体"/>
          <w:szCs w:val="21"/>
        </w:rPr>
        <w:t>1+申购费率</w:t>
      </w:r>
      <w:r>
        <w:rPr>
          <w:rFonts w:hint="eastAsia" w:ascii="宋体" w:hAnsi="宋体" w:cs="宋体"/>
          <w:szCs w:val="21"/>
        </w:rPr>
        <w:t>）</w:t>
      </w:r>
    </w:p>
    <w:p>
      <w:pPr>
        <w:tabs>
          <w:tab w:val="left" w:pos="0"/>
        </w:tabs>
        <w:spacing w:line="360" w:lineRule="auto"/>
        <w:ind w:firstLine="420" w:firstLineChars="200"/>
        <w:rPr>
          <w:rFonts w:ascii="宋体" w:hAnsi="宋体" w:cs="宋体"/>
          <w:szCs w:val="21"/>
        </w:rPr>
      </w:pPr>
      <w:r>
        <w:rPr>
          <w:rFonts w:hint="eastAsia" w:ascii="宋体" w:hAnsi="宋体" w:cs="宋体"/>
          <w:szCs w:val="21"/>
        </w:rPr>
        <w:t>申购费用＝净申购金额×申购费率</w:t>
      </w:r>
    </w:p>
    <w:p>
      <w:pPr>
        <w:tabs>
          <w:tab w:val="left" w:pos="0"/>
        </w:tabs>
        <w:spacing w:line="360" w:lineRule="auto"/>
        <w:ind w:firstLine="420" w:firstLineChars="200"/>
        <w:rPr>
          <w:rFonts w:ascii="宋体" w:hAnsi="宋体" w:cs="宋体"/>
          <w:szCs w:val="21"/>
        </w:rPr>
      </w:pPr>
      <w:r>
        <w:rPr>
          <w:rFonts w:hint="eastAsia" w:ascii="宋体" w:hAnsi="宋体" w:cs="宋体"/>
          <w:szCs w:val="21"/>
        </w:rPr>
        <w:t>申购份额＝净申购金额</w:t>
      </w:r>
      <w:r>
        <w:rPr>
          <w:rFonts w:ascii="宋体" w:hAnsi="宋体" w:cs="宋体"/>
          <w:szCs w:val="21"/>
        </w:rPr>
        <w:t>/申购</w:t>
      </w:r>
      <w:r>
        <w:rPr>
          <w:rFonts w:hint="eastAsia" w:ascii="宋体" w:hAnsi="宋体" w:cs="宋体"/>
          <w:szCs w:val="21"/>
        </w:rPr>
        <w:t>日产品份额净值</w:t>
      </w:r>
    </w:p>
    <w:p>
      <w:pPr>
        <w:tabs>
          <w:tab w:val="left" w:pos="0"/>
        </w:tabs>
        <w:spacing w:line="360" w:lineRule="auto"/>
        <w:ind w:firstLine="420" w:firstLineChars="200"/>
        <w:rPr>
          <w:rFonts w:ascii="宋体" w:hAnsi="宋体" w:cs="宋体"/>
          <w:szCs w:val="21"/>
        </w:rPr>
      </w:pPr>
      <w:r>
        <w:rPr>
          <w:rFonts w:hint="eastAsia" w:ascii="宋体" w:hAnsi="宋体" w:cs="宋体"/>
          <w:szCs w:val="21"/>
        </w:rPr>
        <w:t>申购费以四舍五入方式保留到小数点后两位。申购份额以四舍五入方式保留到小数点后两位。</w:t>
      </w:r>
    </w:p>
    <w:p>
      <w:pPr>
        <w:tabs>
          <w:tab w:val="left" w:pos="0"/>
        </w:tabs>
        <w:spacing w:line="360" w:lineRule="auto"/>
        <w:ind w:left="440"/>
        <w:rPr>
          <w:rFonts w:ascii="宋体" w:hAnsi="宋体" w:cs="宋体"/>
          <w:b/>
          <w:bCs/>
          <w:kern w:val="0"/>
          <w:szCs w:val="21"/>
          <w:lang w:bidi="bn-IN"/>
        </w:rPr>
      </w:pPr>
      <w:r>
        <w:rPr>
          <w:rFonts w:ascii="宋体" w:hAnsi="宋体" w:cs="宋体"/>
          <w:b/>
          <w:bCs/>
          <w:kern w:val="0"/>
          <w:szCs w:val="21"/>
          <w:lang w:bidi="bn-IN"/>
        </w:rPr>
        <w:t>6.赎回净额的计算</w:t>
      </w:r>
    </w:p>
    <w:p>
      <w:pPr>
        <w:spacing w:line="360" w:lineRule="auto"/>
        <w:ind w:firstLine="420" w:firstLineChars="200"/>
        <w:rPr>
          <w:rFonts w:ascii="宋体" w:hAnsi="宋体" w:cs="宋体"/>
          <w:bCs/>
          <w:kern w:val="0"/>
          <w:szCs w:val="21"/>
          <w:lang w:bidi="bn-IN"/>
        </w:rPr>
      </w:pPr>
      <w:r>
        <w:rPr>
          <w:rFonts w:hint="eastAsia" w:ascii="宋体" w:hAnsi="宋体" w:cs="宋体"/>
          <w:bCs/>
          <w:kern w:val="0"/>
          <w:szCs w:val="21"/>
          <w:lang w:bidi="bn-IN"/>
        </w:rPr>
        <w:t>赎回净额的计算公式如下：</w:t>
      </w:r>
    </w:p>
    <w:p>
      <w:pPr>
        <w:spacing w:line="360" w:lineRule="auto"/>
        <w:ind w:firstLine="417" w:firstLineChars="199"/>
        <w:rPr>
          <w:rFonts w:ascii="宋体" w:hAnsi="宋体" w:cs="宋体"/>
          <w:bCs/>
          <w:kern w:val="0"/>
          <w:szCs w:val="21"/>
          <w:lang w:bidi="bn-IN"/>
        </w:rPr>
      </w:pPr>
      <w:r>
        <w:rPr>
          <w:rFonts w:hint="eastAsia" w:ascii="宋体" w:hAnsi="宋体" w:cs="宋体"/>
          <w:bCs/>
          <w:kern w:val="0"/>
          <w:szCs w:val="21"/>
          <w:lang w:bidi="bn-IN"/>
        </w:rPr>
        <w:t>赎回总额＝赎回份额×赎回日产品份额净值</w:t>
      </w:r>
    </w:p>
    <w:p>
      <w:pPr>
        <w:spacing w:line="360" w:lineRule="auto"/>
        <w:ind w:firstLine="417" w:firstLineChars="199"/>
        <w:rPr>
          <w:rFonts w:ascii="宋体" w:hAnsi="宋体" w:cs="宋体"/>
          <w:bCs/>
          <w:kern w:val="0"/>
          <w:szCs w:val="21"/>
          <w:lang w:bidi="bn-IN"/>
        </w:rPr>
      </w:pPr>
      <w:r>
        <w:rPr>
          <w:rFonts w:hint="eastAsia" w:ascii="宋体" w:hAnsi="宋体" w:cs="宋体"/>
          <w:bCs/>
          <w:kern w:val="0"/>
          <w:szCs w:val="21"/>
          <w:lang w:bidi="bn-IN"/>
        </w:rPr>
        <w:t>赎回费用＝赎回总额×赎回费率</w:t>
      </w:r>
    </w:p>
    <w:p>
      <w:pPr>
        <w:spacing w:line="360" w:lineRule="auto"/>
        <w:ind w:firstLine="417" w:firstLineChars="199"/>
        <w:rPr>
          <w:rFonts w:ascii="宋体" w:hAnsi="宋体" w:cs="宋体"/>
          <w:bCs/>
          <w:kern w:val="0"/>
          <w:szCs w:val="21"/>
          <w:lang w:bidi="bn-IN"/>
        </w:rPr>
      </w:pPr>
      <w:r>
        <w:rPr>
          <w:rFonts w:hint="eastAsia" w:ascii="宋体" w:hAnsi="宋体" w:cs="宋体"/>
          <w:bCs/>
          <w:kern w:val="0"/>
          <w:szCs w:val="21"/>
          <w:lang w:bidi="bn-IN"/>
        </w:rPr>
        <w:t>赎回净额</w:t>
      </w:r>
      <w:r>
        <w:rPr>
          <w:rFonts w:ascii="宋体" w:hAnsi="宋体" w:cs="宋体"/>
          <w:bCs/>
          <w:kern w:val="0"/>
          <w:szCs w:val="21"/>
          <w:lang w:bidi="bn-IN"/>
        </w:rPr>
        <w:t>=赎回总额-赎回费用</w:t>
      </w:r>
    </w:p>
    <w:p>
      <w:pPr>
        <w:spacing w:line="360" w:lineRule="auto"/>
        <w:ind w:firstLine="417" w:firstLineChars="199"/>
        <w:rPr>
          <w:rFonts w:ascii="宋体" w:hAnsi="宋体" w:cs="宋体"/>
          <w:bCs/>
          <w:kern w:val="0"/>
          <w:szCs w:val="21"/>
          <w:lang w:bidi="bn-IN"/>
        </w:rPr>
      </w:pPr>
      <w:r>
        <w:rPr>
          <w:rFonts w:hint="eastAsia" w:ascii="宋体" w:hAnsi="宋体" w:cs="宋体"/>
          <w:bCs/>
          <w:kern w:val="0"/>
          <w:szCs w:val="21"/>
          <w:lang w:bidi="bn-IN"/>
        </w:rPr>
        <w:t>赎回净额以四舍五入的方法保留至小数点后两位。</w:t>
      </w:r>
    </w:p>
    <w:p>
      <w:pPr>
        <w:tabs>
          <w:tab w:val="left" w:pos="0"/>
        </w:tabs>
        <w:spacing w:line="360" w:lineRule="auto"/>
        <w:ind w:firstLine="422" w:firstLineChars="200"/>
        <w:rPr>
          <w:rFonts w:ascii="宋体" w:hAnsi="宋体" w:cs="宋体"/>
          <w:b/>
          <w:bCs/>
          <w:kern w:val="0"/>
          <w:szCs w:val="21"/>
          <w:lang w:bidi="bn-IN"/>
        </w:rPr>
      </w:pPr>
      <w:r>
        <w:rPr>
          <w:rFonts w:ascii="宋体" w:hAnsi="宋体" w:cs="宋体"/>
          <w:b/>
          <w:bCs/>
          <w:kern w:val="0"/>
          <w:szCs w:val="21"/>
          <w:lang w:bidi="bn-IN"/>
        </w:rPr>
        <w:t>7.拒绝或暂停接受申购、暂停赎回或延缓支付赎回款项的情形及处理</w:t>
      </w:r>
    </w:p>
    <w:p>
      <w:pPr>
        <w:spacing w:line="360" w:lineRule="auto"/>
        <w:ind w:firstLine="420" w:firstLineChars="200"/>
        <w:rPr>
          <w:rFonts w:ascii="宋体" w:hAnsi="宋体" w:cs="宋体"/>
          <w:bCs/>
          <w:kern w:val="0"/>
          <w:szCs w:val="21"/>
          <w:lang w:bidi="bn-IN"/>
        </w:rPr>
      </w:pPr>
      <w:r>
        <w:rPr>
          <w:rFonts w:hint="eastAsia" w:ascii="宋体" w:hAnsi="宋体" w:cs="宋体"/>
          <w:bCs/>
          <w:kern w:val="0"/>
          <w:szCs w:val="21"/>
          <w:lang w:bidi="bn-IN"/>
        </w:rPr>
        <w:t>（</w:t>
      </w:r>
      <w:r>
        <w:rPr>
          <w:rFonts w:ascii="宋体" w:hAnsi="宋体" w:cs="宋体"/>
          <w:bCs/>
          <w:kern w:val="0"/>
          <w:szCs w:val="21"/>
          <w:lang w:bidi="bn-IN"/>
        </w:rPr>
        <w:t>1）除下列情形外，管理人不得拒绝接受或暂停接受投资者的申购申请：</w:t>
      </w:r>
    </w:p>
    <w:p>
      <w:pPr>
        <w:tabs>
          <w:tab w:val="left" w:pos="120"/>
          <w:tab w:val="left" w:pos="420"/>
        </w:tabs>
        <w:spacing w:line="360" w:lineRule="auto"/>
        <w:ind w:left="420" w:leftChars="200"/>
        <w:rPr>
          <w:rFonts w:ascii="宋体" w:hAnsi="宋体" w:cs="宋体"/>
          <w:bCs/>
          <w:kern w:val="0"/>
          <w:szCs w:val="21"/>
          <w:lang w:bidi="bn-IN"/>
        </w:rPr>
      </w:pPr>
      <w:r>
        <w:rPr>
          <w:rFonts w:hint="eastAsia" w:ascii="宋体" w:hAnsi="宋体" w:cs="宋体"/>
          <w:bCs/>
          <w:kern w:val="0"/>
          <w:szCs w:val="21"/>
          <w:lang w:bidi="bn-IN"/>
        </w:rPr>
        <w:t>①不可抗力的原因导致产品无法正常运作；</w:t>
      </w:r>
    </w:p>
    <w:p>
      <w:pPr>
        <w:tabs>
          <w:tab w:val="left" w:pos="120"/>
          <w:tab w:val="left" w:pos="420"/>
        </w:tabs>
        <w:spacing w:line="360" w:lineRule="auto"/>
        <w:ind w:left="420" w:leftChars="200"/>
        <w:rPr>
          <w:rFonts w:ascii="宋体" w:hAnsi="宋体" w:cs="宋体"/>
          <w:bCs/>
          <w:kern w:val="0"/>
          <w:szCs w:val="21"/>
          <w:lang w:bidi="bn-IN"/>
        </w:rPr>
      </w:pPr>
      <w:r>
        <w:rPr>
          <w:rFonts w:hint="eastAsia" w:ascii="宋体" w:hAnsi="宋体" w:cs="宋体"/>
          <w:bCs/>
          <w:kern w:val="0"/>
          <w:szCs w:val="21"/>
          <w:lang w:bidi="bn-IN"/>
        </w:rPr>
        <w:t>②证券交易场所依法决定临时停市，导致产品管理人无法计算当日产品资产净值；</w:t>
      </w:r>
    </w:p>
    <w:p>
      <w:pPr>
        <w:tabs>
          <w:tab w:val="left" w:pos="120"/>
          <w:tab w:val="left" w:pos="420"/>
        </w:tabs>
        <w:spacing w:line="360" w:lineRule="auto"/>
        <w:ind w:left="420" w:leftChars="200"/>
        <w:rPr>
          <w:rFonts w:ascii="宋体" w:hAnsi="宋体" w:cs="宋体"/>
          <w:bCs/>
          <w:kern w:val="0"/>
          <w:szCs w:val="21"/>
          <w:lang w:bidi="bn-IN"/>
        </w:rPr>
      </w:pPr>
      <w:r>
        <w:rPr>
          <w:rFonts w:hint="eastAsia" w:ascii="宋体" w:hAnsi="宋体" w:cs="宋体"/>
          <w:bCs/>
          <w:kern w:val="0"/>
          <w:szCs w:val="21"/>
          <w:lang w:bidi="bn-IN"/>
        </w:rPr>
        <w:t>③超过产品规模上限；</w:t>
      </w:r>
    </w:p>
    <w:p>
      <w:pPr>
        <w:tabs>
          <w:tab w:val="left" w:pos="120"/>
          <w:tab w:val="left" w:pos="420"/>
        </w:tabs>
        <w:spacing w:line="360" w:lineRule="auto"/>
        <w:ind w:left="420" w:leftChars="200"/>
        <w:rPr>
          <w:rFonts w:ascii="宋体" w:hAnsi="宋体" w:cs="宋体"/>
          <w:bCs/>
          <w:kern w:val="0"/>
          <w:szCs w:val="21"/>
          <w:lang w:bidi="bn-IN"/>
        </w:rPr>
      </w:pPr>
      <w:r>
        <w:rPr>
          <w:rFonts w:hint="eastAsia" w:ascii="宋体" w:hAnsi="宋体" w:cs="宋体"/>
          <w:bCs/>
          <w:kern w:val="0"/>
          <w:szCs w:val="21"/>
          <w:lang w:bidi="bn-IN"/>
        </w:rPr>
        <w:t>④投资者申购超过个人</w:t>
      </w:r>
      <w:r>
        <w:rPr>
          <w:rFonts w:ascii="宋体" w:hAnsi="宋体" w:cs="宋体"/>
          <w:bCs/>
          <w:kern w:val="0"/>
          <w:szCs w:val="21"/>
          <w:lang w:bidi="bn-IN"/>
        </w:rPr>
        <w:t>/机构投资者持有上限；</w:t>
      </w:r>
    </w:p>
    <w:p>
      <w:pPr>
        <w:tabs>
          <w:tab w:val="left" w:pos="0"/>
          <w:tab w:val="left" w:pos="120"/>
        </w:tabs>
        <w:spacing w:line="360" w:lineRule="auto"/>
        <w:ind w:firstLine="420" w:firstLineChars="200"/>
        <w:rPr>
          <w:rFonts w:ascii="宋体" w:hAnsi="宋体" w:cs="宋体"/>
          <w:bCs/>
          <w:kern w:val="0"/>
          <w:szCs w:val="21"/>
          <w:lang w:bidi="bn-IN"/>
        </w:rPr>
      </w:pPr>
      <w:r>
        <w:rPr>
          <w:rFonts w:hint="eastAsia" w:ascii="宋体" w:hAnsi="宋体" w:cs="宋体"/>
          <w:bCs/>
          <w:kern w:val="0"/>
          <w:szCs w:val="21"/>
          <w:lang w:bidi="bn-IN"/>
        </w:rPr>
        <w:t>⑤产品资产规模过大，管理人无法找到合适的投资品种，或继续接受申购可能对产品业绩产生负面影响，从而损害现有产品份额持有人的利益；</w:t>
      </w:r>
    </w:p>
    <w:p>
      <w:pPr>
        <w:tabs>
          <w:tab w:val="left" w:pos="0"/>
          <w:tab w:val="left" w:pos="120"/>
        </w:tabs>
        <w:spacing w:line="360" w:lineRule="auto"/>
        <w:ind w:firstLine="420" w:firstLineChars="200"/>
        <w:rPr>
          <w:rFonts w:ascii="宋体" w:hAnsi="宋体" w:cs="宋体"/>
          <w:bCs/>
          <w:kern w:val="0"/>
          <w:szCs w:val="21"/>
          <w:lang w:bidi="bn-IN"/>
        </w:rPr>
      </w:pPr>
      <w:r>
        <w:rPr>
          <w:rFonts w:hint="eastAsia" w:ascii="宋体" w:hAnsi="宋体" w:cs="宋体"/>
          <w:bCs/>
          <w:kern w:val="0"/>
          <w:szCs w:val="21"/>
          <w:lang w:bidi="bn-IN"/>
        </w:rPr>
        <w:t>⑥当产品管理人认为某笔申购申请会有损于其他产品份额持有人利益时，可拒绝该笔申购申请；</w:t>
      </w:r>
    </w:p>
    <w:p>
      <w:pPr>
        <w:tabs>
          <w:tab w:val="left" w:pos="0"/>
          <w:tab w:val="left" w:pos="120"/>
        </w:tabs>
        <w:spacing w:line="360" w:lineRule="auto"/>
        <w:ind w:firstLine="420" w:firstLineChars="200"/>
        <w:rPr>
          <w:rFonts w:ascii="宋体" w:hAnsi="宋体" w:cs="宋体"/>
          <w:bCs/>
          <w:kern w:val="0"/>
          <w:szCs w:val="21"/>
          <w:lang w:bidi="bn-IN"/>
        </w:rPr>
      </w:pPr>
      <w:r>
        <w:rPr>
          <w:rFonts w:hint="eastAsia" w:ascii="宋体" w:hAnsi="宋体" w:cs="宋体"/>
          <w:bCs/>
          <w:kern w:val="0"/>
          <w:szCs w:val="21"/>
          <w:lang w:bidi="bn-IN"/>
        </w:rPr>
        <w:t>⑦法律、法规规定认定的其他情形。</w:t>
      </w:r>
    </w:p>
    <w:p>
      <w:pPr>
        <w:tabs>
          <w:tab w:val="left" w:pos="0"/>
          <w:tab w:val="left" w:pos="120"/>
        </w:tabs>
        <w:spacing w:line="360" w:lineRule="auto"/>
        <w:ind w:firstLine="420" w:firstLineChars="200"/>
        <w:rPr>
          <w:rFonts w:ascii="宋体" w:hAnsi="宋体" w:cs="宋体"/>
          <w:bCs/>
          <w:kern w:val="0"/>
          <w:szCs w:val="21"/>
          <w:lang w:bidi="bn-IN"/>
        </w:rPr>
      </w:pPr>
      <w:r>
        <w:rPr>
          <w:rFonts w:hint="eastAsia" w:ascii="宋体" w:hAnsi="宋体" w:cs="宋体"/>
          <w:bCs/>
          <w:kern w:val="0"/>
          <w:szCs w:val="21"/>
          <w:lang w:bidi="bn-IN"/>
        </w:rPr>
        <w:t>如果投资者的申购申请被拒绝，被拒绝的申购款项本金将全额退还给投资者。</w:t>
      </w:r>
    </w:p>
    <w:p>
      <w:pPr>
        <w:tabs>
          <w:tab w:val="left" w:pos="0"/>
          <w:tab w:val="left" w:pos="120"/>
        </w:tabs>
        <w:spacing w:line="360" w:lineRule="auto"/>
        <w:ind w:firstLine="420" w:firstLineChars="200"/>
        <w:rPr>
          <w:rFonts w:ascii="宋体" w:hAnsi="宋体" w:cs="宋体"/>
          <w:bCs/>
          <w:kern w:val="0"/>
          <w:szCs w:val="21"/>
          <w:lang w:bidi="bn-IN"/>
        </w:rPr>
      </w:pPr>
      <w:r>
        <w:rPr>
          <w:rFonts w:hint="eastAsia" w:ascii="宋体" w:hAnsi="宋体" w:cs="宋体"/>
          <w:bCs/>
          <w:kern w:val="0"/>
          <w:szCs w:val="21"/>
          <w:lang w:bidi="bn-IN"/>
        </w:rPr>
        <w:t>（2）除下列情形外，管理人不得拒绝接受或暂停接受投资者的赎回申请：</w:t>
      </w:r>
    </w:p>
    <w:p>
      <w:pPr>
        <w:tabs>
          <w:tab w:val="left" w:pos="0"/>
          <w:tab w:val="left" w:pos="120"/>
        </w:tabs>
        <w:spacing w:line="360" w:lineRule="auto"/>
        <w:ind w:firstLine="420" w:firstLineChars="200"/>
        <w:rPr>
          <w:rFonts w:ascii="宋体" w:hAnsi="宋体" w:cs="宋体"/>
          <w:bCs/>
          <w:kern w:val="0"/>
          <w:szCs w:val="21"/>
          <w:lang w:bidi="bn-IN"/>
        </w:rPr>
      </w:pPr>
      <w:r>
        <w:rPr>
          <w:rFonts w:hint="eastAsia" w:ascii="宋体" w:hAnsi="宋体" w:cs="宋体"/>
          <w:bCs/>
          <w:kern w:val="0"/>
          <w:szCs w:val="21"/>
          <w:lang w:bidi="bn-IN"/>
        </w:rPr>
        <w:t>①因不可抗力导致产品管理人不能支付赎回款项；</w:t>
      </w:r>
    </w:p>
    <w:p>
      <w:pPr>
        <w:tabs>
          <w:tab w:val="left" w:pos="0"/>
          <w:tab w:val="left" w:pos="120"/>
        </w:tabs>
        <w:spacing w:line="360" w:lineRule="auto"/>
        <w:ind w:firstLine="420" w:firstLineChars="200"/>
        <w:rPr>
          <w:rFonts w:ascii="宋体" w:hAnsi="宋体" w:cs="宋体"/>
          <w:bCs/>
          <w:kern w:val="0"/>
          <w:szCs w:val="21"/>
          <w:lang w:bidi="bn-IN"/>
        </w:rPr>
      </w:pPr>
      <w:r>
        <w:rPr>
          <w:rFonts w:hint="eastAsia" w:ascii="宋体" w:hAnsi="宋体" w:cs="宋体"/>
          <w:bCs/>
          <w:kern w:val="0"/>
          <w:szCs w:val="21"/>
          <w:lang w:bidi="bn-IN"/>
        </w:rPr>
        <w:t>②证券交易场所依法决定临时停市，导致产品管理人无法计算当日产品资产净值；</w:t>
      </w:r>
    </w:p>
    <w:p>
      <w:pPr>
        <w:tabs>
          <w:tab w:val="left" w:pos="0"/>
          <w:tab w:val="left" w:pos="120"/>
        </w:tabs>
        <w:spacing w:line="360" w:lineRule="auto"/>
        <w:ind w:firstLine="420" w:firstLineChars="200"/>
        <w:rPr>
          <w:rFonts w:ascii="宋体" w:hAnsi="宋体" w:cs="宋体"/>
          <w:bCs/>
          <w:kern w:val="0"/>
          <w:szCs w:val="21"/>
          <w:lang w:bidi="bn-IN"/>
        </w:rPr>
      </w:pPr>
      <w:r>
        <w:rPr>
          <w:rFonts w:hint="eastAsia" w:ascii="宋体" w:hAnsi="宋体" w:cs="宋体"/>
          <w:bCs/>
          <w:kern w:val="0"/>
          <w:szCs w:val="21"/>
          <w:lang w:bidi="bn-IN"/>
        </w:rPr>
        <w:t>③本产品连续两个开放日及以上发生巨额赎回（详见“巨额赎回的认定及处理”部分）；</w:t>
      </w:r>
    </w:p>
    <w:p>
      <w:pPr>
        <w:tabs>
          <w:tab w:val="left" w:pos="0"/>
          <w:tab w:val="left" w:pos="120"/>
        </w:tabs>
        <w:spacing w:line="360" w:lineRule="auto"/>
        <w:ind w:firstLine="420" w:firstLineChars="200"/>
        <w:rPr>
          <w:rFonts w:ascii="宋体" w:hAnsi="宋体" w:cs="宋体"/>
          <w:bCs/>
          <w:kern w:val="0"/>
          <w:szCs w:val="21"/>
          <w:lang w:bidi="bn-IN"/>
        </w:rPr>
      </w:pPr>
      <w:r>
        <w:rPr>
          <w:rFonts w:hint="eastAsia" w:ascii="宋体" w:hAnsi="宋体" w:cs="宋体"/>
          <w:bCs/>
          <w:kern w:val="0"/>
          <w:szCs w:val="21"/>
          <w:lang w:bidi="bn-IN"/>
        </w:rPr>
        <w:t>④法律、法规规定认定的其它情形。</w:t>
      </w:r>
    </w:p>
    <w:p>
      <w:pPr>
        <w:tabs>
          <w:tab w:val="left" w:pos="0"/>
        </w:tabs>
        <w:spacing w:line="360" w:lineRule="auto"/>
        <w:ind w:left="442"/>
        <w:rPr>
          <w:rFonts w:ascii="宋体" w:hAnsi="宋体" w:cs="宋体"/>
          <w:b/>
          <w:bCs/>
          <w:kern w:val="0"/>
          <w:szCs w:val="21"/>
          <w:lang w:bidi="bn-IN"/>
        </w:rPr>
      </w:pPr>
      <w:r>
        <w:rPr>
          <w:rFonts w:ascii="宋体" w:hAnsi="宋体" w:cs="宋体"/>
          <w:b/>
          <w:bCs/>
          <w:kern w:val="0"/>
          <w:szCs w:val="21"/>
          <w:lang w:bidi="bn-IN"/>
        </w:rPr>
        <w:t>8.巨额赎回的认定及处理</w:t>
      </w:r>
    </w:p>
    <w:p>
      <w:pPr>
        <w:tabs>
          <w:tab w:val="left" w:pos="0"/>
        </w:tabs>
        <w:spacing w:line="360" w:lineRule="auto"/>
        <w:ind w:firstLine="420" w:firstLineChars="200"/>
        <w:rPr>
          <w:rFonts w:ascii="宋体" w:hAnsi="宋体" w:cs="宋体"/>
          <w:szCs w:val="21"/>
        </w:rPr>
      </w:pPr>
      <w:r>
        <w:rPr>
          <w:rFonts w:hint="eastAsia" w:ascii="宋体" w:hAnsi="宋体" w:cs="宋体"/>
          <w:szCs w:val="21"/>
        </w:rPr>
        <w:t>（</w:t>
      </w:r>
      <w:r>
        <w:rPr>
          <w:rFonts w:ascii="宋体" w:hAnsi="宋体" w:cs="宋体"/>
          <w:szCs w:val="21"/>
        </w:rPr>
        <w:t>1）巨额赎回的认定</w:t>
      </w:r>
    </w:p>
    <w:p>
      <w:pPr>
        <w:tabs>
          <w:tab w:val="left" w:pos="0"/>
        </w:tabs>
        <w:spacing w:line="360" w:lineRule="auto"/>
        <w:ind w:firstLine="420" w:firstLineChars="200"/>
        <w:rPr>
          <w:rFonts w:ascii="宋体" w:hAnsi="宋体" w:cs="宋体"/>
          <w:szCs w:val="21"/>
        </w:rPr>
      </w:pPr>
      <w:r>
        <w:rPr>
          <w:rFonts w:hint="eastAsia" w:ascii="宋体" w:hAnsi="宋体" w:cs="宋体"/>
          <w:szCs w:val="21"/>
        </w:rPr>
        <w:t>在产品的单个开放日，产品</w:t>
      </w:r>
      <w:r>
        <w:rPr>
          <w:rFonts w:ascii="宋体" w:hAnsi="宋体" w:cs="宋体"/>
          <w:szCs w:val="21"/>
        </w:rPr>
        <w:t>净</w:t>
      </w:r>
      <w:r>
        <w:rPr>
          <w:rFonts w:hint="eastAsia" w:ascii="宋体" w:hAnsi="宋体" w:cs="宋体"/>
          <w:szCs w:val="21"/>
        </w:rPr>
        <w:t>赎回申请超过上一</w:t>
      </w:r>
      <w:r>
        <w:rPr>
          <w:rFonts w:ascii="宋体" w:hAnsi="宋体" w:cs="宋体"/>
          <w:szCs w:val="21"/>
        </w:rPr>
        <w:t>交易所工作</w:t>
      </w:r>
      <w:r>
        <w:rPr>
          <w:rFonts w:hint="eastAsia" w:ascii="宋体" w:hAnsi="宋体" w:cs="宋体"/>
          <w:szCs w:val="21"/>
        </w:rPr>
        <w:t>日产品总份额的</w:t>
      </w:r>
      <w:r>
        <w:rPr>
          <w:rFonts w:ascii="宋体" w:hAnsi="宋体" w:cs="宋体"/>
          <w:szCs w:val="21"/>
        </w:rPr>
        <w:t>10％时，为巨额赎回。</w:t>
      </w:r>
    </w:p>
    <w:p>
      <w:pPr>
        <w:tabs>
          <w:tab w:val="left" w:pos="0"/>
        </w:tabs>
        <w:spacing w:line="360" w:lineRule="auto"/>
        <w:ind w:firstLine="420" w:firstLineChars="200"/>
        <w:rPr>
          <w:rFonts w:ascii="宋体" w:hAnsi="宋体" w:cs="宋体"/>
          <w:szCs w:val="21"/>
        </w:rPr>
      </w:pPr>
      <w:r>
        <w:rPr>
          <w:rFonts w:hint="eastAsia" w:ascii="宋体" w:hAnsi="宋体" w:cs="宋体"/>
          <w:szCs w:val="21"/>
        </w:rPr>
        <w:t>（</w:t>
      </w:r>
      <w:r>
        <w:rPr>
          <w:rFonts w:ascii="宋体" w:hAnsi="宋体" w:cs="宋体"/>
          <w:szCs w:val="21"/>
        </w:rPr>
        <w:t>2）巨额赎回的处理方式</w:t>
      </w:r>
    </w:p>
    <w:p>
      <w:pPr>
        <w:tabs>
          <w:tab w:val="left" w:pos="0"/>
        </w:tabs>
        <w:spacing w:line="360" w:lineRule="auto"/>
        <w:ind w:firstLine="420" w:firstLineChars="200"/>
        <w:rPr>
          <w:rFonts w:ascii="宋体" w:hAnsi="宋体" w:cs="宋体"/>
          <w:szCs w:val="21"/>
        </w:rPr>
      </w:pPr>
      <w:bookmarkStart w:id="15" w:name="OLE_LINK37"/>
      <w:r>
        <w:rPr>
          <w:rFonts w:hint="eastAsia" w:ascii="宋体" w:hAnsi="宋体" w:cs="宋体"/>
          <w:szCs w:val="21"/>
        </w:rPr>
        <w:t>出现巨额赎回时，产品管理人可以根据本产品当时的资产组合状况决定接受全额赎回或部分延期赎回。</w:t>
      </w:r>
    </w:p>
    <w:bookmarkEnd w:id="15"/>
    <w:p>
      <w:pPr>
        <w:tabs>
          <w:tab w:val="left" w:pos="0"/>
        </w:tabs>
        <w:spacing w:line="360" w:lineRule="auto"/>
        <w:ind w:firstLine="420" w:firstLineChars="200"/>
        <w:rPr>
          <w:rFonts w:ascii="宋体" w:hAnsi="宋体" w:cs="宋体"/>
          <w:szCs w:val="21"/>
        </w:rPr>
      </w:pPr>
      <w:r>
        <w:rPr>
          <w:rFonts w:hint="eastAsia" w:ascii="宋体" w:hAnsi="宋体" w:cs="宋体"/>
          <w:szCs w:val="21"/>
        </w:rPr>
        <w:t>①接受全额赎回：当产品管理人认为有能力兑付投资者的全部赎回申请时，按正常赎回程序执行。</w:t>
      </w:r>
    </w:p>
    <w:p>
      <w:pPr>
        <w:tabs>
          <w:tab w:val="left" w:pos="0"/>
        </w:tabs>
        <w:spacing w:line="360" w:lineRule="auto"/>
        <w:ind w:firstLine="420" w:firstLineChars="200"/>
        <w:rPr>
          <w:rFonts w:ascii="宋体" w:hAnsi="宋体" w:cs="宋体"/>
          <w:szCs w:val="21"/>
        </w:rPr>
      </w:pPr>
      <w:r>
        <w:rPr>
          <w:rFonts w:hint="eastAsia" w:ascii="宋体" w:hAnsi="宋体" w:cs="宋体"/>
          <w:szCs w:val="21"/>
        </w:rPr>
        <w:t>②部分延期赎回：当产品管理人认为兑付投资者的赎回申请可能会对产品的资产净值造成较大波动时，产品管理人在当日接受赎回比例不低于上一日产品总份额</w:t>
      </w:r>
      <w:r>
        <w:rPr>
          <w:rFonts w:ascii="宋体" w:hAnsi="宋体" w:cs="宋体"/>
          <w:szCs w:val="21"/>
        </w:rPr>
        <w:t>10％的前提下，有权对其余赎回申请延期办理。对于当日的赎回申请，按单个账户赎回申请量占赎回申请总量的比例，确定当日受理的赎回份额；未受理部分除投资者赎回申请时选择将当日未获受理部分予以撤销者外，延迟至15个交易日内办理。转入下一交易日的赎回申请不享有赎回优先权并将以该下一交易日的</w:t>
      </w:r>
      <w:r>
        <w:rPr>
          <w:rFonts w:hint="eastAsia" w:ascii="宋体" w:hAnsi="宋体" w:cs="宋体"/>
          <w:szCs w:val="21"/>
        </w:rPr>
        <w:t>产品份额净值为基准计算赎回金额，以此类推，直到全部赎回为止。</w:t>
      </w:r>
    </w:p>
    <w:p>
      <w:pPr>
        <w:tabs>
          <w:tab w:val="left" w:pos="0"/>
        </w:tabs>
        <w:spacing w:line="360" w:lineRule="auto"/>
        <w:ind w:firstLine="420" w:firstLineChars="200"/>
        <w:rPr>
          <w:rFonts w:ascii="宋体" w:hAnsi="宋体" w:cs="宋体"/>
          <w:bCs/>
          <w:kern w:val="0"/>
          <w:szCs w:val="21"/>
          <w:lang w:bidi="bn-IN"/>
        </w:rPr>
      </w:pPr>
      <w:r>
        <w:rPr>
          <w:rFonts w:hint="eastAsia" w:ascii="宋体" w:hAnsi="宋体" w:cs="宋体"/>
          <w:szCs w:val="21"/>
        </w:rPr>
        <w:t>（</w:t>
      </w:r>
      <w:r>
        <w:rPr>
          <w:rFonts w:ascii="宋体" w:hAnsi="宋体" w:cs="宋体"/>
          <w:szCs w:val="21"/>
        </w:rPr>
        <w:t>3）本产品连续两个开放日及以上发生巨额赎回，如产品管理人认为有必要，可暂停接受赎回申请；已经接受的赎回申请可以延缓支付赎回款项，但不得超过正常支付时间20个交易所工作日，并进行公告。</w:t>
      </w:r>
    </w:p>
    <w:p>
      <w:pPr>
        <w:tabs>
          <w:tab w:val="left" w:pos="420"/>
          <w:tab w:val="left" w:pos="720"/>
        </w:tabs>
        <w:spacing w:line="360" w:lineRule="auto"/>
        <w:ind w:firstLine="422" w:firstLineChars="200"/>
        <w:rPr>
          <w:rFonts w:ascii="宋体" w:hAnsi="宋体" w:cs="宋体"/>
          <w:b/>
          <w:bCs/>
          <w:snapToGrid w:val="0"/>
          <w:szCs w:val="21"/>
        </w:rPr>
      </w:pPr>
      <w:r>
        <w:rPr>
          <w:rFonts w:hint="eastAsia" w:ascii="宋体" w:hAnsi="宋体" w:cs="宋体"/>
          <w:b/>
          <w:bCs/>
          <w:snapToGrid w:val="0"/>
          <w:szCs w:val="21"/>
        </w:rPr>
        <w:t>（四）收益分配</w:t>
      </w:r>
    </w:p>
    <w:p>
      <w:pPr>
        <w:tabs>
          <w:tab w:val="left" w:pos="0"/>
        </w:tabs>
        <w:spacing w:line="360" w:lineRule="auto"/>
        <w:ind w:firstLine="420" w:firstLineChars="200"/>
        <w:rPr>
          <w:rFonts w:ascii="宋体" w:hAnsi="宋体" w:cs="宋体"/>
          <w:szCs w:val="21"/>
        </w:rPr>
      </w:pPr>
      <w:r>
        <w:rPr>
          <w:rFonts w:ascii="宋体" w:hAnsi="宋体" w:cs="宋体"/>
          <w:szCs w:val="21"/>
        </w:rPr>
        <w:t>1.产品利润的构成</w:t>
      </w:r>
    </w:p>
    <w:p>
      <w:pPr>
        <w:tabs>
          <w:tab w:val="left" w:pos="0"/>
        </w:tabs>
        <w:spacing w:line="360" w:lineRule="auto"/>
        <w:ind w:firstLine="420" w:firstLineChars="200"/>
        <w:rPr>
          <w:rFonts w:ascii="宋体" w:hAnsi="宋体" w:cs="宋体"/>
          <w:szCs w:val="21"/>
        </w:rPr>
      </w:pPr>
      <w:r>
        <w:rPr>
          <w:rFonts w:ascii="宋体" w:hAnsi="宋体" w:cs="宋体"/>
          <w:szCs w:val="21"/>
        </w:rPr>
        <w:t>理财产品利润指产品的利息收入、投资收益、公允价值变动收益和其他收入扣除相关费用后的余额，理财产品已实现收益指产品利润减去公允价值变动收益后的余额。</w:t>
      </w:r>
    </w:p>
    <w:p>
      <w:pPr>
        <w:tabs>
          <w:tab w:val="left" w:pos="0"/>
        </w:tabs>
        <w:spacing w:line="360" w:lineRule="auto"/>
        <w:ind w:firstLine="420" w:firstLineChars="200"/>
        <w:rPr>
          <w:rFonts w:ascii="宋体" w:hAnsi="宋体" w:cs="宋体"/>
          <w:szCs w:val="21"/>
        </w:rPr>
      </w:pPr>
      <w:r>
        <w:rPr>
          <w:rFonts w:ascii="宋体" w:hAnsi="宋体" w:cs="宋体"/>
          <w:szCs w:val="21"/>
        </w:rPr>
        <w:t>2.产品可供分配利润</w:t>
      </w:r>
    </w:p>
    <w:p>
      <w:pPr>
        <w:tabs>
          <w:tab w:val="left" w:pos="0"/>
        </w:tabs>
        <w:spacing w:line="360" w:lineRule="auto"/>
        <w:ind w:firstLine="420" w:firstLineChars="200"/>
        <w:rPr>
          <w:rFonts w:ascii="宋体" w:hAnsi="宋体" w:cs="宋体"/>
          <w:szCs w:val="21"/>
        </w:rPr>
      </w:pPr>
      <w:r>
        <w:rPr>
          <w:rFonts w:ascii="宋体" w:hAnsi="宋体" w:cs="宋体"/>
          <w:szCs w:val="21"/>
        </w:rPr>
        <w:t>产品可供分配利润指截至收益分配基准日产品未分配利润与未分配利润中已实现收益的孰低数。</w:t>
      </w:r>
    </w:p>
    <w:p>
      <w:pPr>
        <w:tabs>
          <w:tab w:val="left" w:pos="0"/>
        </w:tabs>
        <w:spacing w:line="360" w:lineRule="auto"/>
        <w:ind w:firstLine="420" w:firstLineChars="200"/>
        <w:rPr>
          <w:rFonts w:ascii="宋体" w:hAnsi="宋体" w:cs="宋体"/>
          <w:szCs w:val="21"/>
        </w:rPr>
      </w:pPr>
      <w:r>
        <w:rPr>
          <w:rFonts w:ascii="宋体" w:hAnsi="宋体" w:cs="宋体"/>
          <w:szCs w:val="21"/>
        </w:rPr>
        <w:t>3.收益分配原则</w:t>
      </w:r>
    </w:p>
    <w:p>
      <w:pPr>
        <w:tabs>
          <w:tab w:val="left" w:pos="0"/>
        </w:tabs>
        <w:spacing w:line="360" w:lineRule="auto"/>
        <w:ind w:firstLine="420" w:firstLineChars="200"/>
        <w:rPr>
          <w:rFonts w:ascii="宋体" w:hAnsi="宋体" w:cs="宋体"/>
          <w:szCs w:val="21"/>
        </w:rPr>
      </w:pPr>
      <w:r>
        <w:rPr>
          <w:rFonts w:hint="eastAsia" w:ascii="宋体" w:hAnsi="宋体" w:cs="宋体"/>
          <w:szCs w:val="21"/>
        </w:rPr>
        <w:t>（</w:t>
      </w:r>
      <w:r>
        <w:rPr>
          <w:rFonts w:ascii="宋体" w:hAnsi="宋体" w:cs="宋体"/>
          <w:szCs w:val="21"/>
        </w:rPr>
        <w:t>1</w:t>
      </w:r>
      <w:r>
        <w:rPr>
          <w:rFonts w:hint="eastAsia" w:ascii="宋体" w:hAnsi="宋体" w:cs="宋体"/>
          <w:szCs w:val="21"/>
        </w:rPr>
        <w:t>）</w:t>
      </w:r>
      <w:r>
        <w:rPr>
          <w:rFonts w:hint="eastAsia" w:ascii="宋体" w:hAnsi="宋体" w:cs="宋体"/>
          <w:szCs w:val="21"/>
          <w:lang w:val="en-US" w:eastAsia="zh-CN"/>
        </w:rPr>
        <w:t>每一</w:t>
      </w:r>
      <w:r>
        <w:rPr>
          <w:rFonts w:ascii="宋体" w:hAnsi="宋体" w:cs="宋体"/>
          <w:szCs w:val="21"/>
        </w:rPr>
        <w:t>产品份额享有同等分配权。</w:t>
      </w:r>
    </w:p>
    <w:p>
      <w:pPr>
        <w:tabs>
          <w:tab w:val="left" w:pos="0"/>
        </w:tabs>
        <w:spacing w:line="360" w:lineRule="auto"/>
        <w:ind w:firstLine="420" w:firstLineChars="200"/>
        <w:rPr>
          <w:rFonts w:ascii="宋体" w:hAnsi="宋体" w:cs="宋体"/>
          <w:szCs w:val="21"/>
        </w:rPr>
      </w:pPr>
      <w:r>
        <w:rPr>
          <w:rFonts w:hint="eastAsia" w:ascii="宋体" w:hAnsi="宋体" w:cs="宋体"/>
          <w:szCs w:val="21"/>
        </w:rPr>
        <w:t>（</w:t>
      </w:r>
      <w:r>
        <w:rPr>
          <w:rFonts w:ascii="宋体" w:hAnsi="宋体" w:cs="宋体"/>
          <w:szCs w:val="21"/>
        </w:rPr>
        <w:t>2）在满足收益分配基准日理财产品份额净值大于1元的条件下，产品管理人将根据产品投资收益情况决定分配基准日、当次分配比例和金额，产品收益分配基准日</w:t>
      </w:r>
      <w:r>
        <w:rPr>
          <w:rFonts w:hint="eastAsia" w:ascii="宋体" w:hAnsi="宋体" w:cs="宋体"/>
          <w:szCs w:val="21"/>
        </w:rPr>
        <w:t>的份额净值减去每单位产品份额</w:t>
      </w:r>
      <w:r>
        <w:rPr>
          <w:rFonts w:ascii="宋体" w:hAnsi="宋体" w:cs="宋体"/>
          <w:szCs w:val="21"/>
        </w:rPr>
        <w:t>收益分配金额后不能低于1；并将于产品收益分配后2个工作日按照本产品说明书约定方式进行信息披露。</w:t>
      </w:r>
    </w:p>
    <w:p>
      <w:pPr>
        <w:tabs>
          <w:tab w:val="left" w:pos="0"/>
        </w:tabs>
        <w:spacing w:line="360" w:lineRule="auto"/>
        <w:ind w:firstLine="420" w:firstLineChars="200"/>
        <w:rPr>
          <w:rFonts w:ascii="宋体" w:hAnsi="宋体" w:cs="宋体"/>
          <w:szCs w:val="21"/>
        </w:rPr>
      </w:pPr>
      <w:r>
        <w:rPr>
          <w:rFonts w:hint="eastAsia" w:ascii="宋体" w:hAnsi="宋体" w:cs="宋体"/>
          <w:szCs w:val="21"/>
        </w:rPr>
        <w:t>（</w:t>
      </w:r>
      <w:r>
        <w:rPr>
          <w:rFonts w:ascii="宋体" w:hAnsi="宋体" w:cs="宋体"/>
          <w:szCs w:val="21"/>
        </w:rPr>
        <w:t>3</w:t>
      </w:r>
      <w:r>
        <w:rPr>
          <w:rFonts w:hint="eastAsia" w:ascii="宋体" w:hAnsi="宋体" w:cs="宋体"/>
          <w:szCs w:val="21"/>
        </w:rPr>
        <w:t>）</w:t>
      </w:r>
      <w:r>
        <w:rPr>
          <w:rFonts w:ascii="宋体" w:hAnsi="宋体" w:cs="宋体"/>
          <w:szCs w:val="21"/>
        </w:rPr>
        <w:t>法律法规或监管机关另有规定的，从其规定。</w:t>
      </w:r>
    </w:p>
    <w:p>
      <w:pPr>
        <w:tabs>
          <w:tab w:val="left" w:pos="0"/>
        </w:tabs>
        <w:spacing w:line="360" w:lineRule="auto"/>
        <w:ind w:firstLine="420" w:firstLineChars="200"/>
        <w:rPr>
          <w:rFonts w:ascii="宋体" w:hAnsi="宋体" w:cs="宋体"/>
          <w:szCs w:val="21"/>
        </w:rPr>
      </w:pPr>
      <w:r>
        <w:rPr>
          <w:rFonts w:ascii="宋体" w:hAnsi="宋体" w:cs="宋体"/>
          <w:szCs w:val="21"/>
        </w:rPr>
        <w:t>4.收益分配方式</w:t>
      </w:r>
    </w:p>
    <w:p>
      <w:pPr>
        <w:tabs>
          <w:tab w:val="left" w:pos="0"/>
        </w:tabs>
        <w:spacing w:line="360" w:lineRule="auto"/>
        <w:ind w:firstLine="420" w:firstLineChars="200"/>
        <w:rPr>
          <w:rFonts w:ascii="宋体" w:hAnsi="宋体" w:cs="宋体"/>
          <w:szCs w:val="21"/>
        </w:rPr>
      </w:pPr>
      <w:r>
        <w:rPr>
          <w:rFonts w:hint="eastAsia" w:ascii="宋体" w:hAnsi="宋体" w:cs="宋体"/>
          <w:szCs w:val="21"/>
        </w:rPr>
        <w:t>收益分配方式为现金分红。</w:t>
      </w:r>
    </w:p>
    <w:p>
      <w:pPr>
        <w:tabs>
          <w:tab w:val="left" w:pos="0"/>
        </w:tabs>
        <w:spacing w:line="360" w:lineRule="auto"/>
        <w:ind w:firstLine="420" w:firstLineChars="200"/>
        <w:rPr>
          <w:rFonts w:ascii="宋体" w:hAnsi="宋体" w:cs="宋体"/>
          <w:szCs w:val="21"/>
        </w:rPr>
      </w:pPr>
      <w:r>
        <w:rPr>
          <w:rFonts w:ascii="宋体" w:hAnsi="宋体" w:cs="宋体"/>
          <w:szCs w:val="21"/>
        </w:rPr>
        <w:t>5.投资收益计算示例</w:t>
      </w:r>
    </w:p>
    <w:p>
      <w:pPr>
        <w:tabs>
          <w:tab w:val="left" w:pos="420"/>
          <w:tab w:val="left" w:pos="720"/>
        </w:tabs>
        <w:spacing w:line="360" w:lineRule="auto"/>
        <w:ind w:firstLine="422" w:firstLineChars="200"/>
        <w:rPr>
          <w:rFonts w:ascii="宋体" w:hAnsi="宋体" w:cs="宋体"/>
          <w:snapToGrid w:val="0"/>
          <w:szCs w:val="21"/>
        </w:rPr>
      </w:pPr>
      <w:r>
        <w:rPr>
          <w:rFonts w:hint="eastAsia" w:ascii="宋体" w:hAnsi="宋体" w:cs="宋体"/>
          <w:b/>
          <w:bCs/>
          <w:snapToGrid w:val="0"/>
          <w:szCs w:val="21"/>
        </w:rPr>
        <w:t>以下示例均为假设情况，不代表本产品实际投资业绩</w:t>
      </w:r>
    </w:p>
    <w:p>
      <w:pPr>
        <w:tabs>
          <w:tab w:val="left" w:pos="420"/>
          <w:tab w:val="left" w:pos="720"/>
        </w:tabs>
        <w:spacing w:line="360" w:lineRule="auto"/>
        <w:ind w:firstLine="420" w:firstLineChars="200"/>
        <w:rPr>
          <w:rFonts w:ascii="宋体" w:hAnsi="宋体" w:cs="宋体"/>
          <w:snapToGrid w:val="0"/>
          <w:szCs w:val="21"/>
        </w:rPr>
      </w:pPr>
      <w:r>
        <w:rPr>
          <w:rFonts w:hint="eastAsia" w:ascii="宋体" w:hAnsi="宋体" w:cs="宋体"/>
          <w:snapToGrid w:val="0"/>
          <w:szCs w:val="21"/>
        </w:rPr>
        <w:t>（</w:t>
      </w:r>
      <w:r>
        <w:rPr>
          <w:rFonts w:ascii="宋体" w:hAnsi="宋体" w:cs="宋体"/>
          <w:snapToGrid w:val="0"/>
          <w:szCs w:val="21"/>
        </w:rPr>
        <w:t>1）情景一</w:t>
      </w:r>
    </w:p>
    <w:p>
      <w:pPr>
        <w:spacing w:line="360" w:lineRule="auto"/>
        <w:ind w:firstLine="420" w:firstLineChars="200"/>
        <w:rPr>
          <w:rFonts w:ascii="宋体" w:hAnsi="宋体" w:cs="宋体"/>
          <w:bCs/>
          <w:kern w:val="0"/>
          <w:szCs w:val="21"/>
          <w:lang w:bidi="bn-IN"/>
        </w:rPr>
      </w:pPr>
      <w:r>
        <w:rPr>
          <w:rFonts w:ascii="宋体" w:hAnsi="宋体" w:cs="宋体"/>
          <w:bCs/>
          <w:kern w:val="0"/>
          <w:szCs w:val="21"/>
          <w:lang w:bidi="bn-IN"/>
        </w:rPr>
        <w:t>假定投资者初始投资100万元，产品份额净值为1，投资者认购份额为100万份，在登记日投资者持有份额为100万份，理财产品每单位份额分红金额0.047元，则投资收益按照如下方式计算：</w:t>
      </w:r>
    </w:p>
    <w:p>
      <w:pPr>
        <w:tabs>
          <w:tab w:val="left" w:pos="420"/>
          <w:tab w:val="left" w:pos="720"/>
        </w:tabs>
        <w:spacing w:line="360" w:lineRule="auto"/>
        <w:ind w:firstLine="420" w:firstLineChars="200"/>
        <w:rPr>
          <w:rFonts w:ascii="宋体" w:hAnsi="宋体" w:cs="宋体"/>
          <w:bCs/>
          <w:kern w:val="0"/>
          <w:szCs w:val="21"/>
          <w:lang w:bidi="bn-IN"/>
        </w:rPr>
      </w:pPr>
      <w:r>
        <w:rPr>
          <w:rFonts w:ascii="宋体" w:hAnsi="宋体" w:cs="宋体"/>
          <w:bCs/>
          <w:kern w:val="0"/>
          <w:szCs w:val="21"/>
          <w:lang w:bidi="bn-IN"/>
        </w:rPr>
        <w:t>投资收益金额=登记日投资者持有产品份额×理财产品每单位份额分红金额。即：投资收益金额=100万份×0.047元=4.7万元。</w:t>
      </w:r>
    </w:p>
    <w:p>
      <w:pPr>
        <w:tabs>
          <w:tab w:val="left" w:pos="420"/>
          <w:tab w:val="left" w:pos="720"/>
        </w:tabs>
        <w:spacing w:line="360" w:lineRule="auto"/>
        <w:ind w:firstLine="420" w:firstLineChars="200"/>
        <w:rPr>
          <w:rFonts w:ascii="宋体" w:hAnsi="宋体" w:cs="宋体"/>
          <w:snapToGrid w:val="0"/>
          <w:szCs w:val="21"/>
        </w:rPr>
      </w:pPr>
      <w:r>
        <w:rPr>
          <w:rFonts w:hint="eastAsia" w:ascii="宋体" w:hAnsi="宋体" w:cs="宋体"/>
          <w:snapToGrid w:val="0"/>
          <w:szCs w:val="21"/>
        </w:rPr>
        <w:t>（</w:t>
      </w:r>
      <w:r>
        <w:rPr>
          <w:rFonts w:ascii="宋体" w:hAnsi="宋体" w:cs="宋体"/>
          <w:snapToGrid w:val="0"/>
          <w:szCs w:val="21"/>
        </w:rPr>
        <w:t>2</w:t>
      </w:r>
      <w:r>
        <w:rPr>
          <w:rFonts w:hint="eastAsia" w:ascii="宋体" w:hAnsi="宋体" w:cs="宋体"/>
          <w:snapToGrid w:val="0"/>
          <w:szCs w:val="21"/>
        </w:rPr>
        <w:t>）情景二</w:t>
      </w:r>
    </w:p>
    <w:p>
      <w:pPr>
        <w:tabs>
          <w:tab w:val="left" w:pos="420"/>
          <w:tab w:val="left" w:pos="720"/>
        </w:tabs>
        <w:spacing w:line="360" w:lineRule="auto"/>
        <w:ind w:firstLine="420" w:firstLineChars="200"/>
        <w:rPr>
          <w:rFonts w:ascii="宋体" w:hAnsi="宋体" w:cs="宋体"/>
          <w:bCs/>
          <w:kern w:val="0"/>
          <w:szCs w:val="21"/>
          <w:lang w:bidi="bn-IN"/>
        </w:rPr>
      </w:pPr>
      <w:r>
        <w:rPr>
          <w:rFonts w:ascii="宋体" w:hAnsi="宋体" w:cs="宋体"/>
          <w:bCs/>
          <w:kern w:val="0"/>
          <w:szCs w:val="21"/>
          <w:lang w:bidi="bn-IN"/>
        </w:rPr>
        <w:t>假定投资者初始投资100万元，产品份额净值为1，投资者认购份额为100万份，在登记日投资者持有份额为100万份，在收益分配基准日产品份额净值为0.96，则不进行收益分配。</w:t>
      </w:r>
    </w:p>
    <w:p>
      <w:pPr>
        <w:tabs>
          <w:tab w:val="left" w:pos="420"/>
          <w:tab w:val="left" w:pos="720"/>
        </w:tabs>
        <w:spacing w:line="360" w:lineRule="auto"/>
        <w:ind w:firstLine="422" w:firstLineChars="200"/>
        <w:rPr>
          <w:rFonts w:ascii="宋体" w:hAnsi="宋体" w:cs="宋体"/>
          <w:b/>
          <w:bCs/>
          <w:snapToGrid w:val="0"/>
          <w:szCs w:val="21"/>
        </w:rPr>
      </w:pPr>
      <w:r>
        <w:rPr>
          <w:rFonts w:ascii="宋体" w:hAnsi="宋体" w:cs="宋体"/>
          <w:b/>
          <w:bCs/>
          <w:snapToGrid w:val="0"/>
          <w:szCs w:val="21"/>
        </w:rPr>
        <w:t>在最不利的情况下，投资者可能损失100%本金。</w:t>
      </w:r>
    </w:p>
    <w:p>
      <w:pPr>
        <w:tabs>
          <w:tab w:val="left" w:pos="420"/>
          <w:tab w:val="left" w:pos="720"/>
        </w:tabs>
        <w:spacing w:line="360" w:lineRule="auto"/>
        <w:ind w:firstLine="422" w:firstLineChars="200"/>
        <w:rPr>
          <w:rFonts w:ascii="宋体" w:hAnsi="宋体" w:cs="宋体"/>
          <w:b/>
          <w:bCs/>
          <w:snapToGrid w:val="0"/>
          <w:szCs w:val="21"/>
        </w:rPr>
      </w:pPr>
      <w:r>
        <w:rPr>
          <w:rFonts w:hint="eastAsia" w:ascii="宋体" w:hAnsi="宋体" w:cs="宋体"/>
          <w:b/>
          <w:bCs/>
          <w:snapToGrid w:val="0"/>
          <w:szCs w:val="21"/>
        </w:rPr>
        <w:t>上述情况假设仅用于向投资者示例收益计算方法之用，并</w:t>
      </w:r>
      <w:r>
        <w:rPr>
          <w:rFonts w:hint="eastAsia" w:ascii="宋体" w:hAnsi="宋体"/>
          <w:b/>
          <w:bCs/>
          <w:szCs w:val="21"/>
        </w:rPr>
        <w:t>非</w:t>
      </w:r>
      <w:r>
        <w:rPr>
          <w:rFonts w:hint="eastAsia" w:ascii="宋体" w:hAnsi="宋体" w:cs="宋体"/>
          <w:b/>
          <w:bCs/>
          <w:snapToGrid w:val="0"/>
          <w:szCs w:val="21"/>
        </w:rPr>
        <w:t>管理人对实际投资情况的预期判断，并不代表以上所有情形或某一情形一定会发生，或管理人认为发生的可能性很大。投资者获得的最终收益以产品实际运作表现管理人实际支付为准。</w:t>
      </w:r>
    </w:p>
    <w:p>
      <w:pPr>
        <w:tabs>
          <w:tab w:val="left" w:pos="420"/>
          <w:tab w:val="left" w:pos="720"/>
        </w:tabs>
        <w:spacing w:line="360" w:lineRule="auto"/>
        <w:ind w:firstLine="422" w:firstLineChars="200"/>
        <w:outlineLvl w:val="0"/>
        <w:rPr>
          <w:rFonts w:ascii="宋体" w:hAnsi="宋体" w:cs="宋体"/>
          <w:b/>
          <w:bCs/>
          <w:snapToGrid w:val="0"/>
          <w:szCs w:val="21"/>
        </w:rPr>
      </w:pPr>
      <w:r>
        <w:rPr>
          <w:rFonts w:hint="eastAsia" w:ascii="宋体" w:hAnsi="宋体" w:cs="宋体"/>
          <w:b/>
          <w:bCs/>
          <w:snapToGrid w:val="0"/>
          <w:szCs w:val="21"/>
        </w:rPr>
        <w:t>（五）产品提前终止</w:t>
      </w:r>
    </w:p>
    <w:p>
      <w:pPr>
        <w:tabs>
          <w:tab w:val="left" w:pos="420"/>
          <w:tab w:val="left" w:pos="720"/>
        </w:tabs>
        <w:spacing w:line="360" w:lineRule="auto"/>
        <w:ind w:firstLine="420" w:firstLineChars="200"/>
        <w:rPr>
          <w:rFonts w:ascii="宋体" w:hAnsi="宋体" w:cs="宋体"/>
          <w:snapToGrid w:val="0"/>
          <w:szCs w:val="21"/>
        </w:rPr>
      </w:pPr>
      <w:r>
        <w:rPr>
          <w:rFonts w:ascii="宋体" w:hAnsi="宋体" w:cs="宋体"/>
          <w:snapToGrid w:val="0"/>
          <w:szCs w:val="21"/>
        </w:rPr>
        <w:t>1.提前终止原因</w:t>
      </w:r>
    </w:p>
    <w:p>
      <w:pPr>
        <w:tabs>
          <w:tab w:val="left" w:pos="420"/>
          <w:tab w:val="left" w:pos="720"/>
        </w:tabs>
        <w:spacing w:line="360" w:lineRule="auto"/>
        <w:ind w:firstLine="420" w:firstLineChars="200"/>
        <w:rPr>
          <w:rFonts w:ascii="宋体" w:hAnsi="宋体" w:cs="宋体"/>
          <w:snapToGrid w:val="0"/>
          <w:szCs w:val="21"/>
        </w:rPr>
      </w:pPr>
      <w:r>
        <w:rPr>
          <w:rFonts w:hint="eastAsia" w:ascii="宋体" w:hAnsi="宋体" w:cs="宋体"/>
          <w:snapToGrid w:val="0"/>
          <w:szCs w:val="21"/>
        </w:rPr>
        <w:t>本产品存续期内如遇监管机构要求或法律法规规定需要终止产品，或自然灾害、疫情、严重传染病、金融市场危机、战争、国家政策变化等不可抗力因素及</w:t>
      </w:r>
      <w:r>
        <w:rPr>
          <w:rFonts w:ascii="宋体" w:hAnsi="宋体" w:cs="宋体"/>
          <w:snapToGrid w:val="0"/>
          <w:szCs w:val="21"/>
        </w:rPr>
        <w:t>/或意外事件导致本产品无法正常运作，或产品总份额连续90个交易所工作日低于</w:t>
      </w:r>
      <w:r>
        <w:rPr>
          <w:rFonts w:hint="eastAsia" w:ascii="宋体" w:hAnsi="宋体" w:cs="宋体"/>
          <w:snapToGrid w:val="0"/>
          <w:szCs w:val="21"/>
        </w:rPr>
        <w:t>3000万</w:t>
      </w:r>
      <w:r>
        <w:rPr>
          <w:rFonts w:ascii="宋体" w:hAnsi="宋体" w:cs="宋体"/>
          <w:snapToGrid w:val="0"/>
          <w:szCs w:val="21"/>
        </w:rPr>
        <w:t>份，或产品资产净值连续90个交易所工作日低于人民币</w:t>
      </w:r>
      <w:r>
        <w:rPr>
          <w:rFonts w:hint="eastAsia" w:ascii="宋体" w:hAnsi="宋体" w:cs="宋体"/>
          <w:snapToGrid w:val="0"/>
          <w:szCs w:val="21"/>
        </w:rPr>
        <w:t>3000万</w:t>
      </w:r>
      <w:r>
        <w:rPr>
          <w:rFonts w:hint="eastAsia" w:ascii="宋体" w:hAnsi="宋体" w:cs="宋体"/>
          <w:snapToGrid w:val="0"/>
          <w:szCs w:val="21"/>
          <w:lang w:val="en-US" w:eastAsia="zh-CN"/>
        </w:rPr>
        <w:t>元</w:t>
      </w:r>
      <w:r>
        <w:rPr>
          <w:rFonts w:ascii="宋体" w:hAnsi="宋体" w:cs="宋体"/>
          <w:snapToGrid w:val="0"/>
          <w:szCs w:val="21"/>
        </w:rPr>
        <w:t>，产品管理人有权提前终止本产品。</w:t>
      </w:r>
    </w:p>
    <w:p>
      <w:pPr>
        <w:tabs>
          <w:tab w:val="left" w:pos="420"/>
          <w:tab w:val="left" w:pos="720"/>
        </w:tabs>
        <w:spacing w:line="360" w:lineRule="auto"/>
        <w:ind w:firstLine="420" w:firstLineChars="200"/>
        <w:rPr>
          <w:rFonts w:ascii="宋体" w:hAnsi="宋体" w:cs="宋体"/>
          <w:snapToGrid w:val="0"/>
          <w:szCs w:val="21"/>
        </w:rPr>
      </w:pPr>
      <w:r>
        <w:rPr>
          <w:rFonts w:ascii="宋体" w:hAnsi="宋体" w:cs="宋体"/>
          <w:snapToGrid w:val="0"/>
          <w:szCs w:val="21"/>
        </w:rPr>
        <w:t>2.提前终止公告</w:t>
      </w:r>
    </w:p>
    <w:p>
      <w:pPr>
        <w:tabs>
          <w:tab w:val="left" w:pos="420"/>
          <w:tab w:val="left" w:pos="720"/>
        </w:tabs>
        <w:spacing w:line="360" w:lineRule="auto"/>
        <w:ind w:firstLine="420" w:firstLineChars="200"/>
        <w:rPr>
          <w:rFonts w:ascii="宋体" w:hAnsi="宋体" w:cs="宋体"/>
          <w:snapToGrid w:val="0"/>
          <w:szCs w:val="21"/>
        </w:rPr>
      </w:pPr>
      <w:r>
        <w:rPr>
          <w:rFonts w:hint="eastAsia" w:ascii="宋体" w:hAnsi="宋体" w:cs="宋体"/>
          <w:snapToGrid w:val="0"/>
          <w:szCs w:val="21"/>
        </w:rPr>
        <w:t>如理财产品管理人提前终止本理财产品，将至少提前</w:t>
      </w:r>
      <w:r>
        <w:rPr>
          <w:rFonts w:ascii="宋体" w:hAnsi="宋体" w:cs="宋体"/>
          <w:snapToGrid w:val="0"/>
          <w:szCs w:val="21"/>
        </w:rPr>
        <w:t>2个工作日（含）通过相应信息披露渠道予以披露。提前终止日至资金实际到账日期间不计息。</w:t>
      </w:r>
    </w:p>
    <w:p>
      <w:pPr>
        <w:pStyle w:val="9"/>
        <w:widowControl/>
        <w:spacing w:before="0" w:beforeAutospacing="0" w:after="0" w:afterAutospacing="0" w:line="360" w:lineRule="auto"/>
        <w:ind w:firstLine="397"/>
        <w:jc w:val="both"/>
        <w:outlineLvl w:val="0"/>
        <w:rPr>
          <w:rFonts w:ascii="宋体" w:hAnsi="宋体" w:cs="宋体"/>
          <w:b/>
          <w:bCs/>
          <w:snapToGrid w:val="0"/>
          <w:kern w:val="2"/>
          <w:sz w:val="21"/>
          <w:szCs w:val="21"/>
        </w:rPr>
      </w:pPr>
      <w:bookmarkStart w:id="16" w:name="OLE_LINK38"/>
      <w:r>
        <w:rPr>
          <w:rFonts w:hint="eastAsia" w:ascii="宋体" w:hAnsi="宋体" w:cs="宋体"/>
          <w:b/>
          <w:bCs/>
          <w:snapToGrid w:val="0"/>
          <w:kern w:val="2"/>
          <w:sz w:val="21"/>
          <w:szCs w:val="21"/>
        </w:rPr>
        <w:t>（六）产品终止清算</w:t>
      </w:r>
    </w:p>
    <w:p>
      <w:pPr>
        <w:spacing w:line="360" w:lineRule="auto"/>
        <w:ind w:firstLine="420" w:firstLineChars="200"/>
        <w:rPr>
          <w:rFonts w:ascii="宋体" w:hAnsi="宋体" w:cs="宋体"/>
          <w:szCs w:val="21"/>
        </w:rPr>
      </w:pPr>
      <w:r>
        <w:rPr>
          <w:rFonts w:ascii="宋体" w:hAnsi="宋体" w:cs="宋体"/>
          <w:szCs w:val="21"/>
        </w:rPr>
        <w:t>1.自本理财产品终止日至投资者理财本金及收益到账日之间为本理财产品的清算期。清算期不计算利息或投资收益。清算期原则上不得超过5个工作日，清算期超过5个工作日的将及时进行公告。产品终止后，管理人将对清算后的产品净资产按投资者持有份额比例对投资者进行分配。</w:t>
      </w:r>
    </w:p>
    <w:p>
      <w:pPr>
        <w:spacing w:line="360" w:lineRule="auto"/>
        <w:ind w:firstLine="420" w:firstLineChars="200"/>
        <w:rPr>
          <w:rFonts w:ascii="宋体" w:hAnsi="宋体" w:cs="宋体"/>
          <w:szCs w:val="21"/>
        </w:rPr>
      </w:pPr>
      <w:r>
        <w:rPr>
          <w:rFonts w:hint="eastAsia" w:ascii="宋体" w:hAnsi="宋体" w:cs="宋体"/>
          <w:szCs w:val="21"/>
        </w:rPr>
        <w:t>投资者最后分配金额</w:t>
      </w:r>
      <w:r>
        <w:rPr>
          <w:rFonts w:ascii="宋体" w:hAnsi="宋体" w:cs="宋体"/>
          <w:szCs w:val="21"/>
        </w:rPr>
        <w:t>=投资者持有份额比例×产品存续期末可分配资金</w:t>
      </w:r>
    </w:p>
    <w:p>
      <w:pPr>
        <w:spacing w:line="360" w:lineRule="auto"/>
        <w:ind w:firstLine="420" w:firstLineChars="200"/>
        <w:rPr>
          <w:rFonts w:ascii="宋体" w:hAnsi="宋体" w:cs="宋体"/>
          <w:szCs w:val="21"/>
        </w:rPr>
      </w:pPr>
      <w:r>
        <w:rPr>
          <w:rFonts w:hint="eastAsia" w:ascii="宋体" w:hAnsi="宋体" w:cs="宋体"/>
          <w:szCs w:val="21"/>
        </w:rPr>
        <w:t>投资者持有份额比例</w:t>
      </w:r>
      <w:r>
        <w:rPr>
          <w:rFonts w:ascii="宋体" w:hAnsi="宋体" w:cs="宋体"/>
          <w:szCs w:val="21"/>
        </w:rPr>
        <w:t>=投资者持有份额÷产品总份额。</w:t>
      </w:r>
    </w:p>
    <w:p>
      <w:pPr>
        <w:spacing w:line="360" w:lineRule="auto"/>
        <w:ind w:firstLine="420" w:firstLineChars="200"/>
        <w:rPr>
          <w:rFonts w:hint="eastAsia" w:ascii="宋体" w:hAnsi="宋体" w:cs="宋体"/>
          <w:szCs w:val="21"/>
        </w:rPr>
      </w:pPr>
      <w:r>
        <w:rPr>
          <w:rFonts w:hint="eastAsia" w:ascii="宋体" w:hAnsi="宋体" w:cs="宋体"/>
          <w:szCs w:val="21"/>
          <w:lang w:val="en-US" w:eastAsia="zh-CN"/>
        </w:rPr>
        <w:t>2.</w:t>
      </w:r>
      <w:r>
        <w:rPr>
          <w:rFonts w:hint="eastAsia" w:ascii="宋体" w:hAnsi="宋体" w:cs="宋体"/>
          <w:szCs w:val="21"/>
        </w:rPr>
        <w:t>出现以下情况，产品管理人有权延长本理财产品的资金到账日：</w:t>
      </w:r>
    </w:p>
    <w:p>
      <w:pPr>
        <w:spacing w:line="360" w:lineRule="auto"/>
        <w:ind w:firstLine="420" w:firstLineChars="200"/>
        <w:rPr>
          <w:rFonts w:hint="eastAsia" w:ascii="宋体" w:hAnsi="宋体" w:cs="宋体"/>
          <w:szCs w:val="21"/>
        </w:rPr>
      </w:pPr>
      <w:r>
        <w:rPr>
          <w:rFonts w:hint="eastAsia" w:ascii="宋体" w:hAnsi="宋体" w:cs="宋体"/>
          <w:szCs w:val="21"/>
        </w:rPr>
        <w:t>（1）因市场成交量不足、资产限制赎回、暂停交易、缺乏意愿交易对手等原因，导致产品项下对应的投资标的无法及时变现；</w:t>
      </w:r>
    </w:p>
    <w:p>
      <w:pPr>
        <w:spacing w:line="360" w:lineRule="auto"/>
        <w:ind w:firstLine="420" w:firstLineChars="200"/>
        <w:rPr>
          <w:rFonts w:hint="eastAsia" w:ascii="宋体" w:hAnsi="宋体" w:cs="宋体"/>
          <w:szCs w:val="21"/>
        </w:rPr>
      </w:pPr>
      <w:r>
        <w:rPr>
          <w:rFonts w:hint="eastAsia" w:ascii="宋体" w:hAnsi="宋体" w:cs="宋体"/>
          <w:szCs w:val="21"/>
        </w:rPr>
        <w:t>（2）所投资产发生风险；</w:t>
      </w:r>
    </w:p>
    <w:p>
      <w:pPr>
        <w:spacing w:line="360" w:lineRule="auto"/>
        <w:ind w:firstLine="420" w:firstLineChars="200"/>
        <w:rPr>
          <w:rFonts w:hint="eastAsia" w:ascii="宋体" w:hAnsi="宋体" w:cs="宋体"/>
          <w:szCs w:val="21"/>
        </w:rPr>
      </w:pPr>
      <w:r>
        <w:rPr>
          <w:rFonts w:hint="eastAsia" w:ascii="宋体" w:hAnsi="宋体" w:cs="宋体"/>
          <w:szCs w:val="21"/>
        </w:rPr>
        <w:t>（3）因不可抗力等原因，导致产品管理人接受赎回申请后无法兑付；</w:t>
      </w:r>
    </w:p>
    <w:p>
      <w:pPr>
        <w:spacing w:line="360" w:lineRule="auto"/>
        <w:ind w:firstLine="420" w:firstLineChars="200"/>
        <w:rPr>
          <w:rFonts w:hint="eastAsia" w:ascii="宋体" w:hAnsi="宋体" w:cs="宋体"/>
          <w:szCs w:val="21"/>
        </w:rPr>
      </w:pPr>
      <w:r>
        <w:rPr>
          <w:rFonts w:hint="eastAsia" w:ascii="宋体" w:hAnsi="宋体" w:cs="宋体"/>
          <w:szCs w:val="21"/>
        </w:rPr>
        <w:t>（4）其他产品管理人认为需要延期兑付的情形。</w:t>
      </w:r>
    </w:p>
    <w:p>
      <w:pPr>
        <w:spacing w:line="360" w:lineRule="auto"/>
        <w:ind w:firstLine="420" w:firstLineChars="200"/>
        <w:rPr>
          <w:rFonts w:hint="eastAsia" w:ascii="宋体" w:hAnsi="宋体" w:cs="宋体"/>
          <w:szCs w:val="21"/>
        </w:rPr>
      </w:pPr>
      <w:r>
        <w:rPr>
          <w:rFonts w:hint="eastAsia" w:ascii="宋体" w:hAnsi="宋体" w:cs="宋体"/>
          <w:szCs w:val="21"/>
        </w:rPr>
        <w:t>产品管理人确定延长本理财产品资金到账日的，应通过本销售文件约定的方式进行信息披露。</w:t>
      </w:r>
    </w:p>
    <w:p>
      <w:pPr>
        <w:spacing w:line="360" w:lineRule="auto"/>
        <w:ind w:firstLine="420" w:firstLineChars="200"/>
        <w:rPr>
          <w:rFonts w:ascii="宋体" w:hAnsi="宋体" w:cs="宋体"/>
          <w:szCs w:val="21"/>
        </w:rPr>
      </w:pPr>
      <w:r>
        <w:rPr>
          <w:rFonts w:hint="eastAsia" w:ascii="宋体" w:hAnsi="宋体" w:cs="宋体"/>
          <w:szCs w:val="21"/>
          <w:lang w:val="en-US" w:eastAsia="zh-CN"/>
        </w:rPr>
        <w:t>3</w:t>
      </w:r>
      <w:r>
        <w:rPr>
          <w:rFonts w:ascii="宋体" w:hAnsi="宋体" w:cs="宋体"/>
          <w:szCs w:val="21"/>
        </w:rPr>
        <w:t>.由于产品资产延迟变现等原因，本产品存在需要进行二次或多次清算的可能。如产品管理人拟进行二次或多次清算的，应向投资者进行披露。在进行二次或多次清算的变现过程中，变现的资金以现金保存，不得再进行投资。</w:t>
      </w:r>
    </w:p>
    <w:bookmarkEnd w:id="16"/>
    <w:p>
      <w:pPr>
        <w:tabs>
          <w:tab w:val="left" w:pos="420"/>
          <w:tab w:val="left" w:pos="720"/>
        </w:tabs>
        <w:spacing w:line="360" w:lineRule="auto"/>
        <w:ind w:firstLine="440" w:firstLineChars="200"/>
        <w:jc w:val="left"/>
        <w:rPr>
          <w:rFonts w:ascii="宋体" w:hAnsi="宋体" w:cs="宋体"/>
          <w:snapToGrid w:val="0"/>
          <w:sz w:val="22"/>
        </w:rPr>
      </w:pPr>
    </w:p>
    <w:p>
      <w:pPr>
        <w:spacing w:line="360" w:lineRule="auto"/>
        <w:jc w:val="center"/>
        <w:outlineLvl w:val="0"/>
        <w:rPr>
          <w:rFonts w:ascii="宋体" w:hAnsi="宋体" w:cs="宋体"/>
          <w:b/>
          <w:bCs/>
          <w:sz w:val="28"/>
          <w:szCs w:val="28"/>
        </w:rPr>
      </w:pPr>
      <w:r>
        <w:rPr>
          <w:rFonts w:hint="eastAsia" w:ascii="宋体" w:hAnsi="宋体" w:cs="宋体"/>
          <w:b/>
          <w:bCs/>
          <w:sz w:val="28"/>
          <w:szCs w:val="28"/>
        </w:rPr>
        <w:t>七、产品费用及税收</w:t>
      </w:r>
    </w:p>
    <w:p>
      <w:pPr>
        <w:pStyle w:val="9"/>
        <w:widowControl/>
        <w:spacing w:before="0" w:beforeAutospacing="0" w:after="0" w:afterAutospacing="0" w:line="360" w:lineRule="auto"/>
        <w:ind w:left="444" w:firstLine="397"/>
        <w:jc w:val="both"/>
        <w:outlineLvl w:val="0"/>
        <w:rPr>
          <w:rFonts w:ascii="宋体" w:hAnsi="宋体" w:cs="宋体"/>
          <w:b/>
          <w:bCs/>
          <w:snapToGrid w:val="0"/>
          <w:sz w:val="21"/>
          <w:szCs w:val="21"/>
        </w:rPr>
      </w:pPr>
      <w:r>
        <w:rPr>
          <w:rFonts w:hint="eastAsia" w:ascii="宋体" w:hAnsi="宋体" w:cs="宋体"/>
          <w:b/>
          <w:bCs/>
          <w:snapToGrid w:val="0"/>
          <w:kern w:val="2"/>
          <w:sz w:val="21"/>
          <w:szCs w:val="21"/>
        </w:rPr>
        <w:t>（一）费用种类</w:t>
      </w:r>
    </w:p>
    <w:p>
      <w:pPr>
        <w:spacing w:line="360" w:lineRule="auto"/>
        <w:ind w:firstLine="420" w:firstLineChars="200"/>
        <w:rPr>
          <w:rFonts w:ascii="宋体" w:hAnsi="宋体" w:cs="宋体"/>
          <w:szCs w:val="21"/>
        </w:rPr>
      </w:pPr>
      <w:r>
        <w:rPr>
          <w:rFonts w:hint="eastAsia" w:ascii="宋体" w:hAnsi="宋体" w:cs="宋体"/>
          <w:szCs w:val="21"/>
        </w:rPr>
        <w:t>本产品费用包括管理费、托管费、销售服务费、认</w:t>
      </w:r>
      <w:r>
        <w:rPr>
          <w:rFonts w:ascii="宋体" w:hAnsi="宋体" w:cs="宋体"/>
          <w:szCs w:val="21"/>
        </w:rPr>
        <w:t>/申购费以及产品运作和清算中产生的其他费用等。</w:t>
      </w:r>
    </w:p>
    <w:p>
      <w:pPr>
        <w:spacing w:line="360" w:lineRule="auto"/>
        <w:ind w:left="444"/>
        <w:outlineLvl w:val="0"/>
        <w:rPr>
          <w:rFonts w:ascii="宋体" w:hAnsi="宋体" w:cs="宋体"/>
          <w:bCs/>
          <w:szCs w:val="21"/>
        </w:rPr>
      </w:pPr>
      <w:r>
        <w:rPr>
          <w:rFonts w:hint="eastAsia" w:ascii="宋体" w:hAnsi="宋体" w:cs="宋体"/>
          <w:b/>
          <w:bCs/>
          <w:szCs w:val="21"/>
        </w:rPr>
        <w:t>（二）计提方法、计提标准和支付方式</w:t>
      </w:r>
    </w:p>
    <w:p>
      <w:pPr>
        <w:spacing w:line="360" w:lineRule="auto"/>
        <w:ind w:firstLine="422" w:firstLineChars="200"/>
        <w:rPr>
          <w:rFonts w:ascii="宋体" w:hAnsi="宋体" w:cs="宋体"/>
          <w:szCs w:val="21"/>
        </w:rPr>
      </w:pPr>
      <w:r>
        <w:rPr>
          <w:rFonts w:ascii="宋体" w:hAnsi="宋体" w:cs="宋体"/>
          <w:b/>
          <w:bCs/>
          <w:szCs w:val="21"/>
        </w:rPr>
        <w:t>1.管理费：</w:t>
      </w:r>
      <w:r>
        <w:rPr>
          <w:rFonts w:hint="eastAsia" w:ascii="宋体" w:hAnsi="宋体" w:cs="宋体"/>
          <w:szCs w:val="21"/>
        </w:rPr>
        <w:t>本产品的管理费每日计提，按季支付。管理费按前一日产品资产净值的</w:t>
      </w:r>
      <w:r>
        <w:rPr>
          <w:rFonts w:hint="eastAsia" w:ascii="宋体" w:hAnsi="宋体" w:cs="宋体"/>
          <w:szCs w:val="21"/>
          <w:lang w:eastAsia="zh-CN"/>
        </w:rPr>
        <w:t>0.6</w:t>
      </w:r>
      <w:r>
        <w:rPr>
          <w:rFonts w:hint="eastAsia" w:ascii="宋体" w:hAnsi="宋体" w:cs="宋体"/>
          <w:szCs w:val="21"/>
          <w:lang w:val="en-US" w:eastAsia="zh-CN"/>
        </w:rPr>
        <w:t>0</w:t>
      </w:r>
      <w:r>
        <w:rPr>
          <w:rFonts w:hint="eastAsia" w:ascii="宋体" w:hAnsi="宋体" w:cs="宋体"/>
          <w:szCs w:val="21"/>
          <w:lang w:eastAsia="zh-CN"/>
        </w:rPr>
        <w:t>%</w:t>
      </w:r>
      <w:r>
        <w:rPr>
          <w:rFonts w:ascii="宋体" w:hAnsi="宋体" w:cs="宋体"/>
          <w:szCs w:val="21"/>
        </w:rPr>
        <w:t>年费率计算，由产品管理人收取。计算方法如下：H＝E×管理费率÷365；H为每日应计提的</w:t>
      </w:r>
      <w:r>
        <w:rPr>
          <w:rFonts w:hint="eastAsia" w:ascii="宋体" w:hAnsi="宋体" w:cs="宋体"/>
          <w:szCs w:val="21"/>
        </w:rPr>
        <w:t>管理费；</w:t>
      </w:r>
      <w:r>
        <w:rPr>
          <w:rFonts w:ascii="宋体" w:hAnsi="宋体" w:cs="宋体"/>
          <w:szCs w:val="21"/>
        </w:rPr>
        <w:t>E为前一日的产品资产净值。</w:t>
      </w:r>
    </w:p>
    <w:p>
      <w:pPr>
        <w:spacing w:line="360" w:lineRule="auto"/>
        <w:ind w:firstLine="422" w:firstLineChars="200"/>
        <w:rPr>
          <w:szCs w:val="21"/>
        </w:rPr>
      </w:pPr>
      <w:r>
        <w:rPr>
          <w:rFonts w:ascii="宋体" w:hAnsi="宋体" w:cs="宋体"/>
          <w:b/>
          <w:bCs/>
          <w:szCs w:val="21"/>
        </w:rPr>
        <w:t>2.</w:t>
      </w:r>
      <w:r>
        <w:rPr>
          <w:rFonts w:hint="eastAsia" w:ascii="宋体" w:hAnsi="宋体" w:cs="宋体"/>
          <w:b/>
          <w:bCs/>
          <w:szCs w:val="21"/>
        </w:rPr>
        <w:t>超额业绩报酬：</w:t>
      </w:r>
      <w:r>
        <w:rPr>
          <w:rFonts w:hint="eastAsia"/>
          <w:szCs w:val="21"/>
        </w:rPr>
        <w:t>管理人收取理财产品超额业绩报酬。</w:t>
      </w:r>
    </w:p>
    <w:p>
      <w:pPr>
        <w:spacing w:line="360" w:lineRule="auto"/>
        <w:ind w:firstLine="420" w:firstLineChars="200"/>
        <w:rPr>
          <w:szCs w:val="21"/>
        </w:rPr>
      </w:pPr>
      <w:r>
        <w:rPr>
          <w:rFonts w:hint="eastAsia"/>
          <w:szCs w:val="21"/>
        </w:rPr>
        <w:t>（</w:t>
      </w:r>
      <w:r>
        <w:rPr>
          <w:szCs w:val="21"/>
        </w:rPr>
        <w:t>1</w:t>
      </w:r>
      <w:r>
        <w:rPr>
          <w:rFonts w:hint="eastAsia"/>
          <w:szCs w:val="21"/>
        </w:rPr>
        <w:t>）计提规则</w:t>
      </w:r>
    </w:p>
    <w:p>
      <w:pPr>
        <w:spacing w:line="360" w:lineRule="auto"/>
        <w:ind w:firstLine="420" w:firstLineChars="200"/>
        <w:rPr>
          <w:szCs w:val="21"/>
        </w:rPr>
      </w:pPr>
      <w:r>
        <w:rPr>
          <w:rFonts w:hint="eastAsia"/>
          <w:szCs w:val="21"/>
        </w:rPr>
        <w:t>产品管理人以每笔赎回资金为计提基础，在每个赎回日计提超额业绩报酬，并于计提日后</w:t>
      </w:r>
      <w:r>
        <w:rPr>
          <w:szCs w:val="21"/>
        </w:rPr>
        <w:t>10</w:t>
      </w:r>
      <w:r>
        <w:rPr>
          <w:rFonts w:hint="eastAsia"/>
          <w:szCs w:val="21"/>
        </w:rPr>
        <w:t>个工作日内向管理人支付。</w:t>
      </w:r>
    </w:p>
    <w:p>
      <w:pPr>
        <w:spacing w:line="360" w:lineRule="auto"/>
        <w:ind w:firstLine="420" w:firstLineChars="200"/>
        <w:rPr>
          <w:szCs w:val="21"/>
        </w:rPr>
      </w:pPr>
      <w:r>
        <w:rPr>
          <w:rFonts w:hint="eastAsia"/>
          <w:szCs w:val="21"/>
        </w:rPr>
        <w:t>（</w:t>
      </w:r>
      <w:r>
        <w:rPr>
          <w:szCs w:val="21"/>
        </w:rPr>
        <w:t>2</w:t>
      </w:r>
      <w:r>
        <w:rPr>
          <w:rFonts w:hint="eastAsia"/>
          <w:szCs w:val="21"/>
        </w:rPr>
        <w:t>）计算规则</w:t>
      </w:r>
    </w:p>
    <w:p>
      <w:pPr>
        <w:pStyle w:val="32"/>
        <w:spacing w:line="360" w:lineRule="auto"/>
        <w:ind w:firstLine="640"/>
        <w:rPr>
          <w:rFonts w:hAnsi="宋体"/>
          <w:sz w:val="21"/>
          <w:szCs w:val="21"/>
          <w:lang w:bidi="ar"/>
        </w:rPr>
      </w:pPr>
      <w:r>
        <w:rPr>
          <w:rFonts w:hint="eastAsia" w:hAnsi="宋体"/>
          <w:sz w:val="21"/>
          <w:szCs w:val="21"/>
          <w:lang w:bidi="ar"/>
        </w:rPr>
        <w:t>超额业绩报酬=(客户持有期间净值收益率-计提比较基准）×赎回份额×赎回份额对应的申购日（或理财产品成立日）理财产品单位净值×30%</w:t>
      </w:r>
    </w:p>
    <w:p>
      <w:pPr>
        <w:pStyle w:val="32"/>
        <w:spacing w:line="360" w:lineRule="auto"/>
        <w:ind w:firstLine="640"/>
        <w:rPr>
          <w:rFonts w:hAnsi="宋体"/>
          <w:sz w:val="21"/>
          <w:szCs w:val="21"/>
          <w:lang w:bidi="ar"/>
        </w:rPr>
      </w:pPr>
      <w:r>
        <w:rPr>
          <w:rFonts w:hint="eastAsia" w:hAnsi="宋体"/>
          <w:sz w:val="21"/>
          <w:szCs w:val="21"/>
          <w:lang w:bidi="ar"/>
        </w:rPr>
        <w:t>其中，</w:t>
      </w:r>
    </w:p>
    <w:p>
      <w:pPr>
        <w:pStyle w:val="32"/>
        <w:spacing w:line="360" w:lineRule="auto"/>
        <w:ind w:firstLine="640"/>
        <w:rPr>
          <w:rFonts w:hAnsi="宋体"/>
          <w:sz w:val="21"/>
          <w:szCs w:val="21"/>
          <w:lang w:bidi="ar"/>
        </w:rPr>
      </w:pPr>
      <w:r>
        <w:rPr>
          <w:rFonts w:hint="eastAsia" w:hAnsi="宋体"/>
          <w:sz w:val="21"/>
          <w:szCs w:val="21"/>
          <w:lang w:bidi="ar"/>
        </w:rPr>
        <w:t>客户持有期间净值收益率=（赎回日的理财产品份额累计净值-成立日</w:t>
      </w:r>
      <w:r>
        <w:rPr>
          <w:rFonts w:hint="eastAsia" w:hAnsi="宋体"/>
          <w:sz w:val="21"/>
          <w:szCs w:val="21"/>
          <w:lang w:val="en-US" w:eastAsia="zh-CN" w:bidi="ar"/>
        </w:rPr>
        <w:t>或</w:t>
      </w:r>
      <w:r>
        <w:rPr>
          <w:rFonts w:hint="eastAsia" w:hAnsi="宋体"/>
          <w:sz w:val="21"/>
          <w:szCs w:val="21"/>
          <w:lang w:bidi="ar"/>
        </w:rPr>
        <w:t>申购日理财产品份额累计净值）÷成立日/申购日（在计算认购确认的理财产品份额净值收益率时应指理财产品成立日)的理财产品份额净值。</w:t>
      </w:r>
    </w:p>
    <w:p>
      <w:pPr>
        <w:pStyle w:val="32"/>
        <w:spacing w:line="360" w:lineRule="auto"/>
        <w:ind w:firstLine="640"/>
        <w:rPr>
          <w:rFonts w:hAnsi="宋体"/>
          <w:sz w:val="21"/>
          <w:szCs w:val="21"/>
          <w:lang w:bidi="ar"/>
        </w:rPr>
      </w:pPr>
      <w:r>
        <w:rPr>
          <w:rFonts w:hint="eastAsia" w:hAnsi="宋体"/>
          <w:sz w:val="21"/>
          <w:szCs w:val="21"/>
          <w:lang w:bidi="ar"/>
        </w:rPr>
        <w:t>计提比较基准=客户持有期比较基准（年化）÷12×客户持有期。</w:t>
      </w:r>
    </w:p>
    <w:p>
      <w:pPr>
        <w:pStyle w:val="32"/>
        <w:spacing w:line="360" w:lineRule="auto"/>
        <w:ind w:firstLine="641"/>
        <w:rPr>
          <w:rFonts w:hAnsi="宋体"/>
          <w:sz w:val="21"/>
          <w:szCs w:val="21"/>
          <w:lang w:bidi="ar"/>
        </w:rPr>
      </w:pPr>
      <w:r>
        <w:rPr>
          <w:rFonts w:hint="eastAsia" w:hAnsi="宋体"/>
          <w:sz w:val="21"/>
          <w:szCs w:val="21"/>
          <w:lang w:bidi="ar"/>
        </w:rPr>
        <w:t>客户持有期比较基准（年化）=客户持有期国家统计局每月披露的居民消费价格同比（CPI）的算数平均值+2.2%=</w:t>
      </w:r>
      <w:r>
        <w:rPr>
          <w:rFonts w:hint="eastAsia" w:hAnsi="宋体"/>
          <w:position w:val="-24"/>
          <w:sz w:val="21"/>
          <w:szCs w:val="21"/>
          <w:lang w:bidi="ar"/>
        </w:rPr>
        <w:object>
          <v:shape id="_x0000_i1028" o:spt="75" type="#_x0000_t75" style="height:31pt;width:153pt;" o:ole="t" filled="f" o:preferrelative="t" stroked="f" coordsize="21600,21600">
            <v:path/>
            <v:fill on="f" focussize="0,0"/>
            <v:stroke on="f" joinstyle="miter"/>
            <v:imagedata r:id="rId13" o:title=""/>
            <o:lock v:ext="edit" aspectratio="t"/>
            <w10:wrap type="none"/>
            <w10:anchorlock/>
          </v:shape>
          <o:OLEObject Type="Embed" ProgID="Equation.3" ShapeID="_x0000_i1028" DrawAspect="Content" ObjectID="_1468075728" r:id="rId12">
            <o:LockedField>false</o:LockedField>
          </o:OLEObject>
        </w:object>
      </w:r>
    </w:p>
    <w:p>
      <w:pPr>
        <w:pStyle w:val="32"/>
        <w:spacing w:line="360" w:lineRule="auto"/>
        <w:ind w:firstLine="641"/>
        <w:rPr>
          <w:rFonts w:hAnsi="宋体"/>
          <w:sz w:val="21"/>
          <w:szCs w:val="21"/>
          <w:lang w:bidi="ar"/>
        </w:rPr>
      </w:pPr>
      <w:r>
        <w:rPr>
          <w:rFonts w:hint="eastAsia" w:hAnsi="宋体"/>
          <w:sz w:val="21"/>
          <w:szCs w:val="21"/>
          <w:lang w:bidi="ar"/>
        </w:rPr>
        <w:t>客户持有期是指投资者认购/申购当月（含）至赎回当月（不含）之间的实际存续月数（n）。</w:t>
      </w:r>
    </w:p>
    <w:p>
      <w:pPr>
        <w:pStyle w:val="32"/>
        <w:spacing w:line="360" w:lineRule="auto"/>
        <w:ind w:firstLine="640"/>
        <w:rPr>
          <w:rFonts w:hAnsi="宋体"/>
          <w:sz w:val="21"/>
          <w:szCs w:val="21"/>
          <w:lang w:bidi="ar"/>
        </w:rPr>
      </w:pPr>
      <w:r>
        <w:rPr>
          <w:rFonts w:hint="eastAsia" w:hAnsi="宋体"/>
          <w:sz w:val="21"/>
          <w:szCs w:val="21"/>
          <w:lang w:bidi="ar"/>
        </w:rPr>
        <w:t>* 超额业绩报酬的计算精确到小数点后两位。</w:t>
      </w:r>
    </w:p>
    <w:p>
      <w:pPr>
        <w:spacing w:line="360" w:lineRule="auto"/>
        <w:ind w:firstLine="422" w:firstLineChars="200"/>
        <w:rPr>
          <w:rFonts w:ascii="宋体" w:hAnsi="宋体" w:cs="宋体"/>
          <w:szCs w:val="21"/>
        </w:rPr>
      </w:pPr>
      <w:r>
        <w:rPr>
          <w:rFonts w:ascii="宋体" w:hAnsi="宋体" w:cs="宋体"/>
          <w:b/>
          <w:bCs/>
          <w:szCs w:val="21"/>
        </w:rPr>
        <w:t>3.托管费：</w:t>
      </w:r>
      <w:r>
        <w:rPr>
          <w:rFonts w:hint="eastAsia" w:ascii="宋体" w:hAnsi="宋体" w:cs="宋体"/>
          <w:szCs w:val="21"/>
        </w:rPr>
        <w:t>本产品的托管费每日计提，按季支付。托管费按前一日产品资产净值的0.05</w:t>
      </w:r>
      <w:r>
        <w:rPr>
          <w:rFonts w:ascii="宋体" w:hAnsi="宋体" w:cs="宋体"/>
          <w:szCs w:val="21"/>
        </w:rPr>
        <w:t>%年费率计算，由托管行收取。计算方法如下：H＝E×托管费率÷365；H为每日应计提的产品资产托管费；E为前一日的产品资产净值。</w:t>
      </w:r>
    </w:p>
    <w:p>
      <w:pPr>
        <w:spacing w:line="360" w:lineRule="auto"/>
        <w:ind w:firstLine="422" w:firstLineChars="200"/>
        <w:rPr>
          <w:rFonts w:ascii="宋体" w:hAnsi="宋体" w:cs="宋体"/>
          <w:szCs w:val="21"/>
        </w:rPr>
      </w:pPr>
      <w:r>
        <w:rPr>
          <w:rFonts w:ascii="宋体" w:hAnsi="宋体" w:cs="宋体"/>
          <w:b/>
          <w:bCs/>
          <w:szCs w:val="21"/>
        </w:rPr>
        <w:t>4.认/申购费：</w:t>
      </w:r>
      <w:bookmarkStart w:id="17" w:name="OLE_LINK36"/>
      <w:bookmarkStart w:id="18" w:name="OLE_LINK11"/>
      <w:r>
        <w:rPr>
          <w:rFonts w:hint="eastAsia" w:ascii="宋体" w:hAnsi="宋体" w:cs="宋体"/>
          <w:szCs w:val="21"/>
        </w:rPr>
        <w:t>本产品免认购费；申购费：0-10万元（不含）,0.30%；10万元（含）-100万元（不含）,0.20%；100万元（含）-500万元（不含）,0.10%；500万（含）以上，0.00%。</w:t>
      </w:r>
      <w:bookmarkEnd w:id="17"/>
      <w:bookmarkEnd w:id="18"/>
    </w:p>
    <w:p>
      <w:pPr>
        <w:spacing w:line="360" w:lineRule="auto"/>
        <w:ind w:firstLine="422" w:firstLineChars="200"/>
        <w:rPr>
          <w:rFonts w:ascii="宋体" w:hAnsi="宋体" w:cs="宋体"/>
          <w:szCs w:val="21"/>
        </w:rPr>
      </w:pPr>
      <w:r>
        <w:rPr>
          <w:rFonts w:ascii="宋体" w:hAnsi="宋体" w:cs="宋体"/>
          <w:b/>
          <w:bCs/>
          <w:szCs w:val="21"/>
        </w:rPr>
        <w:t>5.赎回费：</w:t>
      </w:r>
      <w:r>
        <w:rPr>
          <w:rFonts w:hint="eastAsia" w:ascii="宋体" w:hAnsi="宋体" w:cs="宋体"/>
          <w:szCs w:val="21"/>
        </w:rPr>
        <w:t>本产品免赎回费。</w:t>
      </w:r>
    </w:p>
    <w:p>
      <w:pPr>
        <w:spacing w:line="360" w:lineRule="auto"/>
        <w:ind w:firstLine="422" w:firstLineChars="200"/>
        <w:rPr>
          <w:rFonts w:ascii="宋体" w:hAnsi="宋体" w:cs="宋体"/>
          <w:szCs w:val="21"/>
        </w:rPr>
      </w:pPr>
      <w:r>
        <w:rPr>
          <w:rFonts w:ascii="宋体" w:hAnsi="宋体" w:cs="宋体"/>
          <w:b/>
          <w:bCs/>
          <w:szCs w:val="21"/>
        </w:rPr>
        <w:t>6.销售服务费：</w:t>
      </w:r>
      <w:r>
        <w:rPr>
          <w:rFonts w:hint="eastAsia" w:ascii="宋体" w:hAnsi="宋体" w:cs="宋体"/>
          <w:szCs w:val="21"/>
        </w:rPr>
        <w:t>本产品的销售服务费每日计提，按季支付。销售服务费按前一日产品资产净值的</w:t>
      </w:r>
      <w:r>
        <w:rPr>
          <w:rFonts w:hint="eastAsia" w:ascii="宋体" w:hAnsi="宋体" w:cs="宋体"/>
          <w:szCs w:val="21"/>
          <w:lang w:eastAsia="zh-CN"/>
        </w:rPr>
        <w:t>0.6</w:t>
      </w:r>
      <w:r>
        <w:rPr>
          <w:rFonts w:hint="eastAsia" w:ascii="宋体" w:hAnsi="宋体" w:cs="宋体"/>
          <w:szCs w:val="21"/>
          <w:lang w:val="en-US" w:eastAsia="zh-CN"/>
        </w:rPr>
        <w:t>0</w:t>
      </w:r>
      <w:r>
        <w:rPr>
          <w:rFonts w:hint="eastAsia" w:ascii="宋体" w:hAnsi="宋体" w:cs="宋体"/>
          <w:szCs w:val="21"/>
          <w:lang w:eastAsia="zh-CN"/>
        </w:rPr>
        <w:t>%</w:t>
      </w:r>
      <w:r>
        <w:rPr>
          <w:rFonts w:hint="eastAsia" w:ascii="宋体" w:hAnsi="宋体" w:cs="宋体"/>
          <w:szCs w:val="21"/>
        </w:rPr>
        <w:t>年费率计算</w:t>
      </w:r>
      <w:bookmarkStart w:id="19" w:name="_Hlk75947532"/>
      <w:r>
        <w:rPr>
          <w:rFonts w:hint="eastAsia" w:ascii="宋体" w:hAnsi="宋体" w:cs="宋体"/>
          <w:szCs w:val="21"/>
        </w:rPr>
        <w:t>，由销售服务机构收取</w:t>
      </w:r>
      <w:bookmarkEnd w:id="19"/>
      <w:r>
        <w:rPr>
          <w:rFonts w:hint="eastAsia" w:ascii="宋体" w:hAnsi="宋体" w:cs="宋体"/>
          <w:szCs w:val="21"/>
        </w:rPr>
        <w:t>。计算方法如下：H＝E×销售服务费率÷365；H为每日应计提的销售服务费；E为前一日的产品资产净值。</w:t>
      </w:r>
    </w:p>
    <w:p>
      <w:pPr>
        <w:spacing w:line="360" w:lineRule="auto"/>
        <w:ind w:firstLine="420" w:firstLineChars="200"/>
        <w:rPr>
          <w:rFonts w:ascii="宋体" w:hAnsi="宋体" w:cs="宋体"/>
          <w:bCs/>
          <w:szCs w:val="21"/>
        </w:rPr>
      </w:pPr>
      <w:r>
        <w:rPr>
          <w:rFonts w:hint="eastAsia" w:ascii="宋体" w:hAnsi="宋体" w:cs="宋体"/>
          <w:bCs/>
          <w:szCs w:val="21"/>
        </w:rPr>
        <w:t>如在产品存续期内发生费率调整，实际的费率将于生效前</w:t>
      </w:r>
      <w:r>
        <w:rPr>
          <w:rFonts w:ascii="宋体" w:hAnsi="宋体" w:cs="宋体"/>
          <w:bCs/>
          <w:szCs w:val="21"/>
        </w:rPr>
        <w:t>2个交易所工作日以公告的形式在产品管理人官方网站或</w:t>
      </w:r>
      <w:r>
        <w:rPr>
          <w:rFonts w:hint="eastAsia" w:ascii="宋体" w:hAnsi="宋体" w:cs="宋体"/>
          <w:bCs/>
          <w:szCs w:val="21"/>
        </w:rPr>
        <w:t>销售服务机构网上销售平台</w:t>
      </w:r>
      <w:r>
        <w:rPr>
          <w:rFonts w:hint="eastAsia" w:ascii="宋体" w:hAnsi="宋体" w:cs="宋体"/>
          <w:szCs w:val="21"/>
        </w:rPr>
        <w:t>予以公布。</w:t>
      </w:r>
      <w:r>
        <w:rPr>
          <w:rFonts w:hint="eastAsia" w:ascii="宋体" w:hAnsi="宋体" w:cs="宋体"/>
          <w:bCs/>
          <w:szCs w:val="21"/>
        </w:rPr>
        <w:t>若本理财产品的投资者不接受上述调整，则应及时通过销售服务机构授权网点及电子渠道等赎回本产品；若本理财产品投资者未赎回本产品，则视为本理财产品投资者对相关调整无异议且同意在调整后继续持有本理财产品。</w:t>
      </w:r>
    </w:p>
    <w:p>
      <w:pPr>
        <w:spacing w:line="360" w:lineRule="auto"/>
        <w:ind w:firstLine="422" w:firstLineChars="200"/>
        <w:rPr>
          <w:rFonts w:ascii="宋体" w:hAnsi="宋体" w:cs="宋体"/>
          <w:b/>
          <w:szCs w:val="21"/>
        </w:rPr>
      </w:pPr>
      <w:r>
        <w:rPr>
          <w:rFonts w:ascii="宋体" w:hAnsi="宋体" w:cs="宋体"/>
          <w:b/>
          <w:szCs w:val="21"/>
        </w:rPr>
        <w:t>7.税收规定</w:t>
      </w:r>
    </w:p>
    <w:p>
      <w:pPr>
        <w:spacing w:line="360" w:lineRule="auto"/>
        <w:ind w:firstLine="411" w:firstLineChars="196"/>
        <w:rPr>
          <w:rFonts w:ascii="宋体" w:hAnsi="宋体" w:cs="宋体"/>
          <w:szCs w:val="21"/>
        </w:rPr>
      </w:pPr>
      <w:r>
        <w:rPr>
          <w:rFonts w:hint="eastAsia" w:ascii="宋体" w:hAnsi="宋体" w:cs="宋体"/>
          <w:szCs w:val="21"/>
        </w:rPr>
        <w:t>根据中国增值税等税收相关法律法规、税收政策等要求，本理财产品运营过程中发生的增值税应税行为，以理财产品管理人为纳税人。签约各方同意本理财产品在运营过程应缴纳的增值税及附加税费（包括但不限于城市维护建设税、教育费附加及地方教育附加等）由管理人从理财产品财产中支付，应缴纳增值税的原因包括但不限于投资者从理财产品中获取的收益被政府机关认定为应缴纳部分、投资者转让未到期理财产品等，并由管理人根据中国税务机关要求，履行相关纳税申报义务，由此可能会使理财产品净值或实际收益降低，请投资者知悉。投资者从理财产品取得的收益应缴纳的税款，由投资者自行申报及缴纳。</w:t>
      </w:r>
    </w:p>
    <w:p>
      <w:pPr>
        <w:spacing w:line="360" w:lineRule="auto"/>
        <w:ind w:firstLine="407" w:firstLineChars="193"/>
        <w:rPr>
          <w:rFonts w:ascii="宋体" w:hAnsi="宋体" w:cs="宋体"/>
          <w:szCs w:val="21"/>
        </w:rPr>
      </w:pPr>
      <w:r>
        <w:rPr>
          <w:rFonts w:ascii="宋体" w:hAnsi="宋体" w:cs="宋体"/>
          <w:b/>
          <w:szCs w:val="21"/>
        </w:rPr>
        <w:t>8.</w:t>
      </w:r>
      <w:bookmarkStart w:id="20" w:name="_Hlk508966506"/>
      <w:r>
        <w:rPr>
          <w:rFonts w:hint="eastAsia" w:ascii="宋体" w:hAnsi="宋体" w:cs="宋体"/>
          <w:b/>
          <w:szCs w:val="21"/>
        </w:rPr>
        <w:t>除上述费用外，由受托管理资产承担的费用包括但不限于：</w:t>
      </w:r>
      <w:bookmarkEnd w:id="20"/>
    </w:p>
    <w:p>
      <w:pPr>
        <w:spacing w:line="360" w:lineRule="auto"/>
        <w:ind w:firstLine="405" w:firstLineChars="193"/>
        <w:rPr>
          <w:rFonts w:ascii="宋体" w:hAnsi="宋体" w:cs="宋体"/>
          <w:szCs w:val="21"/>
        </w:rPr>
      </w:pPr>
      <w:r>
        <w:rPr>
          <w:rFonts w:hint="eastAsia" w:ascii="宋体" w:hAnsi="宋体" w:cs="宋体"/>
          <w:szCs w:val="21"/>
        </w:rPr>
        <w:t>（</w:t>
      </w:r>
      <w:r>
        <w:rPr>
          <w:rFonts w:ascii="宋体" w:hAnsi="宋体" w:cs="宋体"/>
          <w:szCs w:val="21"/>
        </w:rPr>
        <w:t>1）财产管理、运用或处分过程中发生的税费；</w:t>
      </w:r>
    </w:p>
    <w:p>
      <w:pPr>
        <w:spacing w:line="360" w:lineRule="auto"/>
        <w:ind w:firstLine="405" w:firstLineChars="193"/>
        <w:rPr>
          <w:rFonts w:ascii="宋体" w:hAnsi="宋体" w:cs="宋体"/>
          <w:szCs w:val="21"/>
        </w:rPr>
      </w:pPr>
      <w:r>
        <w:rPr>
          <w:rFonts w:hint="eastAsia" w:ascii="宋体" w:hAnsi="宋体" w:cs="宋体"/>
          <w:szCs w:val="21"/>
        </w:rPr>
        <w:t>（</w:t>
      </w:r>
      <w:r>
        <w:rPr>
          <w:rFonts w:ascii="宋体" w:hAnsi="宋体" w:cs="宋体"/>
          <w:szCs w:val="21"/>
        </w:rPr>
        <w:t>2）文件或账册制作、印刷费用、邮递费等；</w:t>
      </w:r>
    </w:p>
    <w:p>
      <w:pPr>
        <w:spacing w:line="360" w:lineRule="auto"/>
        <w:ind w:firstLine="405" w:firstLineChars="193"/>
        <w:rPr>
          <w:rFonts w:ascii="宋体" w:hAnsi="宋体" w:cs="宋体"/>
          <w:szCs w:val="21"/>
        </w:rPr>
      </w:pPr>
      <w:r>
        <w:rPr>
          <w:rFonts w:hint="eastAsia" w:ascii="宋体" w:hAnsi="宋体" w:cs="宋体"/>
          <w:szCs w:val="21"/>
        </w:rPr>
        <w:t>（</w:t>
      </w:r>
      <w:r>
        <w:rPr>
          <w:rFonts w:ascii="宋体" w:hAnsi="宋体" w:cs="宋体"/>
          <w:szCs w:val="21"/>
        </w:rPr>
        <w:t>3）代理机构手续费、管理费、财务顾问费、保管费；</w:t>
      </w:r>
    </w:p>
    <w:p>
      <w:pPr>
        <w:spacing w:line="360" w:lineRule="auto"/>
        <w:ind w:firstLine="405" w:firstLineChars="193"/>
        <w:rPr>
          <w:rFonts w:ascii="宋体" w:hAnsi="宋体" w:cs="宋体"/>
          <w:szCs w:val="21"/>
        </w:rPr>
      </w:pPr>
      <w:r>
        <w:rPr>
          <w:rFonts w:hint="eastAsia" w:ascii="宋体" w:hAnsi="宋体" w:cs="宋体"/>
          <w:szCs w:val="21"/>
        </w:rPr>
        <w:t>（</w:t>
      </w:r>
      <w:r>
        <w:rPr>
          <w:rFonts w:ascii="宋体" w:hAnsi="宋体" w:cs="宋体"/>
          <w:szCs w:val="21"/>
        </w:rPr>
        <w:t>4）审计费、律师费、公证费等费用；</w:t>
      </w:r>
    </w:p>
    <w:p>
      <w:pPr>
        <w:spacing w:line="360" w:lineRule="auto"/>
        <w:ind w:firstLine="405" w:firstLineChars="193"/>
        <w:rPr>
          <w:rFonts w:ascii="宋体" w:hAnsi="宋体" w:cs="宋体"/>
          <w:szCs w:val="21"/>
        </w:rPr>
      </w:pPr>
      <w:r>
        <w:rPr>
          <w:rFonts w:hint="eastAsia" w:ascii="宋体" w:hAnsi="宋体" w:cs="宋体"/>
          <w:szCs w:val="21"/>
        </w:rPr>
        <w:t>（</w:t>
      </w:r>
      <w:r>
        <w:rPr>
          <w:rFonts w:ascii="宋体" w:hAnsi="宋体" w:cs="宋体"/>
          <w:szCs w:val="21"/>
        </w:rPr>
        <w:t>5）推介发行费用；</w:t>
      </w:r>
    </w:p>
    <w:p>
      <w:pPr>
        <w:spacing w:line="360" w:lineRule="auto"/>
        <w:ind w:firstLine="405" w:firstLineChars="193"/>
        <w:rPr>
          <w:rFonts w:ascii="宋体" w:hAnsi="宋体" w:cs="宋体"/>
          <w:szCs w:val="21"/>
        </w:rPr>
      </w:pPr>
      <w:r>
        <w:rPr>
          <w:rFonts w:hint="eastAsia" w:ascii="宋体" w:hAnsi="宋体" w:cs="宋体"/>
          <w:szCs w:val="21"/>
        </w:rPr>
        <w:t>（</w:t>
      </w:r>
      <w:r>
        <w:rPr>
          <w:rFonts w:ascii="宋体" w:hAnsi="宋体" w:cs="宋体"/>
          <w:szCs w:val="21"/>
        </w:rPr>
        <w:t>6）信息披露费用；</w:t>
      </w:r>
    </w:p>
    <w:p>
      <w:pPr>
        <w:spacing w:line="360" w:lineRule="auto"/>
        <w:ind w:firstLine="405" w:firstLineChars="193"/>
        <w:rPr>
          <w:rFonts w:ascii="宋体" w:hAnsi="宋体" w:cs="宋体"/>
          <w:szCs w:val="21"/>
        </w:rPr>
      </w:pPr>
      <w:r>
        <w:rPr>
          <w:rFonts w:hint="eastAsia" w:ascii="宋体" w:hAnsi="宋体" w:cs="宋体"/>
          <w:szCs w:val="21"/>
        </w:rPr>
        <w:t>（</w:t>
      </w:r>
      <w:r>
        <w:rPr>
          <w:rFonts w:ascii="宋体" w:hAnsi="宋体" w:cs="宋体"/>
          <w:szCs w:val="21"/>
        </w:rPr>
        <w:t>7）受托管理资产事务管理费，包括但不限于差旅费、会务费、营销费、财务顾问费等；</w:t>
      </w:r>
    </w:p>
    <w:p>
      <w:pPr>
        <w:spacing w:line="360" w:lineRule="auto"/>
        <w:ind w:firstLine="405" w:firstLineChars="193"/>
        <w:rPr>
          <w:rFonts w:ascii="宋体" w:hAnsi="宋体" w:cs="宋体"/>
          <w:szCs w:val="21"/>
        </w:rPr>
      </w:pPr>
      <w:r>
        <w:rPr>
          <w:rFonts w:hint="eastAsia" w:ascii="宋体" w:hAnsi="宋体" w:cs="宋体"/>
          <w:szCs w:val="21"/>
        </w:rPr>
        <w:t>（</w:t>
      </w:r>
      <w:r>
        <w:rPr>
          <w:rFonts w:ascii="宋体" w:hAnsi="宋体" w:cs="宋体"/>
          <w:szCs w:val="21"/>
        </w:rPr>
        <w:t>8）</w:t>
      </w:r>
      <w:r>
        <w:rPr>
          <w:rFonts w:hint="eastAsia" w:ascii="宋体" w:hAnsi="宋体" w:cs="宋体"/>
          <w:bCs/>
          <w:szCs w:val="21"/>
        </w:rPr>
        <w:t>管理人自行或委托第三方向本产品投资资产所涉相关主体进行追偿</w:t>
      </w:r>
      <w:r>
        <w:rPr>
          <w:rFonts w:hint="eastAsia" w:ascii="宋体" w:hAnsi="宋体" w:cs="宋体"/>
          <w:szCs w:val="21"/>
        </w:rPr>
        <w:t>所发生的费用（包括但不限于诉讼费、仲裁费、律师费等全部费用）；</w:t>
      </w:r>
    </w:p>
    <w:p>
      <w:pPr>
        <w:spacing w:line="360" w:lineRule="auto"/>
        <w:ind w:firstLine="405" w:firstLineChars="193"/>
        <w:rPr>
          <w:rFonts w:ascii="宋体" w:hAnsi="宋体" w:cs="宋体"/>
          <w:szCs w:val="21"/>
        </w:rPr>
      </w:pPr>
      <w:r>
        <w:rPr>
          <w:rFonts w:hint="eastAsia" w:ascii="宋体" w:hAnsi="宋体" w:cs="宋体"/>
          <w:szCs w:val="21"/>
        </w:rPr>
        <w:t>（</w:t>
      </w:r>
      <w:r>
        <w:rPr>
          <w:rFonts w:ascii="宋体" w:hAnsi="宋体" w:cs="宋体"/>
          <w:szCs w:val="21"/>
        </w:rPr>
        <w:t>9）产品的交易费用（包括但不限于交易佣金、相关账户费用等）及投资</w:t>
      </w:r>
      <w:r>
        <w:rPr>
          <w:rFonts w:hint="eastAsia" w:ascii="宋体" w:hAnsi="宋体" w:cs="宋体"/>
          <w:szCs w:val="21"/>
        </w:rPr>
        <w:t>其他资管产品的费用。</w:t>
      </w:r>
    </w:p>
    <w:p>
      <w:pPr>
        <w:spacing w:line="360" w:lineRule="auto"/>
        <w:ind w:firstLine="405" w:firstLineChars="193"/>
        <w:rPr>
          <w:rFonts w:ascii="宋体" w:hAnsi="宋体" w:cs="宋体"/>
          <w:szCs w:val="21"/>
        </w:rPr>
      </w:pPr>
      <w:r>
        <w:rPr>
          <w:rFonts w:hint="eastAsia" w:ascii="宋体" w:hAnsi="宋体" w:cs="宋体"/>
          <w:szCs w:val="21"/>
        </w:rPr>
        <w:t>（</w:t>
      </w:r>
      <w:r>
        <w:rPr>
          <w:rFonts w:ascii="宋体" w:hAnsi="宋体" w:cs="宋体"/>
          <w:szCs w:val="21"/>
        </w:rPr>
        <w:t>10）监管规定的其他费用（如有）。</w:t>
      </w:r>
    </w:p>
    <w:p>
      <w:pPr>
        <w:spacing w:line="360" w:lineRule="auto"/>
        <w:ind w:firstLine="431" w:firstLineChars="196"/>
        <w:jc w:val="left"/>
        <w:rPr>
          <w:rFonts w:ascii="宋体" w:hAnsi="宋体" w:cs="宋体"/>
          <w:sz w:val="22"/>
        </w:rPr>
      </w:pPr>
    </w:p>
    <w:p>
      <w:pPr>
        <w:spacing w:line="360" w:lineRule="auto"/>
        <w:jc w:val="center"/>
        <w:outlineLvl w:val="0"/>
        <w:rPr>
          <w:rFonts w:ascii="宋体" w:hAnsi="宋体" w:cs="宋体"/>
          <w:b/>
          <w:bCs/>
          <w:color w:val="000000"/>
          <w:sz w:val="28"/>
          <w:szCs w:val="28"/>
        </w:rPr>
      </w:pPr>
      <w:r>
        <w:rPr>
          <w:rFonts w:hint="eastAsia" w:ascii="宋体" w:hAnsi="宋体" w:cs="宋体"/>
          <w:b/>
          <w:bCs/>
          <w:sz w:val="28"/>
          <w:szCs w:val="28"/>
        </w:rPr>
        <w:t>八、产品托管</w:t>
      </w:r>
    </w:p>
    <w:p>
      <w:pPr>
        <w:spacing w:line="360" w:lineRule="auto"/>
        <w:ind w:firstLine="413" w:firstLineChars="196"/>
        <w:rPr>
          <w:rFonts w:ascii="宋体" w:hAnsi="宋体" w:cs="宋体"/>
          <w:b/>
          <w:bCs/>
          <w:szCs w:val="21"/>
        </w:rPr>
      </w:pPr>
      <w:r>
        <w:rPr>
          <w:rFonts w:hint="eastAsia" w:ascii="宋体" w:hAnsi="宋体" w:cs="宋体"/>
          <w:b/>
          <w:bCs/>
          <w:szCs w:val="21"/>
        </w:rPr>
        <w:t>（一）托管人</w:t>
      </w:r>
    </w:p>
    <w:p>
      <w:pPr>
        <w:spacing w:line="360" w:lineRule="auto"/>
        <w:ind w:firstLine="411" w:firstLineChars="196"/>
        <w:rPr>
          <w:rFonts w:ascii="宋体" w:hAnsi="宋体" w:cs="宋体"/>
          <w:b/>
          <w:bCs/>
          <w:szCs w:val="21"/>
        </w:rPr>
      </w:pPr>
      <w:r>
        <w:rPr>
          <w:rFonts w:hint="eastAsia" w:ascii="宋体" w:hAnsi="宋体" w:cs="宋体"/>
          <w:szCs w:val="21"/>
        </w:rPr>
        <w:t>本产品托管人为光大</w:t>
      </w:r>
      <w:r>
        <w:rPr>
          <w:rFonts w:ascii="宋体" w:hAnsi="宋体" w:cs="宋体"/>
          <w:szCs w:val="21"/>
        </w:rPr>
        <w:t>银行股份有限公司。产品管理人在此特别披露:</w:t>
      </w:r>
      <w:r>
        <w:rPr>
          <w:rFonts w:ascii="宋体" w:hAnsi="宋体" w:cs="宋体"/>
          <w:b/>
          <w:bCs/>
          <w:szCs w:val="21"/>
        </w:rPr>
        <w:t>托管人为产品管理人的关联方,产品管理人聘请其担任托管人已履行现行法律法规和监管规定所规定必须履行的程序,产品管理人、投资者同意并接受理财产品由托管人托管。</w:t>
      </w:r>
    </w:p>
    <w:p>
      <w:pPr>
        <w:spacing w:line="360" w:lineRule="auto"/>
        <w:ind w:firstLine="413" w:firstLineChars="196"/>
        <w:rPr>
          <w:rFonts w:ascii="宋体" w:hAnsi="宋体" w:cs="宋体"/>
          <w:b/>
          <w:bCs/>
          <w:szCs w:val="21"/>
        </w:rPr>
      </w:pPr>
      <w:r>
        <w:rPr>
          <w:rFonts w:hint="eastAsia" w:ascii="宋体" w:hAnsi="宋体" w:cs="宋体"/>
          <w:b/>
          <w:bCs/>
          <w:szCs w:val="21"/>
        </w:rPr>
        <w:t>（二）托管人基本信息</w:t>
      </w:r>
    </w:p>
    <w:p>
      <w:pPr>
        <w:spacing w:line="360" w:lineRule="auto"/>
        <w:ind w:firstLine="411" w:firstLineChars="196"/>
        <w:rPr>
          <w:rFonts w:ascii="宋体" w:hAnsi="宋体" w:cs="宋体"/>
          <w:szCs w:val="21"/>
        </w:rPr>
      </w:pPr>
      <w:r>
        <w:rPr>
          <w:rFonts w:hint="eastAsia" w:ascii="宋体" w:hAnsi="宋体" w:cs="宋体"/>
          <w:szCs w:val="21"/>
        </w:rPr>
        <w:t>名称：中国光大银行股份有限公司</w:t>
      </w:r>
    </w:p>
    <w:p>
      <w:pPr>
        <w:spacing w:line="360" w:lineRule="auto"/>
        <w:ind w:firstLine="411" w:firstLineChars="196"/>
        <w:rPr>
          <w:rFonts w:ascii="宋体" w:hAnsi="宋体" w:cs="宋体"/>
          <w:szCs w:val="21"/>
        </w:rPr>
      </w:pPr>
      <w:r>
        <w:rPr>
          <w:rFonts w:hint="eastAsia" w:ascii="宋体" w:hAnsi="宋体" w:cs="宋体"/>
          <w:szCs w:val="21"/>
        </w:rPr>
        <w:t>住所：北京市西城区太平桥大街25号中国光大中心</w:t>
      </w:r>
    </w:p>
    <w:p>
      <w:pPr>
        <w:spacing w:line="360" w:lineRule="auto"/>
        <w:ind w:firstLine="411" w:firstLineChars="196"/>
        <w:rPr>
          <w:rFonts w:ascii="宋体" w:hAnsi="宋体" w:cs="宋体"/>
          <w:szCs w:val="21"/>
        </w:rPr>
      </w:pPr>
      <w:r>
        <w:rPr>
          <w:rFonts w:hint="eastAsia" w:ascii="宋体" w:hAnsi="宋体" w:cs="宋体"/>
          <w:szCs w:val="21"/>
        </w:rPr>
        <w:t>成立日期：1992年6月18日</w:t>
      </w:r>
    </w:p>
    <w:p>
      <w:pPr>
        <w:spacing w:line="360" w:lineRule="auto"/>
        <w:ind w:firstLine="411" w:firstLineChars="196"/>
        <w:rPr>
          <w:rFonts w:ascii="宋体" w:hAnsi="宋体" w:cs="宋体"/>
          <w:szCs w:val="21"/>
        </w:rPr>
      </w:pPr>
      <w:r>
        <w:rPr>
          <w:rFonts w:hint="eastAsia" w:ascii="宋体" w:hAnsi="宋体" w:cs="宋体"/>
          <w:szCs w:val="21"/>
        </w:rPr>
        <w:t>组织形式：股份有限公司</w:t>
      </w:r>
    </w:p>
    <w:p>
      <w:pPr>
        <w:spacing w:line="360" w:lineRule="auto"/>
        <w:ind w:firstLine="411" w:firstLineChars="196"/>
        <w:rPr>
          <w:rFonts w:ascii="宋体" w:hAnsi="宋体" w:cs="宋体"/>
          <w:szCs w:val="21"/>
        </w:rPr>
      </w:pPr>
      <w:r>
        <w:rPr>
          <w:rFonts w:hint="eastAsia" w:ascii="宋体" w:hAnsi="宋体" w:cs="宋体"/>
          <w:szCs w:val="21"/>
        </w:rPr>
        <w:t>经营范围：吸收公众存款；发放短期、中期和长期贷款；办理国内外结算；办理票据贴现；发行金融债券；代理发行、代理兑付、承销政府债券；买卖政府债券；从事同业拆借；买卖、代理买卖外汇；提供信用证服务及担保；代理收付款项及代理保险业务；提供保管箱服务；经中国人民银行和国家外汇管理局批准的其他业务。</w:t>
      </w:r>
    </w:p>
    <w:p>
      <w:pPr>
        <w:spacing w:line="360" w:lineRule="auto"/>
        <w:ind w:firstLine="413" w:firstLineChars="196"/>
        <w:rPr>
          <w:rFonts w:ascii="宋体" w:hAnsi="宋体" w:cs="宋体"/>
          <w:b/>
          <w:bCs/>
          <w:szCs w:val="21"/>
        </w:rPr>
      </w:pPr>
      <w:r>
        <w:rPr>
          <w:rFonts w:hint="eastAsia" w:ascii="宋体" w:hAnsi="宋体" w:cs="宋体"/>
          <w:b/>
          <w:bCs/>
          <w:szCs w:val="21"/>
        </w:rPr>
        <w:t>（三）托管人职责</w:t>
      </w:r>
    </w:p>
    <w:p>
      <w:pPr>
        <w:spacing w:line="360" w:lineRule="auto"/>
        <w:ind w:firstLine="411" w:firstLineChars="196"/>
        <w:rPr>
          <w:rFonts w:ascii="宋体" w:hAnsi="宋体" w:cs="宋体"/>
          <w:szCs w:val="21"/>
        </w:rPr>
      </w:pPr>
      <w:r>
        <w:rPr>
          <w:rFonts w:ascii="宋体" w:hAnsi="宋体" w:cs="宋体"/>
          <w:szCs w:val="21"/>
        </w:rPr>
        <w:t>1.安全保管理财产品财产；</w:t>
      </w:r>
    </w:p>
    <w:p>
      <w:pPr>
        <w:spacing w:line="360" w:lineRule="auto"/>
        <w:ind w:firstLine="411" w:firstLineChars="196"/>
        <w:rPr>
          <w:rFonts w:ascii="宋体" w:hAnsi="宋体" w:cs="宋体"/>
          <w:szCs w:val="21"/>
        </w:rPr>
      </w:pPr>
      <w:r>
        <w:rPr>
          <w:rFonts w:ascii="宋体" w:hAnsi="宋体" w:cs="宋体"/>
          <w:szCs w:val="21"/>
        </w:rPr>
        <w:t>2.为理财产品开立银行托管账户、证券账户等；</w:t>
      </w:r>
    </w:p>
    <w:p>
      <w:pPr>
        <w:spacing w:line="360" w:lineRule="auto"/>
        <w:ind w:firstLine="411" w:firstLineChars="196"/>
        <w:rPr>
          <w:rFonts w:ascii="宋体" w:hAnsi="宋体" w:cs="宋体"/>
          <w:szCs w:val="21"/>
        </w:rPr>
      </w:pPr>
      <w:r>
        <w:rPr>
          <w:rFonts w:ascii="宋体" w:hAnsi="宋体" w:cs="宋体"/>
          <w:szCs w:val="21"/>
        </w:rPr>
        <w:t>3.确认与执行理财产品资金划拨指令，办理理财产品资金的收付，核对理财产品资金划拨记录；</w:t>
      </w:r>
    </w:p>
    <w:p>
      <w:pPr>
        <w:spacing w:line="360" w:lineRule="auto"/>
        <w:ind w:firstLine="411" w:firstLineChars="196"/>
        <w:rPr>
          <w:rFonts w:ascii="宋体" w:hAnsi="宋体" w:cs="宋体"/>
          <w:szCs w:val="21"/>
        </w:rPr>
      </w:pPr>
      <w:r>
        <w:rPr>
          <w:rFonts w:ascii="宋体" w:hAnsi="宋体" w:cs="宋体"/>
          <w:szCs w:val="21"/>
        </w:rPr>
        <w:t>4.建立与理财产品管理人的对账机制，复核理财产品资产净值、理财产品份额申购、赎回价格，及时核查投资资金的支付和到账情况；</w:t>
      </w:r>
    </w:p>
    <w:p>
      <w:pPr>
        <w:spacing w:line="360" w:lineRule="auto"/>
        <w:ind w:firstLine="411" w:firstLineChars="196"/>
        <w:rPr>
          <w:rFonts w:ascii="宋体" w:hAnsi="宋体" w:cs="宋体"/>
          <w:szCs w:val="21"/>
        </w:rPr>
      </w:pPr>
      <w:r>
        <w:rPr>
          <w:rFonts w:ascii="宋体" w:hAnsi="宋体" w:cs="宋体"/>
          <w:szCs w:val="21"/>
        </w:rPr>
        <w:t>5.监督理财产品投资运作；</w:t>
      </w:r>
    </w:p>
    <w:p>
      <w:pPr>
        <w:spacing w:line="360" w:lineRule="auto"/>
        <w:ind w:firstLine="411" w:firstLineChars="196"/>
        <w:rPr>
          <w:rFonts w:ascii="宋体" w:hAnsi="宋体" w:cs="宋体"/>
          <w:szCs w:val="21"/>
        </w:rPr>
      </w:pPr>
      <w:r>
        <w:rPr>
          <w:rFonts w:ascii="宋体" w:hAnsi="宋体" w:cs="宋体"/>
          <w:szCs w:val="21"/>
        </w:rPr>
        <w:t>6.办理与理财产品托管业务活动相关的信息披露事项；</w:t>
      </w:r>
    </w:p>
    <w:p>
      <w:pPr>
        <w:spacing w:line="360" w:lineRule="auto"/>
        <w:ind w:firstLine="411" w:firstLineChars="196"/>
        <w:rPr>
          <w:rFonts w:ascii="宋体" w:hAnsi="宋体" w:cs="宋体"/>
          <w:szCs w:val="21"/>
        </w:rPr>
      </w:pPr>
      <w:r>
        <w:rPr>
          <w:rFonts w:ascii="宋体" w:hAnsi="宋体" w:cs="宋体"/>
          <w:szCs w:val="21"/>
        </w:rPr>
        <w:t>7.保存理财产品托管业务活动的记录、账册、报表和其他相关材料；</w:t>
      </w:r>
    </w:p>
    <w:p>
      <w:pPr>
        <w:spacing w:line="360" w:lineRule="auto"/>
        <w:ind w:firstLine="411" w:firstLineChars="196"/>
        <w:rPr>
          <w:rFonts w:ascii="宋体" w:hAnsi="宋体" w:cs="宋体"/>
          <w:szCs w:val="21"/>
        </w:rPr>
      </w:pPr>
      <w:r>
        <w:rPr>
          <w:rFonts w:ascii="宋体" w:hAnsi="宋体" w:cs="宋体"/>
          <w:szCs w:val="21"/>
        </w:rPr>
        <w:t>8.对理财产品投资信息和相关资料承担保密责任；</w:t>
      </w:r>
    </w:p>
    <w:p>
      <w:pPr>
        <w:spacing w:line="360" w:lineRule="auto"/>
        <w:ind w:firstLine="411" w:firstLineChars="196"/>
        <w:rPr>
          <w:rFonts w:ascii="宋体" w:hAnsi="宋体" w:cs="宋体"/>
          <w:szCs w:val="21"/>
        </w:rPr>
      </w:pPr>
      <w:r>
        <w:rPr>
          <w:rFonts w:ascii="宋体" w:hAnsi="宋体" w:cs="宋体"/>
          <w:szCs w:val="21"/>
        </w:rPr>
        <w:t>9.国务院银行业监督管理机构规定的其他职责。</w:t>
      </w:r>
    </w:p>
    <w:p>
      <w:pPr>
        <w:spacing w:line="360" w:lineRule="auto"/>
        <w:ind w:firstLine="431" w:firstLineChars="196"/>
        <w:rPr>
          <w:rFonts w:ascii="宋体" w:hAnsi="宋体" w:cs="宋体"/>
          <w:sz w:val="22"/>
        </w:rPr>
      </w:pPr>
    </w:p>
    <w:p>
      <w:pPr>
        <w:spacing w:line="360" w:lineRule="auto"/>
        <w:jc w:val="center"/>
        <w:outlineLvl w:val="0"/>
        <w:rPr>
          <w:rFonts w:ascii="宋体" w:hAnsi="宋体" w:cs="宋体"/>
          <w:b/>
          <w:bCs/>
          <w:sz w:val="28"/>
          <w:szCs w:val="28"/>
        </w:rPr>
      </w:pPr>
      <w:r>
        <w:rPr>
          <w:rFonts w:hint="eastAsia" w:ascii="宋体" w:hAnsi="宋体" w:cs="宋体"/>
          <w:b/>
          <w:bCs/>
          <w:sz w:val="28"/>
          <w:szCs w:val="28"/>
        </w:rPr>
        <w:t>九、信息披露</w:t>
      </w:r>
    </w:p>
    <w:p>
      <w:pPr>
        <w:spacing w:line="360" w:lineRule="auto"/>
        <w:ind w:firstLine="413" w:firstLineChars="196"/>
        <w:outlineLvl w:val="0"/>
        <w:rPr>
          <w:rFonts w:ascii="宋体" w:hAnsi="宋体" w:cs="宋体"/>
          <w:b/>
          <w:bCs/>
          <w:szCs w:val="21"/>
        </w:rPr>
      </w:pPr>
      <w:r>
        <w:rPr>
          <w:rFonts w:hint="eastAsia" w:ascii="宋体" w:hAnsi="宋体" w:cs="宋体"/>
          <w:b/>
          <w:bCs/>
          <w:szCs w:val="21"/>
        </w:rPr>
        <w:t>（一）信息披露内容</w:t>
      </w:r>
    </w:p>
    <w:p>
      <w:pPr>
        <w:spacing w:line="360" w:lineRule="auto"/>
        <w:ind w:firstLine="411" w:firstLineChars="196"/>
        <w:rPr>
          <w:rFonts w:ascii="宋体" w:hAnsi="宋体" w:cs="宋体"/>
          <w:szCs w:val="21"/>
        </w:rPr>
      </w:pPr>
      <w:r>
        <w:rPr>
          <w:rFonts w:ascii="宋体" w:hAnsi="宋体" w:cs="宋体"/>
          <w:szCs w:val="21"/>
        </w:rPr>
        <w:t>1.产品类型、募集信息、产品净值、产品规模、托管安排；</w:t>
      </w:r>
    </w:p>
    <w:p>
      <w:pPr>
        <w:spacing w:line="360" w:lineRule="auto"/>
        <w:ind w:firstLine="411" w:firstLineChars="196"/>
        <w:rPr>
          <w:rFonts w:ascii="宋体" w:hAnsi="宋体" w:cs="宋体"/>
          <w:szCs w:val="21"/>
        </w:rPr>
      </w:pPr>
      <w:r>
        <w:rPr>
          <w:rFonts w:ascii="宋体" w:hAnsi="宋体" w:cs="宋体"/>
          <w:szCs w:val="21"/>
        </w:rPr>
        <w:t>2.产品底层资产类别、投资比例、持仓情况及杠杆水平；</w:t>
      </w:r>
    </w:p>
    <w:p>
      <w:pPr>
        <w:spacing w:line="360" w:lineRule="auto"/>
        <w:ind w:firstLine="411" w:firstLineChars="196"/>
        <w:rPr>
          <w:rFonts w:ascii="宋体" w:hAnsi="宋体" w:cs="宋体"/>
          <w:szCs w:val="21"/>
        </w:rPr>
      </w:pPr>
      <w:r>
        <w:rPr>
          <w:rFonts w:ascii="宋体" w:hAnsi="宋体" w:cs="宋体"/>
          <w:szCs w:val="21"/>
        </w:rPr>
        <w:t>3.产品估值方法、托管安排及投资账户信息；</w:t>
      </w:r>
    </w:p>
    <w:p>
      <w:pPr>
        <w:spacing w:line="360" w:lineRule="auto"/>
        <w:ind w:firstLine="411" w:firstLineChars="196"/>
        <w:rPr>
          <w:rFonts w:ascii="宋体" w:hAnsi="宋体" w:cs="宋体"/>
          <w:szCs w:val="21"/>
        </w:rPr>
      </w:pPr>
      <w:r>
        <w:rPr>
          <w:rFonts w:ascii="宋体" w:hAnsi="宋体" w:cs="宋体"/>
          <w:szCs w:val="21"/>
        </w:rPr>
        <w:t>4.产品收益分配、各项费用情况及主要投资风险；</w:t>
      </w:r>
    </w:p>
    <w:p>
      <w:pPr>
        <w:spacing w:line="360" w:lineRule="auto"/>
        <w:ind w:firstLine="411" w:firstLineChars="196"/>
        <w:rPr>
          <w:rFonts w:ascii="宋体" w:hAnsi="宋体" w:cs="宋体"/>
          <w:szCs w:val="21"/>
        </w:rPr>
      </w:pPr>
      <w:r>
        <w:rPr>
          <w:rFonts w:hint="eastAsia" w:ascii="宋体" w:hAnsi="宋体" w:cs="宋体"/>
          <w:szCs w:val="21"/>
          <w:lang w:val="en-US" w:eastAsia="zh-CN"/>
        </w:rPr>
        <w:t>5</w:t>
      </w:r>
      <w:r>
        <w:rPr>
          <w:rFonts w:ascii="宋体" w:hAnsi="宋体" w:cs="宋体"/>
          <w:szCs w:val="21"/>
        </w:rPr>
        <w:t>.产品涉及的</w:t>
      </w:r>
      <w:r>
        <w:rPr>
          <w:rFonts w:hint="eastAsia" w:ascii="宋体" w:hAnsi="宋体" w:cs="宋体"/>
          <w:szCs w:val="21"/>
        </w:rPr>
        <w:t>关联交易；</w:t>
      </w:r>
    </w:p>
    <w:p>
      <w:pPr>
        <w:spacing w:line="360" w:lineRule="auto"/>
        <w:ind w:firstLine="411" w:firstLineChars="196"/>
        <w:rPr>
          <w:rFonts w:ascii="宋体" w:hAnsi="宋体" w:cs="宋体"/>
          <w:szCs w:val="21"/>
        </w:rPr>
      </w:pPr>
      <w:r>
        <w:rPr>
          <w:rFonts w:hint="eastAsia" w:ascii="宋体" w:hAnsi="宋体" w:cs="宋体"/>
          <w:szCs w:val="21"/>
          <w:lang w:val="en-US" w:eastAsia="zh-CN"/>
        </w:rPr>
        <w:t>6</w:t>
      </w:r>
      <w:r>
        <w:rPr>
          <w:rFonts w:ascii="宋体" w:hAnsi="宋体" w:cs="宋体"/>
          <w:szCs w:val="21"/>
        </w:rPr>
        <w:t>.</w:t>
      </w:r>
      <w:r>
        <w:rPr>
          <w:rFonts w:hint="eastAsia" w:ascii="宋体" w:hAnsi="宋体" w:cs="宋体"/>
          <w:szCs w:val="21"/>
        </w:rPr>
        <w:t>其他影响本产品投资运作的重大事项、突发事件、临时性信息披露等。</w:t>
      </w:r>
    </w:p>
    <w:p>
      <w:pPr>
        <w:spacing w:line="360" w:lineRule="auto"/>
        <w:ind w:firstLine="413" w:firstLineChars="196"/>
        <w:rPr>
          <w:rFonts w:ascii="宋体" w:hAnsi="宋体" w:cs="宋体"/>
          <w:b/>
          <w:bCs/>
          <w:szCs w:val="21"/>
        </w:rPr>
      </w:pPr>
      <w:r>
        <w:rPr>
          <w:rFonts w:hint="eastAsia" w:ascii="宋体" w:hAnsi="宋体" w:cs="宋体"/>
          <w:b/>
          <w:bCs/>
          <w:szCs w:val="21"/>
        </w:rPr>
        <w:t>（二）信息披露频率</w:t>
      </w:r>
    </w:p>
    <w:p>
      <w:pPr>
        <w:spacing w:line="360" w:lineRule="auto"/>
        <w:ind w:firstLine="411" w:firstLineChars="196"/>
        <w:rPr>
          <w:rFonts w:ascii="宋体" w:hAnsi="宋体" w:cs="宋体"/>
          <w:szCs w:val="21"/>
        </w:rPr>
      </w:pPr>
      <w:r>
        <w:rPr>
          <w:rFonts w:ascii="宋体" w:hAnsi="宋体" w:cs="宋体"/>
          <w:szCs w:val="21"/>
        </w:rPr>
        <w:t>1.</w:t>
      </w:r>
      <w:bookmarkStart w:id="21" w:name="_Hlk75179365"/>
      <w:r>
        <w:rPr>
          <w:rFonts w:hint="eastAsia" w:ascii="宋体" w:hAnsi="宋体" w:cs="宋体"/>
          <w:szCs w:val="21"/>
        </w:rPr>
        <w:t>发行公告：本产品成立后</w:t>
      </w:r>
      <w:r>
        <w:rPr>
          <w:rFonts w:ascii="宋体" w:hAnsi="宋体" w:cs="宋体"/>
          <w:szCs w:val="21"/>
        </w:rPr>
        <w:t>5个工作日内，披露本产品成立公告，包括理财产品成立日期和募集规模等信息。</w:t>
      </w:r>
      <w:bookmarkEnd w:id="21"/>
    </w:p>
    <w:p>
      <w:pPr>
        <w:spacing w:line="360" w:lineRule="auto"/>
        <w:ind w:firstLine="411" w:firstLineChars="196"/>
        <w:rPr>
          <w:rFonts w:ascii="宋体" w:hAnsi="宋体" w:cs="宋体"/>
          <w:szCs w:val="21"/>
        </w:rPr>
      </w:pPr>
      <w:r>
        <w:rPr>
          <w:rFonts w:ascii="宋体" w:hAnsi="宋体" w:cs="宋体"/>
          <w:szCs w:val="21"/>
        </w:rPr>
        <w:t>2.定期公告：本产品在每个季度结束之日起15个工作日内、上半年结束之日起60个工作日内、每年结束之日起90个工作日内，披露本产品季度、半年和年度报告等定期报告。产品成立不足90个工作日或者剩余存续期不超过90个工作日的，将不编制本产品当期的季度、半年和年度报告。</w:t>
      </w:r>
    </w:p>
    <w:p>
      <w:pPr>
        <w:spacing w:line="360" w:lineRule="auto"/>
        <w:ind w:firstLine="411" w:firstLineChars="196"/>
        <w:rPr>
          <w:rFonts w:ascii="宋体" w:hAnsi="宋体" w:cs="宋体"/>
          <w:szCs w:val="21"/>
        </w:rPr>
      </w:pPr>
      <w:r>
        <w:rPr>
          <w:rFonts w:ascii="宋体" w:hAnsi="宋体" w:cs="宋体"/>
          <w:szCs w:val="21"/>
        </w:rPr>
        <w:t>3.到期公告：本产品在终止后5个工作日内，披露本产品到期公告，包括理财产品的存续期限、终止日期、收费情况和收益分配情况等信息。</w:t>
      </w:r>
    </w:p>
    <w:p>
      <w:pPr>
        <w:spacing w:line="360" w:lineRule="auto"/>
        <w:ind w:firstLine="411" w:firstLineChars="196"/>
        <w:rPr>
          <w:rFonts w:ascii="宋体" w:hAnsi="宋体" w:cs="宋体"/>
          <w:szCs w:val="21"/>
        </w:rPr>
      </w:pPr>
      <w:r>
        <w:rPr>
          <w:rFonts w:ascii="宋体" w:hAnsi="宋体" w:cs="宋体"/>
          <w:szCs w:val="21"/>
        </w:rPr>
        <w:t>4.重大事项公告：在发生可能对理财产品投资者或者理财产品收益产生重大事项的事件后2个工作日内发布重大事项公告。</w:t>
      </w:r>
    </w:p>
    <w:p>
      <w:pPr>
        <w:spacing w:line="360" w:lineRule="auto"/>
        <w:ind w:firstLine="411" w:firstLineChars="196"/>
        <w:rPr>
          <w:rFonts w:hint="eastAsia" w:ascii="宋体" w:hAnsi="宋体" w:cs="宋体"/>
          <w:szCs w:val="21"/>
        </w:rPr>
      </w:pPr>
      <w:r>
        <w:rPr>
          <w:rFonts w:ascii="宋体" w:hAnsi="宋体" w:cs="宋体"/>
          <w:szCs w:val="21"/>
        </w:rPr>
        <w:t>5.产品净值公告：本产品成立后，封闭期内每周公布一次</w:t>
      </w:r>
      <w:r>
        <w:rPr>
          <w:rFonts w:hint="eastAsia" w:ascii="宋体" w:hAnsi="宋体" w:cs="宋体"/>
          <w:szCs w:val="21"/>
          <w:lang w:val="en-US" w:eastAsia="zh-CN"/>
        </w:rPr>
        <w:t>产品</w:t>
      </w:r>
      <w:r>
        <w:rPr>
          <w:rFonts w:hint="eastAsia" w:ascii="宋体" w:hAnsi="宋体" w:cs="宋体"/>
          <w:szCs w:val="21"/>
        </w:rPr>
        <w:t>净值，产品开放后每个开放日结束后</w:t>
      </w:r>
      <w:r>
        <w:rPr>
          <w:rFonts w:ascii="宋体" w:hAnsi="宋体" w:cs="宋体"/>
          <w:szCs w:val="21"/>
        </w:rPr>
        <w:t>2个工作日内公布一次</w:t>
      </w:r>
      <w:r>
        <w:rPr>
          <w:rFonts w:hint="eastAsia" w:ascii="宋体" w:hAnsi="宋体" w:cs="宋体"/>
          <w:szCs w:val="21"/>
          <w:lang w:bidi="ar"/>
        </w:rPr>
        <w:t>开放日的</w:t>
      </w:r>
      <w:r>
        <w:rPr>
          <w:rFonts w:hint="eastAsia" w:ascii="宋体" w:hAnsi="宋体" w:cs="宋体"/>
          <w:szCs w:val="21"/>
          <w:lang w:val="en-US" w:eastAsia="zh-CN" w:bidi="ar"/>
        </w:rPr>
        <w:t>产品净值</w:t>
      </w:r>
      <w:r>
        <w:rPr>
          <w:rFonts w:hint="eastAsia" w:ascii="宋体" w:hAnsi="宋体" w:cs="宋体"/>
          <w:szCs w:val="21"/>
        </w:rPr>
        <w:t>。</w:t>
      </w:r>
    </w:p>
    <w:p>
      <w:pPr>
        <w:spacing w:line="360" w:lineRule="auto"/>
        <w:ind w:firstLine="411" w:firstLineChars="196"/>
        <w:rPr>
          <w:rFonts w:ascii="宋体" w:hAnsi="宋体" w:cs="宋体"/>
          <w:szCs w:val="21"/>
        </w:rPr>
      </w:pPr>
      <w:r>
        <w:rPr>
          <w:rFonts w:ascii="宋体" w:hAnsi="宋体" w:cs="宋体"/>
          <w:szCs w:val="21"/>
        </w:rPr>
        <w:t>6.临时性信息披露：</w:t>
      </w:r>
    </w:p>
    <w:p>
      <w:pPr>
        <w:spacing w:line="360" w:lineRule="auto"/>
        <w:ind w:firstLine="411" w:firstLineChars="196"/>
        <w:rPr>
          <w:rFonts w:ascii="宋体" w:hAnsi="宋体" w:cs="宋体"/>
          <w:szCs w:val="21"/>
        </w:rPr>
      </w:pPr>
      <w:r>
        <w:rPr>
          <w:rFonts w:ascii="宋体" w:hAnsi="宋体" w:cs="宋体"/>
          <w:szCs w:val="21"/>
        </w:rPr>
        <w:t>及时披露国务院银行业监督管理机构规定的其他信息或除重大事项事件以外的其他信息。</w:t>
      </w:r>
    </w:p>
    <w:p>
      <w:pPr>
        <w:spacing w:line="360" w:lineRule="auto"/>
        <w:ind w:firstLine="411" w:firstLineChars="196"/>
        <w:rPr>
          <w:rFonts w:ascii="宋体" w:hAnsi="宋体" w:cs="宋体"/>
          <w:szCs w:val="21"/>
        </w:rPr>
      </w:pPr>
      <w:r>
        <w:rPr>
          <w:rFonts w:ascii="宋体" w:hAnsi="宋体" w:cs="宋体"/>
          <w:szCs w:val="21"/>
        </w:rPr>
        <w:t>7.半年度整体报告：每半年披露从事理财业务活动的有关信息。</w:t>
      </w:r>
    </w:p>
    <w:p>
      <w:pPr>
        <w:spacing w:line="360" w:lineRule="auto"/>
        <w:ind w:firstLine="411" w:firstLineChars="196"/>
        <w:rPr>
          <w:rFonts w:ascii="宋体" w:hAnsi="宋体" w:cs="宋体"/>
          <w:szCs w:val="21"/>
        </w:rPr>
      </w:pPr>
      <w:r>
        <w:rPr>
          <w:rFonts w:hint="eastAsia" w:ascii="宋体" w:hAnsi="宋体" w:cs="宋体"/>
          <w:szCs w:val="21"/>
          <w:lang w:val="en-US" w:eastAsia="zh-CN"/>
        </w:rPr>
        <w:t>8.</w:t>
      </w:r>
      <w:r>
        <w:rPr>
          <w:rFonts w:hint="eastAsia" w:ascii="宋体" w:hAnsi="宋体" w:cs="宋体"/>
          <w:szCs w:val="21"/>
        </w:rPr>
        <w:t>业绩比较基准公告：</w:t>
      </w:r>
      <w:r>
        <w:rPr>
          <w:rFonts w:hint="eastAsia" w:ascii="宋体" w:hAnsi="宋体" w:cs="宋体"/>
          <w:szCs w:val="21"/>
          <w:lang w:val="en-US" w:eastAsia="zh-CN"/>
        </w:rPr>
        <w:t>在产品存续期限满12个月（含）后，</w:t>
      </w:r>
      <w:r>
        <w:rPr>
          <w:rFonts w:hint="eastAsia" w:ascii="宋体" w:hAnsi="宋体" w:cs="宋体"/>
          <w:szCs w:val="21"/>
        </w:rPr>
        <w:t>产品管理人将在国家统计局公布“居民消费价格指数月度报告”后</w:t>
      </w:r>
      <w:r>
        <w:rPr>
          <w:rFonts w:hint="eastAsia" w:ascii="宋体" w:hAnsi="宋体" w:cs="宋体"/>
          <w:szCs w:val="21"/>
          <w:lang w:val="en-US" w:eastAsia="zh-CN"/>
        </w:rPr>
        <w:t>定期</w:t>
      </w:r>
      <w:r>
        <w:rPr>
          <w:rFonts w:hint="eastAsia" w:ascii="宋体" w:hAnsi="宋体" w:cs="宋体"/>
          <w:szCs w:val="21"/>
        </w:rPr>
        <w:t>公告本产品</w:t>
      </w:r>
      <w:r>
        <w:rPr>
          <w:rFonts w:hint="eastAsia" w:ascii="宋体" w:hAnsi="宋体" w:cs="宋体"/>
          <w:szCs w:val="21"/>
          <w:lang w:val="en-US" w:eastAsia="zh-CN"/>
        </w:rPr>
        <w:t>最新</w:t>
      </w:r>
      <w:r>
        <w:rPr>
          <w:rFonts w:hint="eastAsia" w:ascii="宋体" w:hAnsi="宋体" w:cs="宋体"/>
          <w:szCs w:val="21"/>
        </w:rPr>
        <w:t>业绩比较基准。</w:t>
      </w:r>
    </w:p>
    <w:p>
      <w:pPr>
        <w:spacing w:line="360" w:lineRule="auto"/>
        <w:ind w:firstLine="413" w:firstLineChars="196"/>
        <w:outlineLvl w:val="0"/>
        <w:rPr>
          <w:rFonts w:ascii="宋体" w:hAnsi="宋体" w:cs="宋体"/>
          <w:b/>
          <w:bCs/>
          <w:szCs w:val="21"/>
        </w:rPr>
      </w:pPr>
      <w:r>
        <w:rPr>
          <w:rFonts w:hint="eastAsia" w:ascii="宋体" w:hAnsi="宋体" w:cs="宋体"/>
          <w:b/>
          <w:bCs/>
          <w:szCs w:val="21"/>
        </w:rPr>
        <w:t>（三）信息披露方式</w:t>
      </w:r>
    </w:p>
    <w:p>
      <w:pPr>
        <w:spacing w:line="360" w:lineRule="auto"/>
        <w:ind w:firstLine="411" w:firstLineChars="196"/>
        <w:rPr>
          <w:rFonts w:ascii="宋体" w:hAnsi="宋体" w:cs="宋体"/>
          <w:szCs w:val="21"/>
        </w:rPr>
      </w:pPr>
      <w:r>
        <w:rPr>
          <w:rFonts w:hint="eastAsia" w:ascii="宋体" w:hAnsi="宋体" w:cs="宋体"/>
          <w:bCs/>
          <w:szCs w:val="21"/>
        </w:rPr>
        <w:t>本产品信息将通过产品管理人官方网站或销售服务机构网上销售平台进行披露，请投资者及时关注。若由于投资者原因未能及时登陆产品管理人官方网站或销售服务机构网上销售平台获取披露信息，所造成的后果将由投资者自行承担，请审慎决定。</w:t>
      </w:r>
    </w:p>
    <w:p>
      <w:pPr>
        <w:spacing w:line="360" w:lineRule="auto"/>
        <w:ind w:firstLine="411" w:firstLineChars="196"/>
        <w:rPr>
          <w:rFonts w:ascii="宋体" w:hAnsi="宋体" w:cs="宋体"/>
          <w:szCs w:val="21"/>
        </w:rPr>
      </w:pPr>
      <w:r>
        <w:rPr>
          <w:rFonts w:hint="eastAsia" w:ascii="宋体" w:hAnsi="宋体" w:cs="宋体"/>
          <w:bCs/>
          <w:szCs w:val="21"/>
        </w:rPr>
        <w:t>投资者可通过销售服务机构网上销售平台在公募产品存续期内每月查询所持有的净值型理财产品账单。</w:t>
      </w:r>
    </w:p>
    <w:p>
      <w:pPr>
        <w:spacing w:line="360" w:lineRule="auto"/>
        <w:jc w:val="left"/>
        <w:rPr>
          <w:rFonts w:ascii="宋体" w:hAnsi="宋体" w:cs="宋体"/>
          <w:bCs/>
          <w:sz w:val="22"/>
        </w:rPr>
      </w:pPr>
    </w:p>
    <w:p>
      <w:pPr>
        <w:spacing w:line="360" w:lineRule="auto"/>
        <w:jc w:val="center"/>
        <w:outlineLvl w:val="0"/>
        <w:rPr>
          <w:rFonts w:ascii="宋体" w:hAnsi="宋体" w:cs="宋体"/>
          <w:b/>
          <w:bCs/>
          <w:sz w:val="28"/>
          <w:szCs w:val="28"/>
        </w:rPr>
      </w:pPr>
      <w:r>
        <w:rPr>
          <w:rFonts w:hint="eastAsia" w:ascii="宋体" w:hAnsi="宋体" w:cs="宋体"/>
          <w:b/>
          <w:bCs/>
          <w:sz w:val="28"/>
          <w:szCs w:val="28"/>
        </w:rPr>
        <w:t>十、其他</w:t>
      </w:r>
    </w:p>
    <w:p>
      <w:pPr>
        <w:spacing w:line="360" w:lineRule="auto"/>
        <w:ind w:firstLine="413" w:firstLineChars="196"/>
        <w:outlineLvl w:val="0"/>
        <w:rPr>
          <w:rFonts w:ascii="宋体" w:hAnsi="宋体" w:cs="宋体"/>
          <w:b/>
          <w:bCs/>
          <w:szCs w:val="21"/>
        </w:rPr>
      </w:pPr>
      <w:r>
        <w:rPr>
          <w:rFonts w:hint="eastAsia" w:ascii="宋体" w:hAnsi="宋体" w:cs="宋体"/>
          <w:b/>
          <w:bCs/>
          <w:szCs w:val="21"/>
        </w:rPr>
        <w:t>（一）追索条款</w:t>
      </w:r>
    </w:p>
    <w:p>
      <w:pPr>
        <w:spacing w:line="360" w:lineRule="auto"/>
        <w:ind w:firstLine="413" w:firstLineChars="196"/>
        <w:rPr>
          <w:rFonts w:ascii="宋体" w:hAnsi="宋体" w:cs="宋体"/>
          <w:b/>
          <w:szCs w:val="21"/>
        </w:rPr>
      </w:pPr>
      <w:r>
        <w:rPr>
          <w:rFonts w:hint="eastAsia" w:ascii="宋体" w:hAnsi="宋体" w:cs="宋体"/>
          <w:b/>
          <w:szCs w:val="21"/>
        </w:rPr>
        <w:t>若本理财产品所投资的金融资产到期不能全部偿付导致资产减值甚至本金大幅损失，则光大理财将以管理人名义，代表投资者利益行使诉讼权利或者实施其他法律行为。</w:t>
      </w:r>
    </w:p>
    <w:p>
      <w:pPr>
        <w:spacing w:line="360" w:lineRule="auto"/>
        <w:ind w:firstLine="413" w:firstLineChars="196"/>
        <w:outlineLvl w:val="0"/>
        <w:rPr>
          <w:rFonts w:ascii="宋体" w:hAnsi="宋体" w:cs="宋体"/>
          <w:b/>
          <w:bCs/>
          <w:szCs w:val="21"/>
        </w:rPr>
      </w:pPr>
      <w:r>
        <w:rPr>
          <w:rFonts w:hint="eastAsia" w:ascii="宋体" w:hAnsi="宋体" w:cs="宋体"/>
          <w:b/>
          <w:bCs/>
          <w:szCs w:val="21"/>
        </w:rPr>
        <w:t>（二）信息安全</w:t>
      </w:r>
    </w:p>
    <w:p>
      <w:pPr>
        <w:spacing w:line="360" w:lineRule="auto"/>
        <w:ind w:firstLine="413" w:firstLineChars="196"/>
        <w:rPr>
          <w:rFonts w:ascii="宋体" w:hAnsi="宋体" w:cs="宋体"/>
          <w:b/>
          <w:szCs w:val="21"/>
        </w:rPr>
      </w:pPr>
      <w:r>
        <w:rPr>
          <w:rFonts w:ascii="宋体" w:hAnsi="宋体" w:cs="宋体"/>
          <w:b/>
          <w:szCs w:val="21"/>
        </w:rPr>
        <w:t>产品管理人将按照法律法规规定收集、使用投资者信息，遵循正当、必要的原则，保证信息采集、处理及使用的安全性和合法性。未经投资者专门授权，不得将投资者信息及相关理财产品销售信息提供其他第三方机构和个人，法律、行政法规和银保监会另有规定的除外。产品管理人应就理财产品销售过程中获知的投资者信息承担保密义务。投资者在此同意并授权，产品管理人可根据监管要求，为理财产品登记等需要，向登记部门或监管机构提供投资者相关信息。</w:t>
      </w:r>
    </w:p>
    <w:p>
      <w:pPr>
        <w:spacing w:line="360" w:lineRule="auto"/>
        <w:ind w:firstLine="413" w:firstLineChars="196"/>
        <w:outlineLvl w:val="0"/>
        <w:rPr>
          <w:rFonts w:ascii="宋体" w:hAnsi="宋体" w:cs="宋体"/>
          <w:b/>
          <w:bCs/>
          <w:szCs w:val="21"/>
        </w:rPr>
      </w:pPr>
      <w:r>
        <w:rPr>
          <w:rFonts w:hint="eastAsia" w:ascii="宋体" w:hAnsi="宋体" w:cs="宋体"/>
          <w:b/>
          <w:bCs/>
          <w:szCs w:val="21"/>
        </w:rPr>
        <w:t>（三）争议解决</w:t>
      </w:r>
    </w:p>
    <w:p>
      <w:pPr>
        <w:spacing w:line="360" w:lineRule="auto"/>
        <w:ind w:firstLine="413" w:firstLineChars="196"/>
        <w:rPr>
          <w:rFonts w:ascii="宋体" w:hAnsi="宋体" w:cs="宋体"/>
          <w:b/>
          <w:szCs w:val="21"/>
        </w:rPr>
      </w:pPr>
      <w:bookmarkStart w:id="22" w:name="_Hlk508966639"/>
      <w:r>
        <w:rPr>
          <w:rFonts w:ascii="宋体" w:hAnsi="宋体" w:cs="宋体"/>
          <w:b/>
          <w:szCs w:val="21"/>
        </w:rPr>
        <w:t>本</w:t>
      </w:r>
      <w:r>
        <w:rPr>
          <w:rFonts w:hint="eastAsia" w:ascii="宋体" w:hAnsi="宋体" w:cs="宋体"/>
          <w:b/>
          <w:szCs w:val="21"/>
        </w:rPr>
        <w:t>说明书</w:t>
      </w:r>
      <w:r>
        <w:rPr>
          <w:rFonts w:ascii="宋体" w:hAnsi="宋体" w:cs="宋体"/>
          <w:b/>
          <w:szCs w:val="21"/>
        </w:rPr>
        <w:t>的订立、生效、履行、解释、修改和终止等事项均适用中华人民共和国（为本</w:t>
      </w:r>
      <w:r>
        <w:rPr>
          <w:rFonts w:hint="eastAsia" w:ascii="宋体" w:hAnsi="宋体" w:cs="宋体"/>
          <w:b/>
          <w:szCs w:val="21"/>
        </w:rPr>
        <w:t>说明书</w:t>
      </w:r>
      <w:r>
        <w:rPr>
          <w:rFonts w:ascii="宋体" w:hAnsi="宋体" w:cs="宋体"/>
          <w:b/>
          <w:szCs w:val="21"/>
        </w:rPr>
        <w:t>之目的，不含港澳台）法律。因本</w:t>
      </w:r>
      <w:r>
        <w:rPr>
          <w:rFonts w:hint="eastAsia" w:ascii="宋体" w:hAnsi="宋体" w:cs="宋体"/>
          <w:b/>
          <w:szCs w:val="21"/>
        </w:rPr>
        <w:t>说明书</w:t>
      </w:r>
      <w:r>
        <w:rPr>
          <w:rFonts w:ascii="宋体" w:hAnsi="宋体" w:cs="宋体"/>
          <w:b/>
          <w:szCs w:val="21"/>
        </w:rPr>
        <w:t>引起的或与本</w:t>
      </w:r>
      <w:r>
        <w:rPr>
          <w:rFonts w:hint="eastAsia" w:ascii="宋体" w:hAnsi="宋体" w:cs="宋体"/>
          <w:b/>
          <w:szCs w:val="21"/>
        </w:rPr>
        <w:t>说明书</w:t>
      </w:r>
      <w:r>
        <w:rPr>
          <w:rFonts w:ascii="宋体" w:hAnsi="宋体" w:cs="宋体"/>
          <w:b/>
          <w:szCs w:val="21"/>
        </w:rPr>
        <w:t>有关的任何争议，应当首先通过双方之间的友好协商解决；协商不成的，双方均有权提交产品管理人所在地有管辖权的人民法院诉讼解决。</w:t>
      </w:r>
      <w:bookmarkEnd w:id="22"/>
    </w:p>
    <w:p>
      <w:pPr>
        <w:spacing w:line="360" w:lineRule="auto"/>
        <w:ind w:firstLine="413" w:firstLineChars="196"/>
        <w:rPr>
          <w:rFonts w:ascii="宋体" w:hAnsi="宋体" w:cs="宋体"/>
          <w:b/>
          <w:szCs w:val="21"/>
        </w:rPr>
      </w:pPr>
      <w:r>
        <w:rPr>
          <w:rFonts w:ascii="宋体" w:hAnsi="宋体" w:cs="宋体"/>
          <w:b/>
          <w:szCs w:val="21"/>
        </w:rPr>
        <w:t>产品管理人将恪守勤勉尽责的原则，合理配置资产组合，为客户提供专业化的理财服务。客户应密切关注产品管理人与本产品有关的信息公告，以免造成不必要的损失。</w:t>
      </w:r>
    </w:p>
    <w:p>
      <w:pPr>
        <w:spacing w:line="360" w:lineRule="auto"/>
        <w:rPr>
          <w:rFonts w:ascii="宋体" w:hAnsi="宋体" w:cs="宋体"/>
          <w:color w:val="000000"/>
          <w:szCs w:val="21"/>
        </w:rPr>
      </w:pPr>
    </w:p>
    <w:p>
      <w:pPr>
        <w:spacing w:line="360" w:lineRule="auto"/>
        <w:ind w:firstLine="413" w:firstLineChars="196"/>
        <w:rPr>
          <w:rFonts w:ascii="仿宋" w:hAnsi="仿宋" w:eastAsia="仿宋" w:cs="仿宋"/>
          <w:color w:val="000000"/>
          <w:szCs w:val="21"/>
        </w:rPr>
      </w:pPr>
      <w:r>
        <w:rPr>
          <w:rFonts w:ascii="宋体" w:hAnsi="宋体" w:cs="宋体"/>
          <w:b/>
          <w:szCs w:val="21"/>
        </w:rPr>
        <w:t>投资者已阅读并领取《光大理财“</w:t>
      </w:r>
      <w:r>
        <w:rPr>
          <w:rFonts w:hint="eastAsia" w:ascii="宋体" w:hAnsi="宋体" w:cs="宋体"/>
          <w:b/>
          <w:szCs w:val="21"/>
        </w:rPr>
        <w:t>阳光橙增盈抗通胀1号（1年最低持有）</w:t>
      </w:r>
      <w:r>
        <w:rPr>
          <w:rFonts w:ascii="宋体" w:hAnsi="宋体" w:cs="宋体"/>
          <w:b/>
          <w:szCs w:val="21"/>
        </w:rPr>
        <w:t>”理财产品说明书》，充分了解本</w:t>
      </w:r>
      <w:r>
        <w:rPr>
          <w:rFonts w:hint="eastAsia" w:ascii="宋体" w:hAnsi="宋体" w:cs="宋体"/>
          <w:b/>
          <w:szCs w:val="21"/>
        </w:rPr>
        <w:t>理财</w:t>
      </w:r>
      <w:r>
        <w:rPr>
          <w:rFonts w:ascii="宋体" w:hAnsi="宋体" w:cs="宋体"/>
          <w:b/>
          <w:szCs w:val="21"/>
        </w:rPr>
        <w:t>产品的收益和风险，自愿购买。投资者同意对于产品管理人官方网站（http://www.cebwm.com）或销售服务机构网上销售平台公布的信息应及时浏览和阅读，该行为视为投资者已获取该信息。产品管理人或销售服务机构将通过</w:t>
      </w:r>
      <w:r>
        <w:rPr>
          <w:rFonts w:hint="eastAsia" w:ascii="宋体" w:hAnsi="宋体" w:cs="宋体"/>
          <w:b/>
          <w:szCs w:val="21"/>
        </w:rPr>
        <w:t>理财</w:t>
      </w:r>
      <w:r>
        <w:rPr>
          <w:rFonts w:ascii="宋体" w:hAnsi="宋体" w:cs="宋体"/>
          <w:b/>
          <w:szCs w:val="21"/>
        </w:rPr>
        <w:t>产品</w:t>
      </w:r>
      <w:r>
        <w:rPr>
          <w:rFonts w:hint="eastAsia" w:ascii="宋体" w:hAnsi="宋体" w:cs="宋体"/>
          <w:b/>
          <w:szCs w:val="21"/>
        </w:rPr>
        <w:t>销售文件</w:t>
      </w:r>
      <w:r>
        <w:rPr>
          <w:rFonts w:ascii="宋体" w:hAnsi="宋体" w:cs="宋体"/>
          <w:b/>
          <w:szCs w:val="21"/>
        </w:rPr>
        <w:t>中的联系方式告知投资者产品重要信息。若投资者联系方式变更，投资者需主动告知产品管理人或销售服务机构。如投资者未将联系方式变更及时通知产品管理人或销售服务机构，因此导致的产品信息无法告知或告知不及时，产品管理人和销售服务机构不承担由此产生的后果。</w:t>
      </w:r>
    </w:p>
    <w:p>
      <w:pPr>
        <w:tabs>
          <w:tab w:val="left" w:pos="6946"/>
        </w:tabs>
        <w:spacing w:line="360" w:lineRule="auto"/>
        <w:rPr>
          <w:rFonts w:ascii="宋体" w:hAnsi="宋体" w:cs="宋体"/>
          <w:b/>
          <w:bCs/>
          <w:snapToGrid w:val="0"/>
          <w:szCs w:val="21"/>
        </w:rPr>
      </w:pPr>
      <w:r>
        <w:rPr>
          <w:rFonts w:hint="eastAsia" w:ascii="宋体" w:hAnsi="宋体" w:cs="宋体"/>
          <w:b/>
          <w:bCs/>
          <w:snapToGrid w:val="0"/>
          <w:szCs w:val="21"/>
        </w:rPr>
        <w:t>个人投资者签字：</w:t>
      </w:r>
      <w:r>
        <w:rPr>
          <w:rFonts w:ascii="宋体" w:hAnsi="宋体" w:cs="宋体"/>
          <w:b/>
          <w:bCs/>
          <w:snapToGrid w:val="0"/>
          <w:szCs w:val="21"/>
        </w:rPr>
        <w:tab/>
      </w:r>
      <w:r>
        <w:rPr>
          <w:rFonts w:hint="eastAsia" w:ascii="宋体" w:hAnsi="宋体" w:cs="宋体"/>
          <w:b/>
          <w:bCs/>
          <w:snapToGrid w:val="0"/>
          <w:szCs w:val="21"/>
        </w:rPr>
        <w:t>日期：</w:t>
      </w:r>
    </w:p>
    <w:p>
      <w:pPr>
        <w:spacing w:line="360" w:lineRule="auto"/>
        <w:rPr>
          <w:rFonts w:ascii="宋体" w:hAnsi="宋体" w:cs="宋体"/>
          <w:b/>
          <w:bCs/>
          <w:snapToGrid w:val="0"/>
          <w:szCs w:val="21"/>
        </w:rPr>
      </w:pPr>
    </w:p>
    <w:p>
      <w:pPr>
        <w:spacing w:line="360" w:lineRule="auto"/>
        <w:rPr>
          <w:rFonts w:ascii="宋体" w:hAnsi="宋体" w:cs="宋体"/>
          <w:b/>
          <w:bCs/>
          <w:snapToGrid w:val="0"/>
          <w:szCs w:val="21"/>
        </w:rPr>
      </w:pPr>
      <w:r>
        <w:rPr>
          <w:rFonts w:hint="eastAsia" w:ascii="宋体" w:hAnsi="宋体" w:cs="宋体"/>
          <w:b/>
          <w:bCs/>
          <w:snapToGrid w:val="0"/>
          <w:szCs w:val="21"/>
        </w:rPr>
        <w:t>机构投资者（盖章）：</w:t>
      </w:r>
    </w:p>
    <w:p>
      <w:pPr>
        <w:tabs>
          <w:tab w:val="left" w:pos="6946"/>
        </w:tabs>
        <w:spacing w:line="360" w:lineRule="auto"/>
        <w:rPr>
          <w:rFonts w:ascii="宋体" w:hAnsi="宋体" w:cs="宋体"/>
          <w:b/>
          <w:bCs/>
          <w:snapToGrid w:val="0"/>
          <w:szCs w:val="21"/>
        </w:rPr>
      </w:pPr>
      <w:r>
        <w:rPr>
          <w:rFonts w:hint="eastAsia" w:ascii="宋体" w:hAnsi="宋体" w:cs="宋体"/>
          <w:b/>
          <w:bCs/>
          <w:snapToGrid w:val="0"/>
          <w:szCs w:val="21"/>
        </w:rPr>
        <w:t>机构投资者法定代表人或授权代表（签字或盖章）：</w:t>
      </w:r>
      <w:r>
        <w:rPr>
          <w:rFonts w:ascii="宋体" w:hAnsi="宋体" w:cs="宋体"/>
          <w:b/>
          <w:bCs/>
          <w:snapToGrid w:val="0"/>
          <w:szCs w:val="21"/>
        </w:rPr>
        <w:tab/>
      </w:r>
      <w:r>
        <w:rPr>
          <w:rFonts w:hint="eastAsia" w:ascii="宋体" w:hAnsi="宋体" w:cs="宋体"/>
          <w:b/>
          <w:bCs/>
          <w:snapToGrid w:val="0"/>
          <w:szCs w:val="21"/>
        </w:rPr>
        <w:t>日期：</w:t>
      </w:r>
    </w:p>
    <w:p>
      <w:pPr>
        <w:jc w:val="center"/>
        <w:rPr>
          <w:spacing w:val="-2"/>
          <w:szCs w:val="21"/>
        </w:rPr>
      </w:pPr>
      <w:r>
        <w:rPr>
          <w:rFonts w:hint="eastAsia" w:ascii="黑体" w:hAnsi="黑体" w:eastAsia="黑体" w:cs="黑体"/>
          <w:b/>
          <w:bCs/>
          <w:color w:val="000000"/>
          <w:sz w:val="36"/>
          <w:szCs w:val="36"/>
        </w:rPr>
        <w:br w:type="page"/>
      </w:r>
      <w:r>
        <w:rPr>
          <w:rFonts w:hint="eastAsia" w:ascii="黑体" w:hAnsi="黑体" w:eastAsia="黑体" w:cs="黑体"/>
          <w:b/>
          <w:bCs/>
          <w:color w:val="000000"/>
          <w:sz w:val="36"/>
          <w:szCs w:val="36"/>
        </w:rPr>
        <w:t>光大理财“阳光橙增盈抗通胀1号（1年最低持有）”</w:t>
      </w:r>
      <w:r>
        <w:rPr>
          <w:rFonts w:hint="eastAsia" w:ascii="黑体" w:hAnsi="黑体" w:eastAsia="黑体" w:cs="黑体"/>
          <w:b/>
          <w:bCs/>
          <w:color w:val="000000"/>
          <w:sz w:val="36"/>
          <w:szCs w:val="36"/>
        </w:rPr>
        <w:br w:type="textWrapping"/>
      </w:r>
      <w:r>
        <w:rPr>
          <w:rFonts w:hint="eastAsia" w:ascii="黑体" w:hAnsi="黑体" w:eastAsia="黑体" w:cs="黑体"/>
          <w:b/>
          <w:bCs/>
          <w:color w:val="000000"/>
          <w:sz w:val="36"/>
          <w:szCs w:val="36"/>
        </w:rPr>
        <w:t>理财产品投资协议书</w:t>
      </w:r>
    </w:p>
    <w:p>
      <w:pPr>
        <w:spacing w:line="336" w:lineRule="auto"/>
        <w:ind w:firstLine="422" w:firstLineChars="200"/>
        <w:outlineLvl w:val="0"/>
        <w:rPr>
          <w:rFonts w:ascii="宋体" w:hAnsi="宋体" w:cs="宋体"/>
          <w:b/>
          <w:bCs/>
          <w:szCs w:val="21"/>
        </w:rPr>
      </w:pPr>
      <w:r>
        <w:rPr>
          <w:rFonts w:hint="eastAsia" w:ascii="宋体" w:hAnsi="宋体" w:cs="宋体"/>
          <w:b/>
          <w:bCs/>
          <w:szCs w:val="21"/>
        </w:rPr>
        <w:t>一、重要声明</w:t>
      </w:r>
    </w:p>
    <w:p>
      <w:pPr>
        <w:spacing w:line="336" w:lineRule="auto"/>
        <w:ind w:firstLine="421"/>
        <w:rPr>
          <w:rFonts w:ascii="宋体" w:hAnsi="宋体"/>
          <w:spacing w:val="-2"/>
          <w:szCs w:val="21"/>
        </w:rPr>
      </w:pPr>
      <w:r>
        <w:rPr>
          <w:rFonts w:ascii="宋体" w:hAnsi="宋体"/>
          <w:spacing w:val="-2"/>
          <w:szCs w:val="21"/>
        </w:rPr>
        <w:t>本协议书与</w:t>
      </w:r>
      <w:r>
        <w:rPr>
          <w:rFonts w:hint="eastAsia" w:ascii="宋体" w:hAnsi="宋体"/>
          <w:spacing w:val="-2"/>
          <w:szCs w:val="21"/>
        </w:rPr>
        <w:t>理财</w:t>
      </w:r>
      <w:r>
        <w:rPr>
          <w:rFonts w:ascii="宋体" w:hAnsi="宋体"/>
          <w:spacing w:val="-2"/>
          <w:szCs w:val="21"/>
        </w:rPr>
        <w:t>产品说明书、风险揭示书、</w:t>
      </w:r>
      <w:r>
        <w:rPr>
          <w:rFonts w:hint="eastAsia" w:ascii="宋体" w:hAnsi="宋体"/>
          <w:spacing w:val="-2"/>
          <w:szCs w:val="21"/>
        </w:rPr>
        <w:t>投资者</w:t>
      </w:r>
      <w:r>
        <w:rPr>
          <w:rFonts w:ascii="宋体" w:hAnsi="宋体"/>
          <w:spacing w:val="-2"/>
          <w:szCs w:val="21"/>
        </w:rPr>
        <w:t>权益须知</w:t>
      </w:r>
      <w:r>
        <w:rPr>
          <w:rFonts w:hint="eastAsia" w:ascii="宋体" w:hAnsi="宋体"/>
          <w:spacing w:val="-2"/>
          <w:szCs w:val="21"/>
        </w:rPr>
        <w:t>、销售（代理销售）协议书</w:t>
      </w:r>
      <w:r>
        <w:rPr>
          <w:rFonts w:hint="eastAsia" w:ascii="宋体" w:hAnsi="宋体"/>
          <w:color w:val="000000"/>
          <w:szCs w:val="21"/>
        </w:rPr>
        <w:t>等</w:t>
      </w:r>
      <w:r>
        <w:rPr>
          <w:rFonts w:hint="eastAsia" w:ascii="宋体" w:hAnsi="宋体"/>
          <w:spacing w:val="-2"/>
          <w:szCs w:val="21"/>
        </w:rPr>
        <w:t>构</w:t>
      </w:r>
      <w:r>
        <w:rPr>
          <w:rFonts w:ascii="宋体" w:hAnsi="宋体"/>
          <w:spacing w:val="-2"/>
          <w:szCs w:val="21"/>
        </w:rPr>
        <w:t>成</w:t>
      </w:r>
      <w:r>
        <w:rPr>
          <w:rFonts w:hint="eastAsia" w:ascii="宋体" w:hAnsi="宋体"/>
          <w:spacing w:val="-2"/>
          <w:szCs w:val="21"/>
        </w:rPr>
        <w:t>“阳光橙增盈抗通胀1号（1年最低持有）”理财产品</w:t>
      </w:r>
      <w:r>
        <w:rPr>
          <w:rFonts w:ascii="宋体" w:hAnsi="宋体"/>
          <w:spacing w:val="-2"/>
          <w:szCs w:val="21"/>
        </w:rPr>
        <w:t>完整的不可分割的理财</w:t>
      </w:r>
      <w:r>
        <w:rPr>
          <w:rFonts w:hint="eastAsia" w:ascii="宋体" w:hAnsi="宋体"/>
          <w:spacing w:val="-2"/>
          <w:szCs w:val="21"/>
        </w:rPr>
        <w:t>产品</w:t>
      </w:r>
      <w:r>
        <w:rPr>
          <w:rFonts w:hint="eastAsia" w:ascii="宋体" w:hAnsi="宋体"/>
          <w:color w:val="000000"/>
          <w:szCs w:val="21"/>
        </w:rPr>
        <w:t>销售文件</w:t>
      </w:r>
      <w:r>
        <w:rPr>
          <w:rFonts w:ascii="宋体" w:hAnsi="宋体"/>
          <w:spacing w:val="-2"/>
          <w:szCs w:val="21"/>
        </w:rPr>
        <w:t>。</w:t>
      </w:r>
      <w:r>
        <w:rPr>
          <w:rFonts w:hint="eastAsia" w:ascii="宋体" w:hAnsi="宋体"/>
          <w:spacing w:val="-2"/>
          <w:szCs w:val="21"/>
        </w:rPr>
        <w:t>光大理财有限责任公司（以下简称“光大理财”）</w:t>
      </w:r>
      <w:r>
        <w:rPr>
          <w:rFonts w:ascii="宋体" w:hAnsi="宋体"/>
          <w:spacing w:val="-2"/>
          <w:szCs w:val="21"/>
        </w:rPr>
        <w:t>建议投资者在</w:t>
      </w:r>
      <w:r>
        <w:rPr>
          <w:rFonts w:hint="eastAsia" w:ascii="宋体" w:hAnsi="宋体"/>
          <w:spacing w:val="-2"/>
          <w:szCs w:val="21"/>
        </w:rPr>
        <w:t>购买</w:t>
      </w:r>
      <w:r>
        <w:rPr>
          <w:rFonts w:ascii="宋体" w:hAnsi="宋体"/>
          <w:spacing w:val="-2"/>
          <w:szCs w:val="21"/>
        </w:rPr>
        <w:t>本</w:t>
      </w:r>
      <w:r>
        <w:rPr>
          <w:rFonts w:hint="eastAsia" w:ascii="宋体" w:hAnsi="宋体"/>
          <w:spacing w:val="-2"/>
          <w:szCs w:val="21"/>
        </w:rPr>
        <w:t>理财</w:t>
      </w:r>
      <w:r>
        <w:rPr>
          <w:rFonts w:ascii="宋体" w:hAnsi="宋体"/>
          <w:spacing w:val="-2"/>
          <w:szCs w:val="21"/>
        </w:rPr>
        <w:t>产品前认真</w:t>
      </w:r>
      <w:r>
        <w:rPr>
          <w:rFonts w:hint="eastAsia" w:ascii="宋体" w:hAnsi="宋体"/>
          <w:spacing w:val="-2"/>
          <w:szCs w:val="21"/>
        </w:rPr>
        <w:t>、仔细</w:t>
      </w:r>
      <w:r>
        <w:rPr>
          <w:rFonts w:ascii="宋体" w:hAnsi="宋体"/>
          <w:spacing w:val="-2"/>
          <w:szCs w:val="21"/>
        </w:rPr>
        <w:t>阅读相关</w:t>
      </w:r>
      <w:r>
        <w:rPr>
          <w:rFonts w:hint="eastAsia" w:ascii="宋体" w:hAnsi="宋体"/>
          <w:spacing w:val="-2"/>
          <w:szCs w:val="21"/>
        </w:rPr>
        <w:t>理财</w:t>
      </w:r>
      <w:r>
        <w:rPr>
          <w:rFonts w:ascii="宋体" w:hAnsi="宋体"/>
          <w:spacing w:val="-2"/>
          <w:szCs w:val="21"/>
        </w:rPr>
        <w:t>产品</w:t>
      </w:r>
      <w:r>
        <w:rPr>
          <w:rFonts w:hint="eastAsia" w:ascii="宋体" w:hAnsi="宋体"/>
          <w:spacing w:val="-2"/>
          <w:szCs w:val="21"/>
        </w:rPr>
        <w:t>完整销售文件（</w:t>
      </w:r>
      <w:r>
        <w:rPr>
          <w:rFonts w:hint="eastAsia" w:ascii="宋体" w:hAnsi="宋体"/>
          <w:color w:val="000000"/>
        </w:rPr>
        <w:t>包括理财产品投资协议书、销售（代理销售）协议书、理财产品说明书、风险揭示书、投资者权益须知等</w:t>
      </w:r>
      <w:r>
        <w:rPr>
          <w:rFonts w:hint="eastAsia" w:ascii="宋体" w:hAnsi="宋体"/>
          <w:spacing w:val="-2"/>
          <w:szCs w:val="21"/>
        </w:rPr>
        <w:t>），了解理财产品具体情况，如有需要请及时</w:t>
      </w:r>
      <w:r>
        <w:rPr>
          <w:rFonts w:ascii="宋体" w:hAnsi="宋体"/>
          <w:spacing w:val="-2"/>
          <w:szCs w:val="21"/>
        </w:rPr>
        <w:t>咨询专业理财经理</w:t>
      </w:r>
      <w:r>
        <w:rPr>
          <w:rFonts w:hint="eastAsia" w:ascii="宋体" w:hAnsi="宋体"/>
          <w:spacing w:val="-2"/>
          <w:szCs w:val="21"/>
        </w:rPr>
        <w:t>。投资者</w:t>
      </w:r>
      <w:r>
        <w:rPr>
          <w:rFonts w:ascii="宋体" w:hAnsi="宋体"/>
          <w:spacing w:val="-2"/>
          <w:szCs w:val="21"/>
        </w:rPr>
        <w:t>签署本协议</w:t>
      </w:r>
      <w:r>
        <w:rPr>
          <w:rFonts w:hint="eastAsia" w:ascii="宋体" w:hAnsi="宋体"/>
          <w:spacing w:val="-2"/>
          <w:szCs w:val="21"/>
        </w:rPr>
        <w:t>（含电子渠道确认）</w:t>
      </w:r>
      <w:r>
        <w:rPr>
          <w:rFonts w:ascii="宋体" w:hAnsi="宋体"/>
          <w:spacing w:val="-2"/>
          <w:szCs w:val="21"/>
        </w:rPr>
        <w:t>则被视为已详细阅读过本协议</w:t>
      </w:r>
      <w:r>
        <w:rPr>
          <w:rFonts w:hint="eastAsia" w:ascii="宋体" w:hAnsi="宋体"/>
          <w:spacing w:val="-2"/>
          <w:szCs w:val="21"/>
        </w:rPr>
        <w:t>及完整理财产品完整销售文件</w:t>
      </w:r>
      <w:r>
        <w:rPr>
          <w:rFonts w:ascii="宋体" w:hAnsi="宋体"/>
          <w:spacing w:val="-2"/>
          <w:szCs w:val="21"/>
        </w:rPr>
        <w:t>，并充分理解</w:t>
      </w:r>
      <w:r>
        <w:rPr>
          <w:rFonts w:hint="eastAsia" w:ascii="宋体" w:hAnsi="宋体"/>
          <w:spacing w:val="-2"/>
          <w:szCs w:val="21"/>
        </w:rPr>
        <w:t>本理财产品销售文件各项条款</w:t>
      </w:r>
      <w:r>
        <w:rPr>
          <w:rFonts w:ascii="宋体" w:hAnsi="宋体"/>
          <w:spacing w:val="-2"/>
          <w:szCs w:val="21"/>
        </w:rPr>
        <w:t>和潜在风险，自愿购买</w:t>
      </w:r>
      <w:r>
        <w:rPr>
          <w:rFonts w:hint="eastAsia" w:ascii="宋体" w:hAnsi="宋体"/>
          <w:spacing w:val="-2"/>
          <w:szCs w:val="21"/>
        </w:rPr>
        <w:t>本</w:t>
      </w:r>
      <w:r>
        <w:rPr>
          <w:rFonts w:ascii="宋体" w:hAnsi="宋体"/>
          <w:spacing w:val="-2"/>
          <w:szCs w:val="21"/>
        </w:rPr>
        <w:t>理财产品，并遵守本</w:t>
      </w:r>
      <w:r>
        <w:rPr>
          <w:rFonts w:hint="eastAsia" w:ascii="宋体" w:hAnsi="宋体"/>
          <w:spacing w:val="-2"/>
          <w:szCs w:val="21"/>
        </w:rPr>
        <w:t>理财产品完整理财产品销售文件中</w:t>
      </w:r>
      <w:r>
        <w:rPr>
          <w:rFonts w:ascii="宋体" w:hAnsi="宋体"/>
          <w:spacing w:val="-2"/>
          <w:szCs w:val="21"/>
        </w:rPr>
        <w:t>的各项规定。</w:t>
      </w:r>
      <w:r>
        <w:rPr>
          <w:rFonts w:hint="eastAsia" w:ascii="宋体" w:hAnsi="宋体"/>
          <w:spacing w:val="-2"/>
          <w:szCs w:val="21"/>
        </w:rPr>
        <w:t>其中，理财产品认（申）购、赎回等业务限制详见说明书第六部分（产品运作）相关约定，具体开放或者暂停认（申）购、赎回等业务的相关安排请以理财产品信息披露为准。</w:t>
      </w:r>
    </w:p>
    <w:p>
      <w:pPr>
        <w:spacing w:line="336" w:lineRule="auto"/>
        <w:ind w:firstLine="421"/>
        <w:rPr>
          <w:rFonts w:ascii="宋体" w:hAnsi="宋体"/>
          <w:spacing w:val="-2"/>
          <w:szCs w:val="21"/>
        </w:rPr>
      </w:pPr>
      <w:r>
        <w:rPr>
          <w:rFonts w:ascii="宋体" w:hAnsi="宋体"/>
          <w:spacing w:val="-2"/>
          <w:szCs w:val="21"/>
        </w:rPr>
        <w:t>本理财产品不保证本金和收益。受各种市场波动因素影响，本</w:t>
      </w:r>
      <w:r>
        <w:rPr>
          <w:rFonts w:hint="eastAsia" w:ascii="宋体" w:hAnsi="宋体"/>
          <w:spacing w:val="-2"/>
          <w:szCs w:val="21"/>
        </w:rPr>
        <w:t>理财</w:t>
      </w:r>
      <w:r>
        <w:rPr>
          <w:rFonts w:ascii="宋体" w:hAnsi="宋体"/>
          <w:spacing w:val="-2"/>
          <w:szCs w:val="21"/>
        </w:rPr>
        <w:t>产品可能存在但不限于政策风险、信用风险、市场风险、流动性风险</w:t>
      </w:r>
      <w:r>
        <w:rPr>
          <w:rFonts w:hint="eastAsia" w:ascii="宋体" w:hAnsi="宋体"/>
          <w:spacing w:val="-2"/>
          <w:szCs w:val="21"/>
        </w:rPr>
        <w:t>、管理风险、操作风险、产品不成立风险、兑付</w:t>
      </w:r>
      <w:bookmarkStart w:id="25" w:name="_GoBack"/>
      <w:bookmarkEnd w:id="25"/>
      <w:r>
        <w:rPr>
          <w:rFonts w:hint="eastAsia" w:ascii="宋体" w:hAnsi="宋体"/>
          <w:spacing w:val="-2"/>
          <w:szCs w:val="21"/>
        </w:rPr>
        <w:t>延期风险、提前终止风险、信息传递风险</w:t>
      </w:r>
      <w:r>
        <w:rPr>
          <w:rFonts w:hint="eastAsia" w:ascii="宋体" w:hAnsi="宋体" w:cs="宋体"/>
          <w:szCs w:val="21"/>
        </w:rPr>
        <w:t>、</w:t>
      </w:r>
      <w:r>
        <w:rPr>
          <w:rFonts w:hint="eastAsia" w:ascii="宋体" w:hAnsi="宋体"/>
          <w:spacing w:val="-2"/>
          <w:szCs w:val="21"/>
        </w:rPr>
        <w:t>销售风险、</w:t>
      </w:r>
      <w:r>
        <w:rPr>
          <w:rFonts w:hint="eastAsia" w:ascii="宋体" w:hAnsi="宋体" w:cs="宋体"/>
          <w:szCs w:val="21"/>
        </w:rPr>
        <w:t>标的资产的特别投资风险</w:t>
      </w:r>
      <w:r>
        <w:rPr>
          <w:rFonts w:hint="eastAsia" w:ascii="宋体" w:hAnsi="宋体"/>
          <w:spacing w:val="-2"/>
          <w:szCs w:val="21"/>
        </w:rPr>
        <w:t>及其他风险</w:t>
      </w:r>
      <w:r>
        <w:rPr>
          <w:rFonts w:ascii="宋体" w:hAnsi="宋体"/>
          <w:spacing w:val="-2"/>
          <w:szCs w:val="21"/>
        </w:rPr>
        <w:t>，具体风险因素由光大理财在</w:t>
      </w:r>
      <w:r>
        <w:rPr>
          <w:rFonts w:hint="eastAsia" w:ascii="宋体" w:hAnsi="宋体"/>
          <w:spacing w:val="-2"/>
          <w:szCs w:val="21"/>
        </w:rPr>
        <w:t>理财</w:t>
      </w:r>
      <w:r>
        <w:rPr>
          <w:rFonts w:ascii="宋体" w:hAnsi="宋体"/>
          <w:spacing w:val="-2"/>
          <w:szCs w:val="21"/>
        </w:rPr>
        <w:t>产品</w:t>
      </w:r>
      <w:r>
        <w:rPr>
          <w:rFonts w:hint="eastAsia" w:ascii="宋体" w:hAnsi="宋体"/>
          <w:spacing w:val="-2"/>
          <w:szCs w:val="21"/>
        </w:rPr>
        <w:t>风险揭示书</w:t>
      </w:r>
      <w:r>
        <w:rPr>
          <w:rFonts w:ascii="宋体" w:hAnsi="宋体"/>
          <w:spacing w:val="-2"/>
          <w:szCs w:val="21"/>
        </w:rPr>
        <w:t>中揭示。请您充分认识投资风险，谨慎投资。</w:t>
      </w:r>
    </w:p>
    <w:p>
      <w:pPr>
        <w:spacing w:line="336" w:lineRule="auto"/>
        <w:ind w:firstLine="421"/>
        <w:rPr>
          <w:rFonts w:ascii="宋体" w:hAnsi="宋体"/>
          <w:spacing w:val="-2"/>
          <w:szCs w:val="21"/>
        </w:rPr>
      </w:pPr>
      <w:r>
        <w:rPr>
          <w:rFonts w:hint="eastAsia" w:ascii="宋体" w:hAnsi="宋体"/>
          <w:spacing w:val="-2"/>
          <w:szCs w:val="21"/>
        </w:rPr>
        <w:t>投资者通过电子渠道购买理财产品的，在此特别同意理财产品销售机构完整客观记录营销推介、产品风险和关键信息提示、投资者确认和反馈等重点销售环节，确保能够满足回溯检查和核查取证的需要。</w:t>
      </w:r>
    </w:p>
    <w:p>
      <w:pPr>
        <w:spacing w:line="336" w:lineRule="auto"/>
        <w:ind w:firstLine="422" w:firstLineChars="200"/>
        <w:outlineLvl w:val="0"/>
        <w:rPr>
          <w:rFonts w:ascii="宋体" w:hAnsi="宋体" w:cs="宋体"/>
          <w:b/>
          <w:bCs/>
          <w:szCs w:val="21"/>
        </w:rPr>
      </w:pPr>
      <w:r>
        <w:rPr>
          <w:rFonts w:hint="eastAsia" w:ascii="宋体" w:hAnsi="宋体" w:cs="宋体"/>
          <w:b/>
          <w:bCs/>
          <w:szCs w:val="21"/>
        </w:rPr>
        <w:t>二、名词释义</w:t>
      </w:r>
    </w:p>
    <w:p>
      <w:pPr>
        <w:tabs>
          <w:tab w:val="left" w:pos="709"/>
        </w:tabs>
        <w:spacing w:line="336" w:lineRule="auto"/>
        <w:ind w:firstLine="420"/>
        <w:rPr>
          <w:rFonts w:ascii="宋体" w:hAnsi="宋体" w:cs="宋体"/>
          <w:szCs w:val="21"/>
        </w:rPr>
      </w:pPr>
      <w:r>
        <w:rPr>
          <w:rFonts w:hint="eastAsia" w:ascii="宋体" w:hAnsi="宋体" w:cs="宋体"/>
          <w:szCs w:val="21"/>
        </w:rPr>
        <w:t>1.理财产品/产品：指光大理财有限责任公司按照双方约定的条件和实际投资收益情况向投资者支付收益、不保证本金支付和收益水平的非保本理财产品。</w:t>
      </w:r>
    </w:p>
    <w:p>
      <w:pPr>
        <w:tabs>
          <w:tab w:val="left" w:pos="709"/>
        </w:tabs>
        <w:spacing w:line="336" w:lineRule="auto"/>
        <w:ind w:firstLine="420"/>
        <w:rPr>
          <w:rFonts w:ascii="宋体" w:hAnsi="宋体" w:cs="宋体"/>
          <w:szCs w:val="21"/>
        </w:rPr>
      </w:pPr>
      <w:r>
        <w:rPr>
          <w:rFonts w:hint="eastAsia" w:ascii="宋体" w:hAnsi="宋体" w:cs="宋体"/>
          <w:szCs w:val="21"/>
        </w:rPr>
        <w:t>2.产品开放日：开放日当日投资者可办理产品购买、赎回等交易，具体开放日、开市时间、闭市时间以理财产品说明书约定为准。</w:t>
      </w:r>
    </w:p>
    <w:p>
      <w:pPr>
        <w:tabs>
          <w:tab w:val="left" w:pos="709"/>
        </w:tabs>
        <w:spacing w:line="336" w:lineRule="auto"/>
        <w:ind w:firstLine="420"/>
        <w:rPr>
          <w:rFonts w:ascii="宋体" w:hAnsi="宋体" w:cs="宋体"/>
          <w:szCs w:val="21"/>
        </w:rPr>
      </w:pPr>
      <w:r>
        <w:rPr>
          <w:rFonts w:hint="eastAsia" w:ascii="宋体" w:hAnsi="宋体" w:cs="宋体"/>
          <w:szCs w:val="21"/>
        </w:rPr>
        <w:t>3.认购、申购及预约申购：认购是指投资者在募集期开始日至结束日15点前进行的购买行为。申购是指在产品开放期间，投资者在当日15点前进行的购买行为。预约申购是指投资者在</w:t>
      </w:r>
      <w:r>
        <w:rPr>
          <w:rFonts w:hint="eastAsia" w:ascii="宋体" w:hAnsi="宋体" w:cs="宋体"/>
          <w:szCs w:val="21"/>
          <w:lang w:bidi="bn-IN"/>
        </w:rPr>
        <w:t>约定的产品开放日，按约定的金额（或份额）购买本产品。</w:t>
      </w:r>
    </w:p>
    <w:p>
      <w:pPr>
        <w:tabs>
          <w:tab w:val="left" w:pos="709"/>
        </w:tabs>
        <w:spacing w:line="336" w:lineRule="auto"/>
        <w:ind w:firstLine="420"/>
        <w:rPr>
          <w:rFonts w:ascii="宋体" w:hAnsi="宋体" w:cs="宋体"/>
          <w:szCs w:val="21"/>
        </w:rPr>
      </w:pPr>
      <w:r>
        <w:rPr>
          <w:rFonts w:hint="eastAsia" w:ascii="宋体" w:hAnsi="宋体" w:cs="宋体"/>
          <w:szCs w:val="21"/>
        </w:rPr>
        <w:t>4.赎回：赎回指投资者根据理财产品说明书、风险提示书、投资者权益须知、理财产品销售（代理销售）协议书以及相关公告的规定将理财份额兑换为现金的行为。赎回分为当日赎回和预约赎回。当日赎回指投资者在理财产品开放日当日15点前向光大理财申请赎回理财份额的行为。预约赎回是指投资者预约在产品未来的某个开放日赎回该产品份额的交易。</w:t>
      </w:r>
    </w:p>
    <w:p>
      <w:pPr>
        <w:tabs>
          <w:tab w:val="left" w:pos="709"/>
        </w:tabs>
        <w:spacing w:line="336" w:lineRule="auto"/>
        <w:ind w:firstLine="420"/>
        <w:rPr>
          <w:rFonts w:ascii="宋体" w:hAnsi="宋体" w:cs="宋体"/>
          <w:szCs w:val="21"/>
        </w:rPr>
      </w:pPr>
      <w:r>
        <w:rPr>
          <w:rFonts w:hint="eastAsia" w:ascii="宋体" w:hAnsi="宋体" w:cs="宋体"/>
          <w:szCs w:val="21"/>
        </w:rPr>
        <w:t>5.巨额赎回：在产品的</w:t>
      </w:r>
      <w:r>
        <w:rPr>
          <w:rFonts w:ascii="宋体" w:hAnsi="宋体" w:cs="宋体"/>
          <w:szCs w:val="21"/>
        </w:rPr>
        <w:t>单</w:t>
      </w:r>
      <w:r>
        <w:rPr>
          <w:rFonts w:hint="eastAsia" w:ascii="宋体" w:hAnsi="宋体" w:cs="宋体"/>
          <w:szCs w:val="21"/>
        </w:rPr>
        <w:t>个开放日，产品</w:t>
      </w:r>
      <w:r>
        <w:rPr>
          <w:rFonts w:ascii="宋体" w:hAnsi="宋体" w:cs="宋体"/>
          <w:szCs w:val="21"/>
        </w:rPr>
        <w:t>净</w:t>
      </w:r>
      <w:r>
        <w:rPr>
          <w:rFonts w:hint="eastAsia" w:ascii="宋体" w:hAnsi="宋体" w:cs="宋体"/>
          <w:szCs w:val="21"/>
        </w:rPr>
        <w:t>赎回</w:t>
      </w:r>
      <w:r>
        <w:rPr>
          <w:rFonts w:ascii="宋体" w:hAnsi="宋体" w:cs="宋体"/>
          <w:szCs w:val="21"/>
        </w:rPr>
        <w:t>申请</w:t>
      </w:r>
      <w:r>
        <w:rPr>
          <w:rFonts w:hint="eastAsia" w:ascii="宋体" w:hAnsi="宋体" w:cs="宋体"/>
          <w:szCs w:val="21"/>
        </w:rPr>
        <w:t>超过上一日产品总份额的理财产品说明书约定比例时，为巨额赎回。出现巨额赎回时，光大理财将根据理财产品说明书内相关内容，决定接受全额赎回或部分延期赎回。</w:t>
      </w:r>
    </w:p>
    <w:p>
      <w:pPr>
        <w:tabs>
          <w:tab w:val="left" w:pos="709"/>
        </w:tabs>
        <w:spacing w:line="336" w:lineRule="auto"/>
        <w:ind w:firstLine="420"/>
        <w:rPr>
          <w:rFonts w:ascii="宋体" w:hAnsi="宋体" w:cs="宋体"/>
          <w:szCs w:val="21"/>
        </w:rPr>
      </w:pPr>
      <w:r>
        <w:rPr>
          <w:rFonts w:ascii="宋体" w:hAnsi="宋体" w:cs="宋体"/>
          <w:szCs w:val="21"/>
        </w:rPr>
        <w:t>6</w:t>
      </w:r>
      <w:r>
        <w:rPr>
          <w:rFonts w:hint="eastAsia" w:ascii="宋体" w:hAnsi="宋体" w:cs="宋体"/>
          <w:szCs w:val="21"/>
        </w:rPr>
        <w:t>.收益分配：是指理财产品将其所实现收益根据投资者持有的理财产品份额和符合法规规定的收益规则分配给投资者，于权益登记日在理财业务注册登记系统登记的个人及机构投资者享有收益分配权。</w:t>
      </w:r>
    </w:p>
    <w:p>
      <w:pPr>
        <w:spacing w:line="336" w:lineRule="auto"/>
        <w:ind w:firstLine="422" w:firstLineChars="200"/>
        <w:rPr>
          <w:rFonts w:ascii="宋体" w:hAnsi="宋体" w:cs="宋体"/>
          <w:b/>
          <w:bCs/>
          <w:szCs w:val="21"/>
        </w:rPr>
      </w:pPr>
      <w:r>
        <w:rPr>
          <w:rFonts w:hint="eastAsia" w:ascii="宋体" w:hAnsi="宋体" w:cs="宋体"/>
          <w:b/>
          <w:bCs/>
          <w:szCs w:val="21"/>
        </w:rPr>
        <w:t>三、税收规定</w:t>
      </w:r>
    </w:p>
    <w:p>
      <w:pPr>
        <w:tabs>
          <w:tab w:val="left" w:pos="709"/>
        </w:tabs>
        <w:spacing w:line="336" w:lineRule="auto"/>
        <w:ind w:firstLine="420"/>
        <w:rPr>
          <w:rFonts w:ascii="宋体" w:hAnsi="宋体" w:cs="宋体"/>
          <w:szCs w:val="21"/>
        </w:rPr>
      </w:pPr>
      <w:r>
        <w:rPr>
          <w:rFonts w:hint="eastAsia" w:ascii="宋体" w:hAnsi="宋体" w:cs="宋体"/>
          <w:szCs w:val="21"/>
        </w:rPr>
        <w:t>根据中国增值税等税收相关法律法规、税收政策等要求，本理财产品运营过程中发生的增值税应税行为，以理财产品管理人为纳税人。签约各方同意本理财产品在运营过程应缴纳的增值税及附加税费（包括但不限于城市维护建设税、教育费附加及地方教育附加等）由管理人从理财产品财产中支付，应缴纳增值税的原因包括但不限于投资者从理财产品中获取的收益被政府机关认定为应缴纳部分、投资者转让未到期理财产品等，并由管理人根据中国税务机关要求，履行相关纳税申报义务，</w:t>
      </w:r>
      <w:r>
        <w:rPr>
          <w:rFonts w:hint="eastAsia" w:ascii="宋体" w:hAnsi="宋体" w:cs="宋体"/>
          <w:b/>
          <w:bCs/>
          <w:szCs w:val="21"/>
          <w:u w:val="single"/>
        </w:rPr>
        <w:t>由此可能会使理财产品净值或实际收益降低，请投资者知悉。</w:t>
      </w:r>
      <w:r>
        <w:rPr>
          <w:rFonts w:hint="eastAsia" w:ascii="宋体" w:hAnsi="宋体" w:cs="宋体"/>
          <w:szCs w:val="21"/>
        </w:rPr>
        <w:t>投资者从理财产品取得的收益应缴纳的税款，由投资者自行申报及缴纳。</w:t>
      </w:r>
    </w:p>
    <w:p>
      <w:pPr>
        <w:spacing w:line="336" w:lineRule="auto"/>
        <w:ind w:firstLine="422" w:firstLineChars="200"/>
        <w:rPr>
          <w:rFonts w:ascii="宋体" w:hAnsi="宋体" w:cs="宋体"/>
          <w:b/>
          <w:bCs/>
          <w:szCs w:val="21"/>
        </w:rPr>
      </w:pPr>
      <w:r>
        <w:rPr>
          <w:rFonts w:hint="eastAsia" w:ascii="宋体" w:hAnsi="宋体" w:cs="宋体"/>
          <w:b/>
          <w:bCs/>
          <w:szCs w:val="21"/>
        </w:rPr>
        <w:t>四、理财产品投资者的权利与义务</w:t>
      </w:r>
    </w:p>
    <w:p>
      <w:pPr>
        <w:tabs>
          <w:tab w:val="left" w:pos="709"/>
        </w:tabs>
        <w:spacing w:line="336" w:lineRule="auto"/>
        <w:ind w:firstLine="420"/>
        <w:rPr>
          <w:rFonts w:ascii="宋体" w:hAnsi="宋体" w:cs="宋体"/>
          <w:szCs w:val="21"/>
        </w:rPr>
      </w:pPr>
      <w:r>
        <w:rPr>
          <w:rFonts w:hint="eastAsia" w:ascii="宋体" w:hAnsi="宋体" w:cs="宋体"/>
          <w:szCs w:val="21"/>
        </w:rPr>
        <w:t>（一）理财产品投资者的权利</w:t>
      </w:r>
    </w:p>
    <w:p>
      <w:pPr>
        <w:tabs>
          <w:tab w:val="left" w:pos="709"/>
        </w:tabs>
        <w:spacing w:line="336" w:lineRule="auto"/>
        <w:ind w:firstLine="420"/>
        <w:rPr>
          <w:rFonts w:ascii="宋体" w:hAnsi="宋体" w:cs="宋体"/>
          <w:szCs w:val="21"/>
        </w:rPr>
      </w:pPr>
      <w:r>
        <w:rPr>
          <w:rFonts w:ascii="宋体" w:hAnsi="宋体" w:cs="宋体"/>
          <w:szCs w:val="21"/>
        </w:rPr>
        <w:t>1.按理财产品</w:t>
      </w:r>
      <w:r>
        <w:rPr>
          <w:rFonts w:hint="eastAsia" w:ascii="宋体" w:hAnsi="宋体" w:cs="宋体"/>
          <w:szCs w:val="21"/>
        </w:rPr>
        <w:t>销售文件</w:t>
      </w:r>
      <w:r>
        <w:rPr>
          <w:rFonts w:ascii="宋体" w:hAnsi="宋体" w:cs="宋体"/>
          <w:szCs w:val="21"/>
        </w:rPr>
        <w:t>的约定取得理财收益</w:t>
      </w:r>
      <w:r>
        <w:rPr>
          <w:rFonts w:hint="eastAsia" w:ascii="宋体" w:hAnsi="宋体" w:cs="宋体"/>
          <w:szCs w:val="21"/>
        </w:rPr>
        <w:t>。</w:t>
      </w:r>
    </w:p>
    <w:p>
      <w:pPr>
        <w:tabs>
          <w:tab w:val="left" w:pos="709"/>
        </w:tabs>
        <w:spacing w:line="336" w:lineRule="auto"/>
        <w:ind w:firstLine="420"/>
        <w:rPr>
          <w:rFonts w:ascii="宋体" w:hAnsi="宋体" w:cs="宋体"/>
          <w:szCs w:val="21"/>
        </w:rPr>
      </w:pPr>
      <w:r>
        <w:rPr>
          <w:rFonts w:ascii="宋体" w:hAnsi="宋体" w:cs="宋体"/>
          <w:szCs w:val="21"/>
        </w:rPr>
        <w:t>2.按理财产品</w:t>
      </w:r>
      <w:r>
        <w:rPr>
          <w:rFonts w:hint="eastAsia" w:ascii="宋体" w:hAnsi="宋体" w:cs="宋体"/>
          <w:szCs w:val="21"/>
        </w:rPr>
        <w:t>销售文件</w:t>
      </w:r>
      <w:r>
        <w:rPr>
          <w:rFonts w:ascii="宋体" w:hAnsi="宋体" w:cs="宋体"/>
          <w:szCs w:val="21"/>
        </w:rPr>
        <w:t>的约定查询获得公开披露的理财产品信息资料</w:t>
      </w:r>
      <w:r>
        <w:rPr>
          <w:rFonts w:hint="eastAsia" w:ascii="宋体" w:hAnsi="宋体" w:cs="宋体"/>
          <w:szCs w:val="21"/>
        </w:rPr>
        <w:t>。</w:t>
      </w:r>
    </w:p>
    <w:p>
      <w:pPr>
        <w:tabs>
          <w:tab w:val="left" w:pos="709"/>
        </w:tabs>
        <w:spacing w:line="336" w:lineRule="auto"/>
        <w:ind w:firstLine="420"/>
        <w:rPr>
          <w:rFonts w:ascii="宋体" w:hAnsi="宋体" w:cs="宋体"/>
          <w:szCs w:val="21"/>
        </w:rPr>
      </w:pPr>
      <w:r>
        <w:rPr>
          <w:rFonts w:ascii="宋体" w:hAnsi="宋体" w:cs="宋体"/>
          <w:szCs w:val="21"/>
        </w:rPr>
        <w:t>3.产品终止后对清算后的理财产品资产净值按理财产品持有份额比例参与分配</w:t>
      </w:r>
      <w:r>
        <w:rPr>
          <w:rFonts w:hint="eastAsia" w:ascii="宋体" w:hAnsi="宋体" w:cs="宋体"/>
          <w:szCs w:val="21"/>
        </w:rPr>
        <w:t>。</w:t>
      </w:r>
    </w:p>
    <w:p>
      <w:pPr>
        <w:tabs>
          <w:tab w:val="left" w:pos="709"/>
        </w:tabs>
        <w:spacing w:line="336" w:lineRule="auto"/>
        <w:ind w:firstLine="420"/>
        <w:rPr>
          <w:rFonts w:ascii="宋体" w:hAnsi="宋体" w:cs="宋体"/>
          <w:szCs w:val="21"/>
        </w:rPr>
      </w:pPr>
      <w:r>
        <w:rPr>
          <w:rFonts w:ascii="宋体" w:hAnsi="宋体" w:cs="宋体"/>
          <w:szCs w:val="21"/>
        </w:rPr>
        <w:t>4.法律法规、理财产品</w:t>
      </w:r>
      <w:r>
        <w:rPr>
          <w:rFonts w:hint="eastAsia" w:ascii="宋体" w:hAnsi="宋体" w:cs="宋体"/>
          <w:szCs w:val="21"/>
        </w:rPr>
        <w:t>销售文件</w:t>
      </w:r>
      <w:r>
        <w:rPr>
          <w:rFonts w:ascii="宋体" w:hAnsi="宋体" w:cs="宋体"/>
          <w:szCs w:val="21"/>
        </w:rPr>
        <w:t>规定的其它权利。</w:t>
      </w:r>
    </w:p>
    <w:p>
      <w:pPr>
        <w:tabs>
          <w:tab w:val="left" w:pos="709"/>
        </w:tabs>
        <w:spacing w:line="336" w:lineRule="auto"/>
        <w:ind w:firstLine="420"/>
        <w:rPr>
          <w:rFonts w:ascii="宋体" w:hAnsi="宋体" w:cs="宋体"/>
          <w:szCs w:val="21"/>
        </w:rPr>
      </w:pPr>
      <w:bookmarkStart w:id="23" w:name="_Hlk75174416"/>
      <w:r>
        <w:rPr>
          <w:rFonts w:hint="eastAsia" w:ascii="宋体" w:hAnsi="宋体" w:cs="宋体"/>
          <w:szCs w:val="21"/>
        </w:rPr>
        <w:t>（二）理财产品投资者的义务</w:t>
      </w:r>
    </w:p>
    <w:bookmarkEnd w:id="23"/>
    <w:p>
      <w:pPr>
        <w:tabs>
          <w:tab w:val="left" w:pos="709"/>
        </w:tabs>
        <w:spacing w:line="336" w:lineRule="auto"/>
        <w:ind w:firstLine="420"/>
        <w:rPr>
          <w:rFonts w:ascii="宋体" w:hAnsi="宋体" w:cs="宋体"/>
          <w:szCs w:val="21"/>
        </w:rPr>
      </w:pPr>
      <w:r>
        <w:rPr>
          <w:rFonts w:ascii="宋体" w:hAnsi="宋体" w:cs="宋体"/>
          <w:szCs w:val="21"/>
        </w:rPr>
        <w:t>1.</w:t>
      </w:r>
      <w:r>
        <w:rPr>
          <w:rFonts w:hint="eastAsia" w:ascii="宋体" w:hAnsi="宋体" w:cs="宋体"/>
          <w:szCs w:val="21"/>
        </w:rPr>
        <w:t>需为具有完全民事行为能力的个人或机构，在签署本协议前已经阅读拟投资理财产品的理财产品说明书、风险揭示书、投资者权益须知、理财产品销售（代理销售）协议书等销售文件并清楚知晓其内容，对有关条款不存在任何疑问或异议。</w:t>
      </w:r>
    </w:p>
    <w:p>
      <w:pPr>
        <w:tabs>
          <w:tab w:val="left" w:pos="709"/>
        </w:tabs>
        <w:spacing w:line="336" w:lineRule="auto"/>
        <w:ind w:firstLine="420"/>
        <w:rPr>
          <w:rFonts w:ascii="宋体" w:hAnsi="宋体" w:cs="宋体"/>
          <w:szCs w:val="21"/>
        </w:rPr>
      </w:pPr>
      <w:r>
        <w:rPr>
          <w:rFonts w:ascii="宋体" w:hAnsi="宋体" w:cs="宋体"/>
          <w:szCs w:val="21"/>
        </w:rPr>
        <w:t>2.</w:t>
      </w:r>
      <w:r>
        <w:rPr>
          <w:rFonts w:hint="eastAsia" w:ascii="宋体" w:hAnsi="宋体" w:cs="宋体"/>
          <w:szCs w:val="21"/>
        </w:rPr>
        <w:t>全额缴纳理财产品认购、申购和赎回等事宜涉及的款项及规定的费用。</w:t>
      </w:r>
    </w:p>
    <w:p>
      <w:pPr>
        <w:tabs>
          <w:tab w:val="left" w:pos="709"/>
        </w:tabs>
        <w:spacing w:line="336" w:lineRule="auto"/>
        <w:ind w:firstLine="420"/>
        <w:rPr>
          <w:rFonts w:ascii="宋体" w:hAnsi="宋体" w:cs="宋体"/>
          <w:szCs w:val="21"/>
        </w:rPr>
      </w:pPr>
      <w:r>
        <w:rPr>
          <w:rFonts w:ascii="宋体" w:hAnsi="宋体" w:cs="宋体"/>
          <w:szCs w:val="21"/>
        </w:rPr>
        <w:t>3.</w:t>
      </w:r>
      <w:r>
        <w:rPr>
          <w:rFonts w:hint="eastAsia" w:ascii="宋体" w:hAnsi="宋体" w:cs="宋体"/>
          <w:szCs w:val="21"/>
        </w:rPr>
        <w:t>以合法自有资金购买理财产品，不存在使用贷款、发行债券等筹集的非自有资金投资资产管理产品的情形，投资理财产品使用的资金来源合法合规，并且系为合法之目的投资本理财产品，而非为洗钱等违法犯罪之目的，理财产品投资者应配合光大理财及销售服务机构开展投资者身份识别及反洗钱、反恐怖融资及非居民金融账户涉税信息尽职调查，及时、真实、准确、完整提供身份信息及资金来源等信息。</w:t>
      </w:r>
    </w:p>
    <w:p>
      <w:pPr>
        <w:tabs>
          <w:tab w:val="left" w:pos="709"/>
        </w:tabs>
        <w:spacing w:line="336" w:lineRule="auto"/>
        <w:ind w:firstLine="420"/>
        <w:rPr>
          <w:rFonts w:ascii="宋体" w:hAnsi="宋体" w:cs="宋体"/>
          <w:b/>
          <w:bCs/>
          <w:szCs w:val="21"/>
          <w:u w:val="single"/>
        </w:rPr>
      </w:pPr>
      <w:r>
        <w:rPr>
          <w:rFonts w:ascii="宋体" w:hAnsi="宋体" w:cs="宋体"/>
          <w:szCs w:val="21"/>
        </w:rPr>
        <w:t>4.所提供的所有资料真实、完整、合法、有效，如有变更，投资者应及时到</w:t>
      </w:r>
      <w:r>
        <w:rPr>
          <w:rFonts w:hint="eastAsia" w:ascii="宋体" w:hAnsi="宋体" w:cs="宋体"/>
          <w:szCs w:val="21"/>
        </w:rPr>
        <w:t>销售服务机构办理变更手续。</w:t>
      </w:r>
      <w:r>
        <w:rPr>
          <w:rFonts w:hint="eastAsia" w:ascii="宋体" w:hAnsi="宋体" w:cs="宋体"/>
          <w:b/>
          <w:bCs/>
          <w:szCs w:val="21"/>
          <w:u w:val="single"/>
        </w:rPr>
        <w:t>若投资者未及时办理相关变更手续，由此导致的一切后果由投资者自行承担，光大理财对此不承担任何责任。</w:t>
      </w:r>
    </w:p>
    <w:p>
      <w:pPr>
        <w:tabs>
          <w:tab w:val="left" w:pos="709"/>
        </w:tabs>
        <w:spacing w:line="336" w:lineRule="auto"/>
        <w:ind w:firstLine="420"/>
        <w:rPr>
          <w:rFonts w:ascii="宋体" w:hAnsi="宋体" w:cs="宋体"/>
          <w:szCs w:val="21"/>
        </w:rPr>
      </w:pPr>
      <w:r>
        <w:rPr>
          <w:rFonts w:ascii="宋体" w:hAnsi="宋体" w:cs="宋体"/>
          <w:szCs w:val="21"/>
        </w:rPr>
        <w:t>5.</w:t>
      </w:r>
      <w:r>
        <w:rPr>
          <w:rFonts w:hint="eastAsia" w:ascii="宋体" w:hAnsi="宋体" w:cs="宋体"/>
          <w:szCs w:val="21"/>
        </w:rPr>
        <w:t>不从事任何有损本理财产品及本理财产品其他理财产品销售文件当事人合法权益的活动。</w:t>
      </w:r>
    </w:p>
    <w:p>
      <w:pPr>
        <w:tabs>
          <w:tab w:val="left" w:pos="709"/>
        </w:tabs>
        <w:spacing w:line="336" w:lineRule="auto"/>
        <w:ind w:firstLine="420"/>
        <w:rPr>
          <w:rFonts w:ascii="宋体" w:hAnsi="宋体" w:cs="宋体"/>
          <w:szCs w:val="21"/>
        </w:rPr>
      </w:pPr>
      <w:r>
        <w:rPr>
          <w:rFonts w:ascii="宋体" w:hAnsi="宋体" w:cs="宋体"/>
          <w:szCs w:val="21"/>
        </w:rPr>
        <w:t>6.</w:t>
      </w:r>
      <w:r>
        <w:rPr>
          <w:rFonts w:hint="eastAsia" w:ascii="宋体" w:hAnsi="宋体" w:cs="宋体"/>
          <w:szCs w:val="21"/>
        </w:rPr>
        <w:t>法律法规以及理财产品销售文件所规定的其它义务。</w:t>
      </w:r>
    </w:p>
    <w:p>
      <w:pPr>
        <w:spacing w:line="336" w:lineRule="auto"/>
        <w:ind w:firstLine="422" w:firstLineChars="200"/>
        <w:rPr>
          <w:rFonts w:ascii="宋体" w:hAnsi="宋体" w:cs="宋体"/>
          <w:b/>
          <w:bCs/>
          <w:szCs w:val="21"/>
        </w:rPr>
      </w:pPr>
      <w:r>
        <w:rPr>
          <w:rFonts w:hint="eastAsia" w:ascii="宋体" w:hAnsi="宋体" w:cs="宋体"/>
          <w:b/>
          <w:bCs/>
          <w:szCs w:val="21"/>
        </w:rPr>
        <w:t>五、理财产品管理人的权利与义务</w:t>
      </w:r>
    </w:p>
    <w:p>
      <w:pPr>
        <w:tabs>
          <w:tab w:val="left" w:pos="709"/>
        </w:tabs>
        <w:spacing w:line="336" w:lineRule="auto"/>
        <w:ind w:firstLine="420"/>
        <w:rPr>
          <w:rFonts w:ascii="宋体" w:hAnsi="宋体" w:cs="宋体"/>
          <w:szCs w:val="21"/>
        </w:rPr>
      </w:pPr>
      <w:r>
        <w:rPr>
          <w:rFonts w:hint="eastAsia" w:ascii="宋体" w:hAnsi="宋体" w:cs="宋体"/>
          <w:szCs w:val="21"/>
        </w:rPr>
        <w:t>（一）理财产品管理人的权利</w:t>
      </w:r>
    </w:p>
    <w:p>
      <w:pPr>
        <w:tabs>
          <w:tab w:val="left" w:pos="709"/>
        </w:tabs>
        <w:spacing w:line="336" w:lineRule="auto"/>
        <w:ind w:firstLine="420"/>
        <w:rPr>
          <w:rFonts w:ascii="宋体" w:hAnsi="宋体" w:cs="宋体"/>
          <w:szCs w:val="21"/>
        </w:rPr>
      </w:pPr>
      <w:r>
        <w:rPr>
          <w:rFonts w:ascii="宋体" w:hAnsi="宋体" w:cs="宋体"/>
          <w:szCs w:val="21"/>
        </w:rPr>
        <w:t>1.</w:t>
      </w:r>
      <w:r>
        <w:rPr>
          <w:rFonts w:hint="eastAsia" w:ascii="宋体" w:hAnsi="宋体" w:cs="宋体"/>
          <w:szCs w:val="21"/>
        </w:rPr>
        <w:t>按照法律法规及理财产品销售文件约定，对理财产品资金进行投资运作。</w:t>
      </w:r>
    </w:p>
    <w:p>
      <w:pPr>
        <w:tabs>
          <w:tab w:val="left" w:pos="709"/>
        </w:tabs>
        <w:spacing w:line="336" w:lineRule="auto"/>
        <w:ind w:firstLine="420"/>
        <w:rPr>
          <w:rFonts w:ascii="宋体" w:hAnsi="宋体" w:cs="宋体"/>
          <w:szCs w:val="21"/>
        </w:rPr>
      </w:pPr>
      <w:r>
        <w:rPr>
          <w:rFonts w:ascii="宋体" w:hAnsi="宋体" w:cs="宋体"/>
          <w:szCs w:val="21"/>
        </w:rPr>
        <w:t>2.</w:t>
      </w:r>
      <w:r>
        <w:rPr>
          <w:rFonts w:hint="eastAsia" w:ascii="宋体" w:hAnsi="宋体" w:cs="宋体"/>
          <w:szCs w:val="21"/>
        </w:rPr>
        <w:t>向投资者收取理财产品的相关费用，具体收费项目、条件、标准和方式在《理财产品说明书》中载明。</w:t>
      </w:r>
    </w:p>
    <w:p>
      <w:pPr>
        <w:tabs>
          <w:tab w:val="left" w:pos="709"/>
        </w:tabs>
        <w:spacing w:line="336" w:lineRule="auto"/>
        <w:ind w:firstLine="420"/>
        <w:rPr>
          <w:rFonts w:ascii="宋体" w:hAnsi="宋体" w:cs="宋体"/>
          <w:szCs w:val="21"/>
        </w:rPr>
      </w:pPr>
      <w:r>
        <w:rPr>
          <w:rFonts w:ascii="宋体" w:hAnsi="宋体" w:cs="宋体"/>
          <w:szCs w:val="21"/>
        </w:rPr>
        <w:t>3.</w:t>
      </w:r>
      <w:r>
        <w:rPr>
          <w:rFonts w:hint="eastAsia" w:ascii="宋体" w:hAnsi="宋体" w:cs="宋体"/>
          <w:szCs w:val="21"/>
        </w:rPr>
        <w:t>按照法律法规，代表理财产品对被投资企业行使股东权利，代表理财产品行使因投资于其它证券所产生的权利。</w:t>
      </w:r>
    </w:p>
    <w:p>
      <w:pPr>
        <w:tabs>
          <w:tab w:val="left" w:pos="709"/>
        </w:tabs>
        <w:spacing w:line="336" w:lineRule="auto"/>
        <w:ind w:firstLine="420"/>
        <w:rPr>
          <w:rFonts w:ascii="宋体" w:hAnsi="宋体" w:cs="宋体"/>
          <w:szCs w:val="21"/>
        </w:rPr>
      </w:pPr>
      <w:r>
        <w:rPr>
          <w:rFonts w:ascii="宋体" w:hAnsi="宋体" w:cs="宋体"/>
          <w:szCs w:val="21"/>
        </w:rPr>
        <w:t>4.</w:t>
      </w:r>
      <w:r>
        <w:rPr>
          <w:rFonts w:hint="eastAsia" w:ascii="宋体" w:hAnsi="宋体" w:cs="宋体"/>
          <w:szCs w:val="21"/>
        </w:rPr>
        <w:t>选择、更换律师、审计师、证券经纪商或其他为理财产品提供服务的外部机构并确定有关费率。</w:t>
      </w:r>
    </w:p>
    <w:p>
      <w:pPr>
        <w:tabs>
          <w:tab w:val="left" w:pos="709"/>
        </w:tabs>
        <w:spacing w:line="336" w:lineRule="auto"/>
        <w:ind w:firstLine="420"/>
        <w:rPr>
          <w:rFonts w:ascii="宋体" w:hAnsi="宋体" w:cs="宋体"/>
          <w:szCs w:val="21"/>
        </w:rPr>
      </w:pPr>
      <w:r>
        <w:rPr>
          <w:rFonts w:ascii="宋体" w:hAnsi="宋体" w:cs="宋体"/>
          <w:szCs w:val="21"/>
        </w:rPr>
        <w:t>5.根据法律法规和理财产品</w:t>
      </w:r>
      <w:r>
        <w:rPr>
          <w:rFonts w:hint="eastAsia" w:ascii="宋体" w:hAnsi="宋体" w:cs="宋体"/>
          <w:szCs w:val="21"/>
        </w:rPr>
        <w:t>销售文件</w:t>
      </w:r>
      <w:r>
        <w:rPr>
          <w:rFonts w:ascii="宋体" w:hAnsi="宋体" w:cs="宋体"/>
          <w:szCs w:val="21"/>
        </w:rPr>
        <w:t>的约定，制订、修改并公布有关理财募集、认购、申购、赎回、</w:t>
      </w:r>
      <w:r>
        <w:rPr>
          <w:rFonts w:hint="eastAsia" w:ascii="宋体" w:hAnsi="宋体" w:cs="宋体"/>
          <w:szCs w:val="21"/>
        </w:rPr>
        <w:t>非交易过户、冻结、收益分配等方面的业务规则。</w:t>
      </w:r>
    </w:p>
    <w:p>
      <w:pPr>
        <w:tabs>
          <w:tab w:val="left" w:pos="709"/>
        </w:tabs>
        <w:spacing w:line="336" w:lineRule="auto"/>
        <w:ind w:firstLine="420"/>
        <w:rPr>
          <w:rFonts w:ascii="宋体" w:hAnsi="宋体" w:cs="宋体"/>
          <w:szCs w:val="21"/>
        </w:rPr>
      </w:pPr>
      <w:r>
        <w:rPr>
          <w:rFonts w:ascii="宋体" w:hAnsi="宋体" w:cs="宋体"/>
          <w:szCs w:val="21"/>
        </w:rPr>
        <w:t>6.</w:t>
      </w:r>
      <w:r>
        <w:rPr>
          <w:rFonts w:hint="eastAsia" w:ascii="宋体" w:hAnsi="宋体" w:cs="宋体"/>
          <w:szCs w:val="21"/>
        </w:rPr>
        <w:t>作为理财产品管理人，全权负责理财产品资金的运用和理财产品资产的管理，有权参加与理财产品所投资资产相关的所有会议，并对相关事项进行表决；有权代表理财产品投资者利益，按照法律法规和监管部门相关规定对理财产品投资产生的风险资产进行多种方式的处置，包括但不限于转让、重组、债转股、资产证券化、委外催收、抵债资产收取与处置、破产重整。</w:t>
      </w:r>
    </w:p>
    <w:p>
      <w:pPr>
        <w:tabs>
          <w:tab w:val="left" w:pos="709"/>
        </w:tabs>
        <w:spacing w:line="336" w:lineRule="auto"/>
        <w:ind w:firstLine="420"/>
        <w:rPr>
          <w:rFonts w:ascii="宋体" w:hAnsi="宋体" w:cs="宋体"/>
          <w:szCs w:val="21"/>
        </w:rPr>
      </w:pPr>
      <w:r>
        <w:rPr>
          <w:rFonts w:ascii="宋体" w:hAnsi="宋体" w:cs="宋体"/>
          <w:szCs w:val="21"/>
        </w:rPr>
        <w:t>7.</w:t>
      </w:r>
      <w:r>
        <w:rPr>
          <w:rFonts w:hint="eastAsia" w:ascii="宋体" w:hAnsi="宋体" w:cs="宋体"/>
          <w:szCs w:val="21"/>
        </w:rPr>
        <w:t>以光大理财的名义，代表理财产品投资者利益行使诉讼权利或者实施其他法律行为。</w:t>
      </w:r>
    </w:p>
    <w:p>
      <w:pPr>
        <w:tabs>
          <w:tab w:val="left" w:pos="709"/>
        </w:tabs>
        <w:spacing w:line="336" w:lineRule="auto"/>
        <w:ind w:firstLine="420"/>
        <w:rPr>
          <w:rFonts w:ascii="宋体" w:hAnsi="宋体" w:cs="宋体"/>
          <w:szCs w:val="21"/>
        </w:rPr>
      </w:pPr>
      <w:r>
        <w:rPr>
          <w:rFonts w:ascii="宋体" w:hAnsi="宋体" w:cs="宋体"/>
          <w:szCs w:val="21"/>
        </w:rPr>
        <w:t>8.法律法规、理财产品</w:t>
      </w:r>
      <w:r>
        <w:rPr>
          <w:rFonts w:hint="eastAsia" w:ascii="宋体" w:hAnsi="宋体" w:cs="宋体"/>
          <w:szCs w:val="21"/>
        </w:rPr>
        <w:t>销售文件</w:t>
      </w:r>
      <w:r>
        <w:rPr>
          <w:rFonts w:ascii="宋体" w:hAnsi="宋体" w:cs="宋体"/>
          <w:szCs w:val="21"/>
        </w:rPr>
        <w:t>以及依据理财产品</w:t>
      </w:r>
      <w:r>
        <w:rPr>
          <w:rFonts w:hint="eastAsia" w:ascii="宋体" w:hAnsi="宋体" w:cs="宋体"/>
          <w:szCs w:val="21"/>
        </w:rPr>
        <w:t>销售文件</w:t>
      </w:r>
      <w:r>
        <w:rPr>
          <w:rFonts w:ascii="宋体" w:hAnsi="宋体" w:cs="宋体"/>
          <w:szCs w:val="21"/>
        </w:rPr>
        <w:t>制订的其它法律文件所规定的其它权利。</w:t>
      </w:r>
    </w:p>
    <w:p>
      <w:pPr>
        <w:tabs>
          <w:tab w:val="left" w:pos="709"/>
        </w:tabs>
        <w:spacing w:line="336" w:lineRule="auto"/>
        <w:ind w:firstLine="420"/>
        <w:rPr>
          <w:rFonts w:ascii="宋体" w:hAnsi="宋体" w:cs="宋体"/>
          <w:szCs w:val="21"/>
        </w:rPr>
      </w:pPr>
      <w:r>
        <w:rPr>
          <w:rFonts w:hint="eastAsia" w:ascii="宋体" w:hAnsi="宋体" w:cs="宋体"/>
          <w:szCs w:val="21"/>
        </w:rPr>
        <w:t>（二）理财产品管理人的义务</w:t>
      </w:r>
    </w:p>
    <w:p>
      <w:pPr>
        <w:tabs>
          <w:tab w:val="left" w:pos="709"/>
        </w:tabs>
        <w:spacing w:line="336" w:lineRule="auto"/>
        <w:ind w:firstLine="420"/>
        <w:rPr>
          <w:rFonts w:ascii="宋体" w:hAnsi="宋体" w:cs="宋体"/>
          <w:szCs w:val="21"/>
        </w:rPr>
      </w:pPr>
      <w:r>
        <w:rPr>
          <w:rFonts w:ascii="宋体" w:hAnsi="宋体" w:cs="宋体"/>
          <w:szCs w:val="21"/>
        </w:rPr>
        <w:t>1.</w:t>
      </w:r>
      <w:r>
        <w:rPr>
          <w:rFonts w:hint="eastAsia" w:ascii="宋体" w:hAnsi="宋体" w:cs="宋体"/>
          <w:szCs w:val="21"/>
        </w:rPr>
        <w:t>遵守法律法规和理财产品销售文件的约定。</w:t>
      </w:r>
    </w:p>
    <w:p>
      <w:pPr>
        <w:tabs>
          <w:tab w:val="left" w:pos="709"/>
        </w:tabs>
        <w:spacing w:line="336" w:lineRule="auto"/>
        <w:ind w:firstLine="420"/>
        <w:rPr>
          <w:rFonts w:ascii="宋体" w:hAnsi="宋体" w:cs="宋体"/>
          <w:szCs w:val="21"/>
        </w:rPr>
      </w:pPr>
      <w:r>
        <w:rPr>
          <w:rFonts w:ascii="宋体" w:hAnsi="宋体" w:cs="宋体"/>
          <w:szCs w:val="21"/>
        </w:rPr>
        <w:t>2.</w:t>
      </w:r>
      <w:r>
        <w:rPr>
          <w:rFonts w:hint="eastAsia" w:ascii="宋体" w:hAnsi="宋体" w:cs="宋体"/>
          <w:szCs w:val="21"/>
        </w:rPr>
        <w:t>按照理财产品销售文件的约定披露产品相关信息。</w:t>
      </w:r>
    </w:p>
    <w:p>
      <w:pPr>
        <w:tabs>
          <w:tab w:val="left" w:pos="709"/>
        </w:tabs>
        <w:spacing w:line="336" w:lineRule="auto"/>
        <w:ind w:firstLine="420"/>
        <w:rPr>
          <w:rFonts w:ascii="宋体" w:hAnsi="宋体" w:cs="宋体"/>
          <w:szCs w:val="21"/>
        </w:rPr>
      </w:pPr>
      <w:bookmarkStart w:id="24" w:name="_Hlk75180854"/>
      <w:r>
        <w:rPr>
          <w:rFonts w:ascii="宋体" w:hAnsi="宋体" w:cs="宋体"/>
          <w:szCs w:val="21"/>
        </w:rPr>
        <w:t>3.</w:t>
      </w:r>
      <w:r>
        <w:rPr>
          <w:rFonts w:hint="eastAsia" w:ascii="宋体" w:hAnsi="宋体" w:cs="宋体"/>
          <w:szCs w:val="21"/>
        </w:rPr>
        <w:t>运用受托资金进行投资，应当遵守审慎经营规则，制定科学合理的投资策略和风险管理制度，有效防范和控制风险。</w:t>
      </w:r>
      <w:bookmarkEnd w:id="24"/>
    </w:p>
    <w:p>
      <w:pPr>
        <w:tabs>
          <w:tab w:val="left" w:pos="709"/>
        </w:tabs>
        <w:spacing w:line="336" w:lineRule="auto"/>
        <w:ind w:firstLine="420"/>
        <w:rPr>
          <w:rFonts w:ascii="宋体" w:hAnsi="宋体" w:cs="宋体"/>
          <w:szCs w:val="21"/>
        </w:rPr>
      </w:pPr>
      <w:r>
        <w:rPr>
          <w:rFonts w:ascii="宋体" w:hAnsi="宋体" w:cs="宋体"/>
          <w:szCs w:val="21"/>
        </w:rPr>
        <w:t>4.依照法律、行政法规、规章规定和理财产品</w:t>
      </w:r>
      <w:r>
        <w:rPr>
          <w:rFonts w:hint="eastAsia" w:ascii="宋体" w:hAnsi="宋体" w:cs="宋体"/>
          <w:szCs w:val="21"/>
        </w:rPr>
        <w:t>销售文件</w:t>
      </w:r>
      <w:r>
        <w:rPr>
          <w:rFonts w:ascii="宋体" w:hAnsi="宋体" w:cs="宋体"/>
          <w:szCs w:val="21"/>
        </w:rPr>
        <w:t>约定，办理理财产品的认（申）购、赎回及暂停或者开放认（申）购、赎回等业务。</w:t>
      </w:r>
    </w:p>
    <w:p>
      <w:pPr>
        <w:tabs>
          <w:tab w:val="left" w:pos="709"/>
        </w:tabs>
        <w:spacing w:line="336" w:lineRule="auto"/>
        <w:ind w:firstLine="420"/>
        <w:rPr>
          <w:rFonts w:ascii="宋体" w:hAnsi="宋体" w:cs="宋体"/>
          <w:szCs w:val="21"/>
        </w:rPr>
      </w:pPr>
      <w:r>
        <w:rPr>
          <w:rFonts w:ascii="宋体" w:hAnsi="宋体" w:cs="宋体"/>
          <w:szCs w:val="21"/>
        </w:rPr>
        <w:t>5.依据理财产品</w:t>
      </w:r>
      <w:r>
        <w:rPr>
          <w:rFonts w:hint="eastAsia" w:ascii="宋体" w:hAnsi="宋体" w:cs="宋体"/>
          <w:szCs w:val="21"/>
        </w:rPr>
        <w:t>销售文件</w:t>
      </w:r>
      <w:r>
        <w:rPr>
          <w:rFonts w:ascii="宋体" w:hAnsi="宋体" w:cs="宋体"/>
          <w:szCs w:val="21"/>
        </w:rPr>
        <w:t>规定制订理财收益分配方案并向本理财产品的理财份额持有人分配</w:t>
      </w:r>
      <w:r>
        <w:rPr>
          <w:rFonts w:hint="eastAsia" w:ascii="宋体" w:hAnsi="宋体" w:cs="宋体"/>
          <w:szCs w:val="21"/>
        </w:rPr>
        <w:t>理财收益。</w:t>
      </w:r>
    </w:p>
    <w:p>
      <w:pPr>
        <w:spacing w:line="336" w:lineRule="auto"/>
        <w:ind w:firstLine="422" w:firstLineChars="200"/>
        <w:rPr>
          <w:rFonts w:ascii="宋体" w:hAnsi="宋体" w:cs="宋体"/>
          <w:b/>
          <w:bCs/>
          <w:szCs w:val="21"/>
        </w:rPr>
      </w:pPr>
      <w:r>
        <w:rPr>
          <w:rFonts w:hint="eastAsia" w:ascii="宋体" w:hAnsi="宋体" w:cs="宋体"/>
          <w:b/>
          <w:bCs/>
          <w:szCs w:val="21"/>
        </w:rPr>
        <w:t>六、免责</w:t>
      </w:r>
    </w:p>
    <w:p>
      <w:pPr>
        <w:tabs>
          <w:tab w:val="left" w:pos="720"/>
        </w:tabs>
        <w:spacing w:line="336" w:lineRule="auto"/>
        <w:ind w:firstLine="421"/>
        <w:rPr>
          <w:rFonts w:ascii="宋体" w:hAnsi="宋体" w:cs="宋体"/>
          <w:b/>
          <w:szCs w:val="21"/>
          <w:u w:val="single"/>
        </w:rPr>
      </w:pPr>
      <w:r>
        <w:rPr>
          <w:rFonts w:hint="eastAsia" w:ascii="宋体" w:hAnsi="宋体" w:cs="宋体"/>
          <w:b/>
          <w:szCs w:val="21"/>
          <w:u w:val="single"/>
        </w:rPr>
        <w:t>1.由于地震、火灾、战争、疫情、严重传染病等不可抗力导致的交易中断、延误等风险及损失，光大理财不承担责任，但应在条件允许的情况下通知投资者，并采取一切必要的补救措施以减小不可抗力造成的损失。</w:t>
      </w:r>
    </w:p>
    <w:p>
      <w:pPr>
        <w:tabs>
          <w:tab w:val="left" w:pos="720"/>
        </w:tabs>
        <w:spacing w:line="336" w:lineRule="auto"/>
        <w:ind w:firstLine="421"/>
        <w:rPr>
          <w:rFonts w:ascii="宋体" w:hAnsi="宋体" w:cs="宋体"/>
          <w:b/>
          <w:szCs w:val="21"/>
          <w:u w:val="single"/>
        </w:rPr>
      </w:pPr>
      <w:r>
        <w:rPr>
          <w:rFonts w:hint="eastAsia" w:ascii="宋体" w:hAnsi="宋体" w:cs="宋体"/>
          <w:b/>
          <w:szCs w:val="21"/>
          <w:u w:val="single"/>
        </w:rPr>
        <w:t>2.由于国家的有关法律、法规、规章、政策的改变、紧急措施的出台而导致的风险，光大理财不承担责任。</w:t>
      </w:r>
    </w:p>
    <w:p>
      <w:pPr>
        <w:tabs>
          <w:tab w:val="left" w:pos="720"/>
        </w:tabs>
        <w:spacing w:line="336" w:lineRule="auto"/>
        <w:ind w:firstLine="421"/>
        <w:rPr>
          <w:rFonts w:ascii="宋体" w:hAnsi="宋体" w:cs="宋体"/>
          <w:b/>
          <w:szCs w:val="21"/>
          <w:u w:val="single"/>
        </w:rPr>
      </w:pPr>
      <w:r>
        <w:rPr>
          <w:rFonts w:hint="eastAsia" w:ascii="宋体" w:hAnsi="宋体" w:cs="宋体"/>
          <w:b/>
          <w:szCs w:val="21"/>
          <w:u w:val="single"/>
        </w:rPr>
        <w:t>3.如由于投资者原因，理财产品销售文件约定的资金账户和理财本金及收益被有权机关要求冻结、扣划，则光大理财有权根据实际情况全额终止理财交易，并停止向投资者支付投资本金及收益。由于提前终止交易而产生的一切损失及费用将由投资者承担，光大理财有权将此损失及费用从投资者的资金账户或理财本金以及收益中扣除。</w:t>
      </w:r>
    </w:p>
    <w:p>
      <w:pPr>
        <w:tabs>
          <w:tab w:val="left" w:pos="720"/>
        </w:tabs>
        <w:spacing w:line="336" w:lineRule="auto"/>
        <w:ind w:firstLine="421"/>
        <w:rPr>
          <w:rFonts w:ascii="宋体" w:hAnsi="宋体" w:cs="宋体"/>
          <w:b/>
          <w:szCs w:val="21"/>
          <w:u w:val="single"/>
        </w:rPr>
      </w:pPr>
      <w:r>
        <w:rPr>
          <w:rFonts w:hint="eastAsia" w:ascii="宋体" w:hAnsi="宋体" w:cs="宋体"/>
          <w:b/>
          <w:szCs w:val="21"/>
          <w:u w:val="single"/>
        </w:rPr>
        <w:t>4.光大理财依照恪尽职守、诚实信用、谨慎勤勉的原则管理和运用理财产品财产，但不保证理财产品财产中的认（申）购资金本金不受损失，也不保证一定盈利及最低收益。本理财产品运作过程中，光大理财依据理财产品销售文件的约定管理和运用理财产品财产所产生的风险，由理财产品财产及投资者承担。投资者应充分知晓投资运营的相关风险，其风险应由投资者自担。</w:t>
      </w:r>
    </w:p>
    <w:p>
      <w:pPr>
        <w:tabs>
          <w:tab w:val="left" w:pos="720"/>
        </w:tabs>
        <w:spacing w:line="336" w:lineRule="auto"/>
        <w:ind w:firstLine="421"/>
        <w:rPr>
          <w:rFonts w:ascii="宋体" w:hAnsi="宋体" w:cs="宋体"/>
          <w:b/>
          <w:szCs w:val="21"/>
          <w:u w:val="single"/>
        </w:rPr>
      </w:pPr>
      <w:r>
        <w:rPr>
          <w:rFonts w:hint="eastAsia" w:ascii="宋体" w:hAnsi="宋体" w:cs="宋体"/>
          <w:b/>
          <w:szCs w:val="21"/>
          <w:u w:val="single"/>
        </w:rPr>
        <w:t>5.非因光大理财原因（包括但不限于理财产品投资者遗失理财产品销售文件、理财产品销售文件被盗用等原因）造成的损失，光大理财不承担责任。</w:t>
      </w:r>
    </w:p>
    <w:p>
      <w:pPr>
        <w:spacing w:line="336" w:lineRule="auto"/>
        <w:ind w:firstLine="422" w:firstLineChars="200"/>
        <w:rPr>
          <w:rFonts w:ascii="宋体" w:hAnsi="宋体" w:cs="宋体"/>
          <w:b/>
          <w:bCs/>
          <w:szCs w:val="21"/>
        </w:rPr>
      </w:pPr>
      <w:r>
        <w:rPr>
          <w:rFonts w:hint="eastAsia" w:ascii="宋体" w:hAnsi="宋体" w:cs="宋体"/>
          <w:b/>
          <w:bCs/>
          <w:szCs w:val="21"/>
        </w:rPr>
        <w:t>七、投诉处理</w:t>
      </w:r>
    </w:p>
    <w:p>
      <w:pPr>
        <w:tabs>
          <w:tab w:val="left" w:pos="720"/>
        </w:tabs>
        <w:spacing w:line="336" w:lineRule="auto"/>
        <w:ind w:firstLine="420"/>
        <w:rPr>
          <w:rFonts w:ascii="宋体" w:hAnsi="宋体" w:cs="宋体"/>
          <w:szCs w:val="21"/>
        </w:rPr>
      </w:pPr>
      <w:r>
        <w:rPr>
          <w:rFonts w:hint="eastAsia" w:ascii="宋体" w:hAnsi="宋体" w:cs="宋体"/>
          <w:szCs w:val="21"/>
        </w:rPr>
        <w:t>投资者可通过销售服务机构的营业网点、客服电话、网络在线客服等（具体方式以投资者与销售服务机构签订的销售服务协议为准），以及光大理财官方网站、客服电话等渠道反映问题。</w:t>
      </w:r>
    </w:p>
    <w:p>
      <w:pPr>
        <w:spacing w:line="336" w:lineRule="auto"/>
        <w:ind w:firstLine="422" w:firstLineChars="200"/>
        <w:rPr>
          <w:rFonts w:ascii="宋体" w:hAnsi="宋体" w:cs="宋体"/>
          <w:b/>
          <w:bCs/>
          <w:szCs w:val="21"/>
        </w:rPr>
      </w:pPr>
      <w:r>
        <w:rPr>
          <w:rFonts w:hint="eastAsia" w:ascii="宋体" w:hAnsi="宋体" w:cs="宋体"/>
          <w:b/>
          <w:bCs/>
          <w:szCs w:val="21"/>
        </w:rPr>
        <w:t>八、协议的生效及终止</w:t>
      </w:r>
    </w:p>
    <w:p>
      <w:pPr>
        <w:tabs>
          <w:tab w:val="left" w:pos="720"/>
        </w:tabs>
        <w:spacing w:line="336" w:lineRule="auto"/>
        <w:ind w:firstLine="420"/>
        <w:rPr>
          <w:rFonts w:ascii="宋体" w:hAnsi="宋体" w:cs="宋体"/>
          <w:szCs w:val="21"/>
        </w:rPr>
      </w:pPr>
      <w:r>
        <w:rPr>
          <w:rFonts w:hint="eastAsia" w:ascii="宋体" w:hAnsi="宋体" w:cs="宋体"/>
          <w:szCs w:val="21"/>
        </w:rPr>
        <w:t>1.本协议自投资者成功缴纳全额购买资金并经光大理财系统确认购买份额后成立并生效。</w:t>
      </w:r>
    </w:p>
    <w:p>
      <w:pPr>
        <w:tabs>
          <w:tab w:val="left" w:pos="720"/>
        </w:tabs>
        <w:spacing w:line="336" w:lineRule="auto"/>
        <w:ind w:firstLine="420"/>
        <w:rPr>
          <w:rFonts w:ascii="宋体" w:hAnsi="宋体" w:cs="宋体"/>
          <w:szCs w:val="21"/>
        </w:rPr>
      </w:pPr>
      <w:r>
        <w:rPr>
          <w:rFonts w:hint="eastAsia" w:ascii="宋体" w:hAnsi="宋体" w:cs="宋体"/>
          <w:szCs w:val="21"/>
        </w:rPr>
        <w:t>2.除与投资者进行特别约定外，本</w:t>
      </w:r>
      <w:r>
        <w:rPr>
          <w:rFonts w:ascii="宋体" w:hAnsi="宋体" w:cs="宋体"/>
          <w:szCs w:val="21"/>
        </w:rPr>
        <w:t>理财产品</w:t>
      </w:r>
      <w:r>
        <w:rPr>
          <w:rFonts w:hint="eastAsia" w:ascii="宋体" w:hAnsi="宋体" w:cs="宋体"/>
          <w:szCs w:val="21"/>
        </w:rPr>
        <w:t>销售文件</w:t>
      </w:r>
      <w:r>
        <w:rPr>
          <w:rFonts w:ascii="宋体" w:hAnsi="宋体" w:cs="宋体"/>
          <w:szCs w:val="21"/>
        </w:rPr>
        <w:t>的生效或终止以光大理财发出的确认信息为准，光大理财将委托销售服务机构代为展示。</w:t>
      </w:r>
      <w:r>
        <w:rPr>
          <w:rFonts w:hint="eastAsia" w:ascii="宋体" w:hAnsi="宋体" w:cs="宋体"/>
          <w:szCs w:val="21"/>
        </w:rPr>
        <w:t>投资者在办理理财产品的购买、赎回等交易后，需通过销售服务机构营业网点或网上销售平台查询。</w:t>
      </w:r>
    </w:p>
    <w:p>
      <w:pPr>
        <w:tabs>
          <w:tab w:val="left" w:pos="720"/>
        </w:tabs>
        <w:spacing w:line="336" w:lineRule="auto"/>
        <w:ind w:firstLine="420"/>
        <w:rPr>
          <w:rStyle w:val="13"/>
          <w:rFonts w:ascii="宋体" w:hAnsi="宋体" w:cs="宋体"/>
        </w:rPr>
      </w:pPr>
      <w:r>
        <w:rPr>
          <w:rFonts w:hint="eastAsia" w:ascii="宋体" w:hAnsi="宋体" w:cs="宋体"/>
          <w:szCs w:val="21"/>
        </w:rPr>
        <w:t>3.如投资者购买理财产品后，又变更该笔理财协议的具体内容（包括但不限于交易变更、金额变更、资金账户变更、投资者信息变更等），则以双方最近一次交易达成的交易内容为准。</w:t>
      </w:r>
    </w:p>
    <w:p>
      <w:pPr>
        <w:spacing w:line="336" w:lineRule="auto"/>
        <w:ind w:firstLine="422" w:firstLineChars="200"/>
        <w:rPr>
          <w:rFonts w:ascii="宋体" w:hAnsi="宋体" w:cs="宋体"/>
          <w:b/>
          <w:bCs/>
          <w:szCs w:val="21"/>
        </w:rPr>
      </w:pPr>
      <w:r>
        <w:rPr>
          <w:rFonts w:hint="eastAsia" w:ascii="宋体" w:hAnsi="宋体" w:cs="宋体"/>
          <w:b/>
          <w:bCs/>
          <w:szCs w:val="21"/>
        </w:rPr>
        <w:t>九、信息保密</w:t>
      </w:r>
    </w:p>
    <w:p>
      <w:pPr>
        <w:tabs>
          <w:tab w:val="left" w:pos="720"/>
        </w:tabs>
        <w:spacing w:line="336" w:lineRule="auto"/>
        <w:ind w:firstLine="420"/>
        <w:rPr>
          <w:rFonts w:ascii="宋体" w:hAnsi="宋体" w:cs="宋体"/>
          <w:szCs w:val="21"/>
        </w:rPr>
      </w:pPr>
      <w:r>
        <w:rPr>
          <w:rFonts w:hint="eastAsia" w:ascii="宋体" w:hAnsi="宋体" w:cs="宋体"/>
          <w:szCs w:val="21"/>
        </w:rPr>
        <w:t>光大理财将据相关法律、法规严格履行投资者信息保密责任，除监管机构或司法机关等有权机构外，不得对其他第三方提供任何投资者信息。</w:t>
      </w:r>
    </w:p>
    <w:p>
      <w:pPr>
        <w:spacing w:line="336" w:lineRule="auto"/>
        <w:ind w:firstLine="422" w:firstLineChars="200"/>
        <w:rPr>
          <w:rFonts w:ascii="宋体" w:hAnsi="宋体" w:cs="宋体"/>
          <w:bCs/>
          <w:szCs w:val="21"/>
        </w:rPr>
      </w:pPr>
      <w:r>
        <w:rPr>
          <w:rFonts w:hint="eastAsia" w:ascii="宋体" w:hAnsi="宋体" w:cs="宋体"/>
          <w:b/>
          <w:bCs/>
          <w:szCs w:val="21"/>
        </w:rPr>
        <w:t>十、除与投资者进行特别约定外，本理财产品销售文件</w:t>
      </w:r>
      <w:r>
        <w:rPr>
          <w:rFonts w:hint="eastAsia" w:ascii="宋体" w:hAnsi="宋体" w:cs="宋体"/>
          <w:b/>
          <w:szCs w:val="21"/>
        </w:rPr>
        <w:t>的订立、生效、履行、解释、修改和终止等事项均适用中华人民共和国（为各项理财产品销售文件之目的，不包括香港特别行政区、澳门特别行政区和台湾地区）法律。因理财产品销售文件引起的或与理财产品销售文件有关的任何争议，应当首先通过双方之间的友好协商解决；协商不成的，双方均有权提交理财产品管理人所在地有管辖权的人民法院诉讼解决。</w:t>
      </w:r>
    </w:p>
    <w:p>
      <w:pPr>
        <w:spacing w:line="336" w:lineRule="auto"/>
        <w:ind w:firstLine="422" w:firstLineChars="200"/>
        <w:rPr>
          <w:rFonts w:ascii="宋体" w:hAnsi="宋体" w:cs="宋体"/>
          <w:b/>
          <w:bCs/>
          <w:szCs w:val="21"/>
        </w:rPr>
      </w:pPr>
      <w:r>
        <w:rPr>
          <w:rFonts w:hint="eastAsia" w:ascii="宋体" w:hAnsi="宋体" w:cs="宋体"/>
          <w:b/>
          <w:bCs/>
          <w:szCs w:val="21"/>
        </w:rPr>
        <w:t>十一、本协议一式二份，投资者和光大理财分别保留一份，每份具有同等的法律效力。</w:t>
      </w:r>
    </w:p>
    <w:p>
      <w:pPr>
        <w:spacing w:line="336" w:lineRule="auto"/>
        <w:ind w:firstLine="422" w:firstLineChars="200"/>
        <w:rPr>
          <w:rFonts w:ascii="宋体" w:hAnsi="宋体" w:cs="宋体"/>
          <w:b/>
          <w:bCs/>
          <w:szCs w:val="21"/>
        </w:rPr>
      </w:pPr>
      <w:r>
        <w:rPr>
          <w:rFonts w:hint="eastAsia" w:ascii="宋体" w:hAnsi="宋体" w:cs="宋体"/>
          <w:b/>
          <w:bCs/>
          <w:szCs w:val="21"/>
        </w:rPr>
        <w:t>十二、本协议未尽事宜，以理财产品说明书、风险揭示书、投资者权益须知、理财产品销售（代理销售）协议书等销售文件的内容为准。</w:t>
      </w:r>
    </w:p>
    <w:p>
      <w:pPr>
        <w:spacing w:line="360" w:lineRule="auto"/>
        <w:jc w:val="left"/>
        <w:rPr>
          <w:rFonts w:ascii="宋体" w:hAnsi="宋体" w:cs="宋体"/>
          <w:b/>
          <w:bCs/>
          <w:color w:val="000000"/>
          <w:szCs w:val="21"/>
        </w:rPr>
      </w:pPr>
    </w:p>
    <w:p>
      <w:pPr>
        <w:spacing w:line="400" w:lineRule="exact"/>
        <w:ind w:firstLine="1054" w:firstLineChars="500"/>
        <w:rPr>
          <w:rFonts w:ascii="宋体" w:hAnsi="宋体" w:cs="仿宋"/>
          <w:b/>
          <w:bCs/>
          <w:color w:val="000000"/>
          <w:szCs w:val="21"/>
        </w:rPr>
      </w:pPr>
    </w:p>
    <w:sectPr>
      <w:headerReference r:id="rId3" w:type="default"/>
      <w:footerReference r:id="rId4" w:type="default"/>
      <w:pgSz w:w="11906" w:h="16838"/>
      <w:pgMar w:top="1440" w:right="1558"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_GB2312">
    <w:panose1 w:val="02010609030101010101"/>
    <w:charset w:val="86"/>
    <w:family w:val="roma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宋体 (标题)">
    <w:altName w:val="宋体"/>
    <w:panose1 w:val="00000000000000000000"/>
    <w:charset w:val="00"/>
    <w:family w:val="auto"/>
    <w:pitch w:val="default"/>
    <w:sig w:usb0="00000000" w:usb1="00000000" w:usb2="00000000" w:usb3="00000000" w:csb0="00040001" w:csb1="00000000"/>
  </w:font>
  <w:font w:name="Cambria Math">
    <w:panose1 w:val="02040503050406030204"/>
    <w:charset w:val="00"/>
    <w:family w:val="auto"/>
    <w:pitch w:val="default"/>
    <w:sig w:usb0="E00006FF" w:usb1="420024FF" w:usb2="02000000" w:usb3="00000000" w:csb0="2000019F" w:csb1="00000000"/>
  </w:font>
  <w:font w:name="仿宋r萀">
    <w:altName w:val="仿宋"/>
    <w:panose1 w:val="00000000000000000000"/>
    <w:charset w:val="86"/>
    <w:family w:val="roma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36</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39</w:t>
    </w:r>
    <w:r>
      <w:rPr>
        <w:b/>
        <w:sz w:val="24"/>
        <w:szCs w:val="24"/>
      </w:rPr>
      <w:fldChar w:fldCharType="end"/>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lear" w:pos="4153"/>
      </w:tabs>
      <w:rPr>
        <w:rFonts w:ascii="宋体" w:hAnsi="宋体" w:cs="宋体"/>
        <w:b/>
        <w:bCs/>
        <w:sz w:val="30"/>
        <w:szCs w:val="30"/>
      </w:rPr>
    </w:pPr>
    <w:r>
      <w:rPr>
        <w:rFonts w:hint="eastAsia" w:ascii="黑体" w:hAnsi="黑体" w:eastAsia="黑体" w:cs="黑体"/>
        <w:b/>
        <w:bCs/>
        <w:sz w:val="30"/>
        <w:szCs w:val="30"/>
      </w:rPr>
      <w:t>光大理财</w:t>
    </w:r>
    <w:r>
      <w:rPr>
        <w:rFonts w:ascii="黑体" w:hAnsi="黑体" w:eastAsia="黑体" w:cs="黑体"/>
        <w:b/>
        <w:bCs/>
        <w:sz w:val="30"/>
        <w:szCs w:val="30"/>
      </w:rPr>
      <w:tab/>
    </w:r>
    <w:r>
      <w:rPr>
        <w:rFonts w:hint="eastAsia" w:ascii="黑体" w:hAnsi="黑体" w:eastAsia="黑体" w:cs="黑体"/>
        <w:b/>
        <w:bCs/>
        <w:sz w:val="30"/>
        <w:szCs w:val="30"/>
      </w:rPr>
      <w:t>理财非存款、产品有风险、投资须谨慎</w:t>
    </w:r>
  </w:p>
  <w:p>
    <w:pPr>
      <w:pStyle w:val="8"/>
    </w:pP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C09B7"/>
    <w:multiLevelType w:val="multilevel"/>
    <w:tmpl w:val="0A6C09B7"/>
    <w:lvl w:ilvl="0" w:tentative="0">
      <w:start w:val="1"/>
      <w:numFmt w:val="decimal"/>
      <w:lvlText w:val="%1"/>
      <w:lvlJc w:val="left"/>
      <w:pPr>
        <w:tabs>
          <w:tab w:val="left" w:pos="567"/>
        </w:tabs>
        <w:ind w:left="567" w:firstLine="0"/>
      </w:pPr>
      <w:rPr>
        <w:rFonts w:hint="eastAsia"/>
      </w:rPr>
    </w:lvl>
    <w:lvl w:ilvl="1" w:tentative="0">
      <w:start w:val="1"/>
      <w:numFmt w:val="decimal"/>
      <w:pStyle w:val="3"/>
      <w:lvlText w:val="%1.%2"/>
      <w:lvlJc w:val="left"/>
      <w:pPr>
        <w:tabs>
          <w:tab w:val="left" w:pos="540"/>
        </w:tabs>
        <w:ind w:left="540" w:firstLine="0"/>
      </w:pPr>
      <w:rPr>
        <w:rFonts w:hint="default" w:ascii="Times New Roman" w:hAnsi="Times New Roman" w:cs="Times New Roman"/>
        <w:sz w:val="32"/>
        <w:szCs w:val="32"/>
      </w:rPr>
    </w:lvl>
    <w:lvl w:ilvl="2" w:tentative="0">
      <w:start w:val="1"/>
      <w:numFmt w:val="decimal"/>
      <w:lvlText w:val="%1.%2.%3"/>
      <w:lvlJc w:val="left"/>
      <w:pPr>
        <w:tabs>
          <w:tab w:val="left" w:pos="567"/>
        </w:tabs>
        <w:ind w:left="567" w:firstLine="0"/>
      </w:pPr>
      <w:rPr>
        <w:rFonts w:hint="default" w:ascii="Times New Roman" w:hAnsi="Times New Roman" w:eastAsia="宋体" w:cs="Times New Roman"/>
        <w:sz w:val="32"/>
        <w:szCs w:val="32"/>
      </w:rPr>
    </w:lvl>
    <w:lvl w:ilvl="3" w:tentative="0">
      <w:start w:val="1"/>
      <w:numFmt w:val="decimal"/>
      <w:lvlText w:val="%1.%2.%3.%4"/>
      <w:lvlJc w:val="left"/>
      <w:pPr>
        <w:tabs>
          <w:tab w:val="left" w:pos="567"/>
        </w:tabs>
        <w:ind w:left="567" w:firstLine="0"/>
      </w:pPr>
      <w:rPr>
        <w:rFonts w:hint="default" w:ascii="Times New Roman" w:hAnsi="Times New Roman" w:eastAsia="宋体" w:cs="Times New Roman"/>
        <w:b/>
        <w:bCs/>
        <w:i w:val="0"/>
        <w:iCs w:val="0"/>
        <w:caps w:val="0"/>
        <w:smallCaps w:val="0"/>
        <w:strike w:val="0"/>
        <w:dstrike w:val="0"/>
        <w:color w:val="000000"/>
        <w:spacing w:val="0"/>
        <w:w w:val="100"/>
        <w:kern w:val="2"/>
        <w:position w:val="0"/>
        <w:sz w:val="28"/>
        <w:szCs w:val="28"/>
        <w:u w:val="none"/>
        <w:shd w:val="clear" w:color="auto" w:fill="auto"/>
      </w:rPr>
    </w:lvl>
    <w:lvl w:ilvl="4" w:tentative="0">
      <w:start w:val="1"/>
      <w:numFmt w:val="decimal"/>
      <w:lvlText w:val="%1.%2.%3.%4.%5"/>
      <w:lvlJc w:val="left"/>
      <w:pPr>
        <w:tabs>
          <w:tab w:val="left" w:pos="1908"/>
        </w:tabs>
        <w:ind w:left="1908" w:hanging="1008"/>
      </w:pPr>
      <w:rPr>
        <w:rFonts w:hint="eastAsia"/>
      </w:rPr>
    </w:lvl>
    <w:lvl w:ilvl="5" w:tentative="0">
      <w:start w:val="1"/>
      <w:numFmt w:val="decimal"/>
      <w:lvlText w:val="%1.%2.%3.%4.%5.%6"/>
      <w:lvlJc w:val="left"/>
      <w:pPr>
        <w:tabs>
          <w:tab w:val="left" w:pos="2052"/>
        </w:tabs>
        <w:ind w:left="2052" w:hanging="1152"/>
      </w:pPr>
      <w:rPr>
        <w:rFonts w:hint="eastAsia"/>
      </w:rPr>
    </w:lvl>
    <w:lvl w:ilvl="6" w:tentative="0">
      <w:start w:val="1"/>
      <w:numFmt w:val="decimal"/>
      <w:lvlText w:val="%1.%2.%3.%4.%5.%6.%7"/>
      <w:lvlJc w:val="left"/>
      <w:pPr>
        <w:tabs>
          <w:tab w:val="left" w:pos="2196"/>
        </w:tabs>
        <w:ind w:left="2196" w:hanging="1296"/>
      </w:pPr>
      <w:rPr>
        <w:rFonts w:hint="eastAsia"/>
      </w:rPr>
    </w:lvl>
    <w:lvl w:ilvl="7" w:tentative="0">
      <w:start w:val="1"/>
      <w:numFmt w:val="decimal"/>
      <w:lvlText w:val="%1.%2.%3.%4.%5.%6.%7.%8"/>
      <w:lvlJc w:val="left"/>
      <w:pPr>
        <w:tabs>
          <w:tab w:val="left" w:pos="2340"/>
        </w:tabs>
        <w:ind w:left="2340" w:hanging="1440"/>
      </w:pPr>
      <w:rPr>
        <w:rFonts w:hint="eastAsia"/>
      </w:rPr>
    </w:lvl>
    <w:lvl w:ilvl="8" w:tentative="0">
      <w:start w:val="1"/>
      <w:numFmt w:val="decimal"/>
      <w:lvlText w:val="%1.%2.%3.%4.%5.%6.%7.%8.%9"/>
      <w:lvlJc w:val="left"/>
      <w:pPr>
        <w:tabs>
          <w:tab w:val="left" w:pos="2484"/>
        </w:tabs>
        <w:ind w:left="2484" w:hanging="1584"/>
      </w:pPr>
      <w:rPr>
        <w:rFonts w:hint="eastAsia"/>
      </w:rPr>
    </w:lvl>
  </w:abstractNum>
  <w:abstractNum w:abstractNumId="1">
    <w:nsid w:val="21BB4138"/>
    <w:multiLevelType w:val="multilevel"/>
    <w:tmpl w:val="21BB413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val="1"/>
  <w:documentProtection w:enforcement="0"/>
  <w:defaultTabStop w:val="420"/>
  <w:noPunctuationKerning w:val="1"/>
  <w:characterSpacingControl w:val="doNotCompress"/>
  <w:compat>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CE9"/>
    <w:rsid w:val="00002FF2"/>
    <w:rsid w:val="00004A5F"/>
    <w:rsid w:val="00005153"/>
    <w:rsid w:val="000135D0"/>
    <w:rsid w:val="000141B0"/>
    <w:rsid w:val="000170AF"/>
    <w:rsid w:val="000206CD"/>
    <w:rsid w:val="0003032E"/>
    <w:rsid w:val="0003174D"/>
    <w:rsid w:val="00031F09"/>
    <w:rsid w:val="0003211F"/>
    <w:rsid w:val="00034945"/>
    <w:rsid w:val="00034FFD"/>
    <w:rsid w:val="00045C94"/>
    <w:rsid w:val="00050BAA"/>
    <w:rsid w:val="0005134F"/>
    <w:rsid w:val="000556FA"/>
    <w:rsid w:val="00056B33"/>
    <w:rsid w:val="000575EF"/>
    <w:rsid w:val="00061680"/>
    <w:rsid w:val="0006707B"/>
    <w:rsid w:val="000670FC"/>
    <w:rsid w:val="00074563"/>
    <w:rsid w:val="000749F5"/>
    <w:rsid w:val="00074B49"/>
    <w:rsid w:val="0008269D"/>
    <w:rsid w:val="000861C9"/>
    <w:rsid w:val="00090424"/>
    <w:rsid w:val="000933F2"/>
    <w:rsid w:val="00093AA1"/>
    <w:rsid w:val="00096DE9"/>
    <w:rsid w:val="00097550"/>
    <w:rsid w:val="000A083B"/>
    <w:rsid w:val="000A1087"/>
    <w:rsid w:val="000A6DAD"/>
    <w:rsid w:val="000B013C"/>
    <w:rsid w:val="000B093E"/>
    <w:rsid w:val="000B0AAF"/>
    <w:rsid w:val="000B1031"/>
    <w:rsid w:val="000B3E13"/>
    <w:rsid w:val="000B6C4B"/>
    <w:rsid w:val="000B7C2C"/>
    <w:rsid w:val="000C123D"/>
    <w:rsid w:val="000C1EB7"/>
    <w:rsid w:val="000C49AB"/>
    <w:rsid w:val="000C55DB"/>
    <w:rsid w:val="000C614E"/>
    <w:rsid w:val="000D16EE"/>
    <w:rsid w:val="000D4B69"/>
    <w:rsid w:val="000E094F"/>
    <w:rsid w:val="000E10FB"/>
    <w:rsid w:val="000E153A"/>
    <w:rsid w:val="000E17EB"/>
    <w:rsid w:val="000E35F5"/>
    <w:rsid w:val="000F0A03"/>
    <w:rsid w:val="001006EC"/>
    <w:rsid w:val="00102A57"/>
    <w:rsid w:val="00104EBF"/>
    <w:rsid w:val="00105DEC"/>
    <w:rsid w:val="00120AE7"/>
    <w:rsid w:val="00120D39"/>
    <w:rsid w:val="00121781"/>
    <w:rsid w:val="00133FC8"/>
    <w:rsid w:val="0013727A"/>
    <w:rsid w:val="0014158F"/>
    <w:rsid w:val="001435DD"/>
    <w:rsid w:val="00143BCC"/>
    <w:rsid w:val="00145FB8"/>
    <w:rsid w:val="00146590"/>
    <w:rsid w:val="0015234B"/>
    <w:rsid w:val="00164733"/>
    <w:rsid w:val="00170448"/>
    <w:rsid w:val="001705AC"/>
    <w:rsid w:val="0017585A"/>
    <w:rsid w:val="001774FC"/>
    <w:rsid w:val="001778A7"/>
    <w:rsid w:val="001821E4"/>
    <w:rsid w:val="00182870"/>
    <w:rsid w:val="0018425C"/>
    <w:rsid w:val="001845AB"/>
    <w:rsid w:val="0018577A"/>
    <w:rsid w:val="00185DF8"/>
    <w:rsid w:val="00191961"/>
    <w:rsid w:val="00192AC9"/>
    <w:rsid w:val="001937E6"/>
    <w:rsid w:val="001938E4"/>
    <w:rsid w:val="001A35BA"/>
    <w:rsid w:val="001A563E"/>
    <w:rsid w:val="001A5DC5"/>
    <w:rsid w:val="001A6451"/>
    <w:rsid w:val="001B00B3"/>
    <w:rsid w:val="001B0B21"/>
    <w:rsid w:val="001B33B9"/>
    <w:rsid w:val="001C09B4"/>
    <w:rsid w:val="001D11B2"/>
    <w:rsid w:val="001D234B"/>
    <w:rsid w:val="001D2C5E"/>
    <w:rsid w:val="001D3600"/>
    <w:rsid w:val="001D5199"/>
    <w:rsid w:val="001D65D5"/>
    <w:rsid w:val="001E0C26"/>
    <w:rsid w:val="001E2212"/>
    <w:rsid w:val="001F36DC"/>
    <w:rsid w:val="001F3AAC"/>
    <w:rsid w:val="001F7646"/>
    <w:rsid w:val="002045CC"/>
    <w:rsid w:val="002078A2"/>
    <w:rsid w:val="00217575"/>
    <w:rsid w:val="002204D4"/>
    <w:rsid w:val="00220BBE"/>
    <w:rsid w:val="00222A1C"/>
    <w:rsid w:val="00224C44"/>
    <w:rsid w:val="00225420"/>
    <w:rsid w:val="00227544"/>
    <w:rsid w:val="00236BE9"/>
    <w:rsid w:val="0024106A"/>
    <w:rsid w:val="00241F5C"/>
    <w:rsid w:val="0024519E"/>
    <w:rsid w:val="002467E0"/>
    <w:rsid w:val="00253315"/>
    <w:rsid w:val="00257FB7"/>
    <w:rsid w:val="00261485"/>
    <w:rsid w:val="00272289"/>
    <w:rsid w:val="00272376"/>
    <w:rsid w:val="002737F3"/>
    <w:rsid w:val="00274376"/>
    <w:rsid w:val="00274E57"/>
    <w:rsid w:val="002763FD"/>
    <w:rsid w:val="002766E0"/>
    <w:rsid w:val="00280598"/>
    <w:rsid w:val="00282568"/>
    <w:rsid w:val="002866B1"/>
    <w:rsid w:val="00286C35"/>
    <w:rsid w:val="0029030E"/>
    <w:rsid w:val="00292F93"/>
    <w:rsid w:val="00294254"/>
    <w:rsid w:val="00295C90"/>
    <w:rsid w:val="002A222A"/>
    <w:rsid w:val="002A2301"/>
    <w:rsid w:val="002A3192"/>
    <w:rsid w:val="002A3A3B"/>
    <w:rsid w:val="002B1001"/>
    <w:rsid w:val="002B4298"/>
    <w:rsid w:val="002B7440"/>
    <w:rsid w:val="002B78B0"/>
    <w:rsid w:val="002C1646"/>
    <w:rsid w:val="002C28CB"/>
    <w:rsid w:val="002C4163"/>
    <w:rsid w:val="002C4EC0"/>
    <w:rsid w:val="002D123E"/>
    <w:rsid w:val="002D2A0E"/>
    <w:rsid w:val="002D6810"/>
    <w:rsid w:val="002D695C"/>
    <w:rsid w:val="002E2119"/>
    <w:rsid w:val="002E34CD"/>
    <w:rsid w:val="002E5313"/>
    <w:rsid w:val="002F5C50"/>
    <w:rsid w:val="0030007F"/>
    <w:rsid w:val="0030741F"/>
    <w:rsid w:val="003100A4"/>
    <w:rsid w:val="00310A46"/>
    <w:rsid w:val="003110F7"/>
    <w:rsid w:val="00311538"/>
    <w:rsid w:val="0031762E"/>
    <w:rsid w:val="00321F5D"/>
    <w:rsid w:val="00324D18"/>
    <w:rsid w:val="00326582"/>
    <w:rsid w:val="00327299"/>
    <w:rsid w:val="00327577"/>
    <w:rsid w:val="0033394C"/>
    <w:rsid w:val="003471C4"/>
    <w:rsid w:val="0036036D"/>
    <w:rsid w:val="0036189E"/>
    <w:rsid w:val="00361A2F"/>
    <w:rsid w:val="00362B0E"/>
    <w:rsid w:val="003637F5"/>
    <w:rsid w:val="00363BC9"/>
    <w:rsid w:val="00365317"/>
    <w:rsid w:val="00371EBD"/>
    <w:rsid w:val="00372A25"/>
    <w:rsid w:val="00390BC9"/>
    <w:rsid w:val="00390C20"/>
    <w:rsid w:val="00390C38"/>
    <w:rsid w:val="00392097"/>
    <w:rsid w:val="00392F12"/>
    <w:rsid w:val="00392FE1"/>
    <w:rsid w:val="0039358C"/>
    <w:rsid w:val="00394176"/>
    <w:rsid w:val="003A0AAB"/>
    <w:rsid w:val="003A17E8"/>
    <w:rsid w:val="003A3361"/>
    <w:rsid w:val="003A4418"/>
    <w:rsid w:val="003B2B20"/>
    <w:rsid w:val="003B5B83"/>
    <w:rsid w:val="003B70F1"/>
    <w:rsid w:val="003C044E"/>
    <w:rsid w:val="003C28F8"/>
    <w:rsid w:val="003C2D1F"/>
    <w:rsid w:val="003C6049"/>
    <w:rsid w:val="003D02F9"/>
    <w:rsid w:val="003D0D0B"/>
    <w:rsid w:val="003D1BBD"/>
    <w:rsid w:val="003D2391"/>
    <w:rsid w:val="003D3FFB"/>
    <w:rsid w:val="003D41ED"/>
    <w:rsid w:val="003E1BA4"/>
    <w:rsid w:val="003E1C75"/>
    <w:rsid w:val="003E1EED"/>
    <w:rsid w:val="003E246C"/>
    <w:rsid w:val="003E475B"/>
    <w:rsid w:val="003E55C7"/>
    <w:rsid w:val="003E6B2C"/>
    <w:rsid w:val="003F2DA9"/>
    <w:rsid w:val="003F6162"/>
    <w:rsid w:val="003F71F9"/>
    <w:rsid w:val="004000D0"/>
    <w:rsid w:val="00406F62"/>
    <w:rsid w:val="00410E54"/>
    <w:rsid w:val="0041329C"/>
    <w:rsid w:val="0041597C"/>
    <w:rsid w:val="0042166E"/>
    <w:rsid w:val="00421B8F"/>
    <w:rsid w:val="00422D77"/>
    <w:rsid w:val="004324A3"/>
    <w:rsid w:val="00437809"/>
    <w:rsid w:val="00441A10"/>
    <w:rsid w:val="00442166"/>
    <w:rsid w:val="0044552C"/>
    <w:rsid w:val="00450CFA"/>
    <w:rsid w:val="004514A1"/>
    <w:rsid w:val="004517E3"/>
    <w:rsid w:val="00452DEF"/>
    <w:rsid w:val="00457C04"/>
    <w:rsid w:val="00461AC2"/>
    <w:rsid w:val="00466F3B"/>
    <w:rsid w:val="00467906"/>
    <w:rsid w:val="00470F08"/>
    <w:rsid w:val="00472100"/>
    <w:rsid w:val="004722AF"/>
    <w:rsid w:val="00472CF2"/>
    <w:rsid w:val="004804F3"/>
    <w:rsid w:val="00481441"/>
    <w:rsid w:val="0048430A"/>
    <w:rsid w:val="004915CB"/>
    <w:rsid w:val="004A010F"/>
    <w:rsid w:val="004A0FF5"/>
    <w:rsid w:val="004B2873"/>
    <w:rsid w:val="004B5FE5"/>
    <w:rsid w:val="004B61AE"/>
    <w:rsid w:val="004C27C1"/>
    <w:rsid w:val="004C53C2"/>
    <w:rsid w:val="004D0801"/>
    <w:rsid w:val="004D10C1"/>
    <w:rsid w:val="004D1204"/>
    <w:rsid w:val="004D7C8C"/>
    <w:rsid w:val="004E49EC"/>
    <w:rsid w:val="004E78DC"/>
    <w:rsid w:val="004F039D"/>
    <w:rsid w:val="004F0E97"/>
    <w:rsid w:val="004F3B10"/>
    <w:rsid w:val="004F3B9C"/>
    <w:rsid w:val="004F4676"/>
    <w:rsid w:val="004F5B31"/>
    <w:rsid w:val="00501DD4"/>
    <w:rsid w:val="00507A55"/>
    <w:rsid w:val="00510DB3"/>
    <w:rsid w:val="0051355B"/>
    <w:rsid w:val="005213C8"/>
    <w:rsid w:val="00521FCD"/>
    <w:rsid w:val="00523CB1"/>
    <w:rsid w:val="00525711"/>
    <w:rsid w:val="005343CB"/>
    <w:rsid w:val="00542922"/>
    <w:rsid w:val="00543419"/>
    <w:rsid w:val="00550565"/>
    <w:rsid w:val="00551985"/>
    <w:rsid w:val="00553AB3"/>
    <w:rsid w:val="00557123"/>
    <w:rsid w:val="00561685"/>
    <w:rsid w:val="005618C8"/>
    <w:rsid w:val="005624B3"/>
    <w:rsid w:val="005645E0"/>
    <w:rsid w:val="00565CE1"/>
    <w:rsid w:val="005700B3"/>
    <w:rsid w:val="00582505"/>
    <w:rsid w:val="00584423"/>
    <w:rsid w:val="00591EC1"/>
    <w:rsid w:val="00593DC5"/>
    <w:rsid w:val="0059580A"/>
    <w:rsid w:val="00597B2B"/>
    <w:rsid w:val="005A02FC"/>
    <w:rsid w:val="005A30AB"/>
    <w:rsid w:val="005A3AE2"/>
    <w:rsid w:val="005B5A64"/>
    <w:rsid w:val="005B5F93"/>
    <w:rsid w:val="005B69E5"/>
    <w:rsid w:val="005C4386"/>
    <w:rsid w:val="005C52B7"/>
    <w:rsid w:val="005C5612"/>
    <w:rsid w:val="005C5746"/>
    <w:rsid w:val="005C5A99"/>
    <w:rsid w:val="005C5C90"/>
    <w:rsid w:val="005D0DDC"/>
    <w:rsid w:val="005D490B"/>
    <w:rsid w:val="005D5D20"/>
    <w:rsid w:val="005E4339"/>
    <w:rsid w:val="005E4DFC"/>
    <w:rsid w:val="005E68B4"/>
    <w:rsid w:val="005F58D3"/>
    <w:rsid w:val="00601BB1"/>
    <w:rsid w:val="00602207"/>
    <w:rsid w:val="006101C5"/>
    <w:rsid w:val="00615F74"/>
    <w:rsid w:val="0062139D"/>
    <w:rsid w:val="0062275A"/>
    <w:rsid w:val="00624CAB"/>
    <w:rsid w:val="00630A91"/>
    <w:rsid w:val="00633F8E"/>
    <w:rsid w:val="00634A4F"/>
    <w:rsid w:val="00634C1B"/>
    <w:rsid w:val="0063774A"/>
    <w:rsid w:val="006404C2"/>
    <w:rsid w:val="00641704"/>
    <w:rsid w:val="00643846"/>
    <w:rsid w:val="00643D81"/>
    <w:rsid w:val="00656599"/>
    <w:rsid w:val="00663452"/>
    <w:rsid w:val="006644FA"/>
    <w:rsid w:val="006647A1"/>
    <w:rsid w:val="00676DA9"/>
    <w:rsid w:val="00681169"/>
    <w:rsid w:val="00681919"/>
    <w:rsid w:val="006826C7"/>
    <w:rsid w:val="00685342"/>
    <w:rsid w:val="00690CB1"/>
    <w:rsid w:val="006921EF"/>
    <w:rsid w:val="00697976"/>
    <w:rsid w:val="006A3EA3"/>
    <w:rsid w:val="006A4CB0"/>
    <w:rsid w:val="006B7D5D"/>
    <w:rsid w:val="006C008E"/>
    <w:rsid w:val="006C3938"/>
    <w:rsid w:val="006C3E6F"/>
    <w:rsid w:val="006C467C"/>
    <w:rsid w:val="006C5BDA"/>
    <w:rsid w:val="006D1943"/>
    <w:rsid w:val="006D45E0"/>
    <w:rsid w:val="006E471E"/>
    <w:rsid w:val="006F4140"/>
    <w:rsid w:val="006F5634"/>
    <w:rsid w:val="006F7BD3"/>
    <w:rsid w:val="0070253A"/>
    <w:rsid w:val="00703B66"/>
    <w:rsid w:val="007115A3"/>
    <w:rsid w:val="00713557"/>
    <w:rsid w:val="007155C7"/>
    <w:rsid w:val="0071782F"/>
    <w:rsid w:val="0072323C"/>
    <w:rsid w:val="00725902"/>
    <w:rsid w:val="007272F8"/>
    <w:rsid w:val="007300DE"/>
    <w:rsid w:val="00735A7E"/>
    <w:rsid w:val="00741FF2"/>
    <w:rsid w:val="007459DD"/>
    <w:rsid w:val="00746DF9"/>
    <w:rsid w:val="00756D51"/>
    <w:rsid w:val="00757DB2"/>
    <w:rsid w:val="0076089F"/>
    <w:rsid w:val="00761DC8"/>
    <w:rsid w:val="0076533C"/>
    <w:rsid w:val="00770F07"/>
    <w:rsid w:val="00775C4B"/>
    <w:rsid w:val="00776DF2"/>
    <w:rsid w:val="00780CBB"/>
    <w:rsid w:val="00782001"/>
    <w:rsid w:val="00782651"/>
    <w:rsid w:val="0078799C"/>
    <w:rsid w:val="007928B5"/>
    <w:rsid w:val="00794C9C"/>
    <w:rsid w:val="007973C9"/>
    <w:rsid w:val="007A07ED"/>
    <w:rsid w:val="007A22A9"/>
    <w:rsid w:val="007A7B1E"/>
    <w:rsid w:val="007B18CF"/>
    <w:rsid w:val="007B1DFD"/>
    <w:rsid w:val="007C1407"/>
    <w:rsid w:val="007C1929"/>
    <w:rsid w:val="007C3A24"/>
    <w:rsid w:val="007C5BF0"/>
    <w:rsid w:val="007C6083"/>
    <w:rsid w:val="007D0853"/>
    <w:rsid w:val="007D5A02"/>
    <w:rsid w:val="007E0983"/>
    <w:rsid w:val="007E3284"/>
    <w:rsid w:val="007E4241"/>
    <w:rsid w:val="007E6DC9"/>
    <w:rsid w:val="007E7FCA"/>
    <w:rsid w:val="007F10D7"/>
    <w:rsid w:val="007F262B"/>
    <w:rsid w:val="00800F19"/>
    <w:rsid w:val="00804C06"/>
    <w:rsid w:val="0081111C"/>
    <w:rsid w:val="008129BA"/>
    <w:rsid w:val="00820042"/>
    <w:rsid w:val="00822F1F"/>
    <w:rsid w:val="00823C71"/>
    <w:rsid w:val="008240F7"/>
    <w:rsid w:val="00825D26"/>
    <w:rsid w:val="00826D6C"/>
    <w:rsid w:val="008319CE"/>
    <w:rsid w:val="008322B5"/>
    <w:rsid w:val="008376C8"/>
    <w:rsid w:val="00841329"/>
    <w:rsid w:val="0084456F"/>
    <w:rsid w:val="00845D0D"/>
    <w:rsid w:val="00860693"/>
    <w:rsid w:val="0086127C"/>
    <w:rsid w:val="008625FB"/>
    <w:rsid w:val="0086627C"/>
    <w:rsid w:val="00867B59"/>
    <w:rsid w:val="00873243"/>
    <w:rsid w:val="00874855"/>
    <w:rsid w:val="008811ED"/>
    <w:rsid w:val="0088164F"/>
    <w:rsid w:val="00884321"/>
    <w:rsid w:val="00884ED4"/>
    <w:rsid w:val="00887CF4"/>
    <w:rsid w:val="00893F73"/>
    <w:rsid w:val="00895913"/>
    <w:rsid w:val="008A42BD"/>
    <w:rsid w:val="008A72A0"/>
    <w:rsid w:val="008B1B19"/>
    <w:rsid w:val="008B2D32"/>
    <w:rsid w:val="008B36B1"/>
    <w:rsid w:val="008B3D55"/>
    <w:rsid w:val="008B62CA"/>
    <w:rsid w:val="008C1567"/>
    <w:rsid w:val="008C30AA"/>
    <w:rsid w:val="008C3B9E"/>
    <w:rsid w:val="008C4AFF"/>
    <w:rsid w:val="008C571C"/>
    <w:rsid w:val="008D24F9"/>
    <w:rsid w:val="008D34AE"/>
    <w:rsid w:val="008D7401"/>
    <w:rsid w:val="008E18C2"/>
    <w:rsid w:val="008E1F45"/>
    <w:rsid w:val="008E4413"/>
    <w:rsid w:val="008E72B0"/>
    <w:rsid w:val="008F0E79"/>
    <w:rsid w:val="008F22E6"/>
    <w:rsid w:val="008F6EAE"/>
    <w:rsid w:val="0090053D"/>
    <w:rsid w:val="00900A89"/>
    <w:rsid w:val="0090154A"/>
    <w:rsid w:val="00905A6F"/>
    <w:rsid w:val="009116AE"/>
    <w:rsid w:val="00913EE1"/>
    <w:rsid w:val="009148F1"/>
    <w:rsid w:val="00916B1E"/>
    <w:rsid w:val="0091700F"/>
    <w:rsid w:val="009225C9"/>
    <w:rsid w:val="00923D3F"/>
    <w:rsid w:val="00925CE7"/>
    <w:rsid w:val="009264FD"/>
    <w:rsid w:val="0092708A"/>
    <w:rsid w:val="00927F9B"/>
    <w:rsid w:val="00933945"/>
    <w:rsid w:val="00935D54"/>
    <w:rsid w:val="00943906"/>
    <w:rsid w:val="00944408"/>
    <w:rsid w:val="00945033"/>
    <w:rsid w:val="009458B0"/>
    <w:rsid w:val="00947852"/>
    <w:rsid w:val="009531D9"/>
    <w:rsid w:val="009534D3"/>
    <w:rsid w:val="00955464"/>
    <w:rsid w:val="00956710"/>
    <w:rsid w:val="009579AF"/>
    <w:rsid w:val="009608FC"/>
    <w:rsid w:val="009610A5"/>
    <w:rsid w:val="00961703"/>
    <w:rsid w:val="009634AD"/>
    <w:rsid w:val="009648B7"/>
    <w:rsid w:val="00965EB0"/>
    <w:rsid w:val="00970174"/>
    <w:rsid w:val="009760A0"/>
    <w:rsid w:val="00983991"/>
    <w:rsid w:val="00984227"/>
    <w:rsid w:val="0099014C"/>
    <w:rsid w:val="009903F5"/>
    <w:rsid w:val="009915F9"/>
    <w:rsid w:val="0099348F"/>
    <w:rsid w:val="009949BE"/>
    <w:rsid w:val="009A038E"/>
    <w:rsid w:val="009A11AE"/>
    <w:rsid w:val="009A20DF"/>
    <w:rsid w:val="009A3283"/>
    <w:rsid w:val="009A3EED"/>
    <w:rsid w:val="009A5AB0"/>
    <w:rsid w:val="009B03C5"/>
    <w:rsid w:val="009B4E62"/>
    <w:rsid w:val="009B7964"/>
    <w:rsid w:val="009B7B0F"/>
    <w:rsid w:val="009B7DD2"/>
    <w:rsid w:val="009C02B0"/>
    <w:rsid w:val="009C307E"/>
    <w:rsid w:val="009C504A"/>
    <w:rsid w:val="009C5605"/>
    <w:rsid w:val="009C5A80"/>
    <w:rsid w:val="009C76FA"/>
    <w:rsid w:val="009D5593"/>
    <w:rsid w:val="009D6542"/>
    <w:rsid w:val="009E5612"/>
    <w:rsid w:val="009F2D70"/>
    <w:rsid w:val="00A003A1"/>
    <w:rsid w:val="00A009EA"/>
    <w:rsid w:val="00A02800"/>
    <w:rsid w:val="00A054D3"/>
    <w:rsid w:val="00A07605"/>
    <w:rsid w:val="00A12278"/>
    <w:rsid w:val="00A145BE"/>
    <w:rsid w:val="00A163DD"/>
    <w:rsid w:val="00A1762D"/>
    <w:rsid w:val="00A33155"/>
    <w:rsid w:val="00A36A01"/>
    <w:rsid w:val="00A40340"/>
    <w:rsid w:val="00A468DE"/>
    <w:rsid w:val="00A46EEA"/>
    <w:rsid w:val="00A474C4"/>
    <w:rsid w:val="00A5256B"/>
    <w:rsid w:val="00A531AC"/>
    <w:rsid w:val="00A54EEB"/>
    <w:rsid w:val="00A6106A"/>
    <w:rsid w:val="00A62580"/>
    <w:rsid w:val="00A632C7"/>
    <w:rsid w:val="00A65DBA"/>
    <w:rsid w:val="00A65E96"/>
    <w:rsid w:val="00A6646D"/>
    <w:rsid w:val="00A66F3A"/>
    <w:rsid w:val="00A67C92"/>
    <w:rsid w:val="00A74AC7"/>
    <w:rsid w:val="00A75127"/>
    <w:rsid w:val="00A754F5"/>
    <w:rsid w:val="00A7771A"/>
    <w:rsid w:val="00A80374"/>
    <w:rsid w:val="00A81531"/>
    <w:rsid w:val="00A838D5"/>
    <w:rsid w:val="00A9039C"/>
    <w:rsid w:val="00A909FD"/>
    <w:rsid w:val="00A9375E"/>
    <w:rsid w:val="00A966DE"/>
    <w:rsid w:val="00AA5E42"/>
    <w:rsid w:val="00AA792D"/>
    <w:rsid w:val="00AB3950"/>
    <w:rsid w:val="00AB44B4"/>
    <w:rsid w:val="00AB6CA5"/>
    <w:rsid w:val="00AB7D0F"/>
    <w:rsid w:val="00AC2B02"/>
    <w:rsid w:val="00AC432A"/>
    <w:rsid w:val="00AC5669"/>
    <w:rsid w:val="00AC5DC9"/>
    <w:rsid w:val="00AD2C05"/>
    <w:rsid w:val="00AD3C51"/>
    <w:rsid w:val="00AD5987"/>
    <w:rsid w:val="00AD639B"/>
    <w:rsid w:val="00AD713D"/>
    <w:rsid w:val="00AD739D"/>
    <w:rsid w:val="00AE373C"/>
    <w:rsid w:val="00AF1792"/>
    <w:rsid w:val="00AF1918"/>
    <w:rsid w:val="00AF3D1A"/>
    <w:rsid w:val="00AF6D66"/>
    <w:rsid w:val="00B16B39"/>
    <w:rsid w:val="00B17ACC"/>
    <w:rsid w:val="00B21E99"/>
    <w:rsid w:val="00B21EBE"/>
    <w:rsid w:val="00B25B3C"/>
    <w:rsid w:val="00B36ACD"/>
    <w:rsid w:val="00B370B8"/>
    <w:rsid w:val="00B4457E"/>
    <w:rsid w:val="00B53121"/>
    <w:rsid w:val="00B53DA2"/>
    <w:rsid w:val="00B646D2"/>
    <w:rsid w:val="00B700A0"/>
    <w:rsid w:val="00B73B63"/>
    <w:rsid w:val="00B7532E"/>
    <w:rsid w:val="00B7542E"/>
    <w:rsid w:val="00B75B9A"/>
    <w:rsid w:val="00B75D06"/>
    <w:rsid w:val="00B76361"/>
    <w:rsid w:val="00B768EA"/>
    <w:rsid w:val="00B806CD"/>
    <w:rsid w:val="00B80DBF"/>
    <w:rsid w:val="00B81289"/>
    <w:rsid w:val="00B91DA5"/>
    <w:rsid w:val="00B92C9E"/>
    <w:rsid w:val="00B93FEF"/>
    <w:rsid w:val="00B9454D"/>
    <w:rsid w:val="00B96F51"/>
    <w:rsid w:val="00BA4524"/>
    <w:rsid w:val="00BA474F"/>
    <w:rsid w:val="00BA55F0"/>
    <w:rsid w:val="00BA5DFB"/>
    <w:rsid w:val="00BB100E"/>
    <w:rsid w:val="00BB2328"/>
    <w:rsid w:val="00BB2A76"/>
    <w:rsid w:val="00BB2E2E"/>
    <w:rsid w:val="00BC0455"/>
    <w:rsid w:val="00BC3B12"/>
    <w:rsid w:val="00BD11EB"/>
    <w:rsid w:val="00BD1CF8"/>
    <w:rsid w:val="00BD371A"/>
    <w:rsid w:val="00BD464B"/>
    <w:rsid w:val="00BE2D57"/>
    <w:rsid w:val="00BE6290"/>
    <w:rsid w:val="00BE75D9"/>
    <w:rsid w:val="00BF1006"/>
    <w:rsid w:val="00BF3AAE"/>
    <w:rsid w:val="00BF4191"/>
    <w:rsid w:val="00BF6604"/>
    <w:rsid w:val="00BF6D4F"/>
    <w:rsid w:val="00BF7581"/>
    <w:rsid w:val="00BF7B54"/>
    <w:rsid w:val="00C00C1E"/>
    <w:rsid w:val="00C020F4"/>
    <w:rsid w:val="00C05034"/>
    <w:rsid w:val="00C05A3A"/>
    <w:rsid w:val="00C07647"/>
    <w:rsid w:val="00C12F88"/>
    <w:rsid w:val="00C15865"/>
    <w:rsid w:val="00C22ED1"/>
    <w:rsid w:val="00C23D65"/>
    <w:rsid w:val="00C24445"/>
    <w:rsid w:val="00C258C1"/>
    <w:rsid w:val="00C268BA"/>
    <w:rsid w:val="00C26E3D"/>
    <w:rsid w:val="00C30348"/>
    <w:rsid w:val="00C330D5"/>
    <w:rsid w:val="00C40590"/>
    <w:rsid w:val="00C429F3"/>
    <w:rsid w:val="00C447F3"/>
    <w:rsid w:val="00C4507D"/>
    <w:rsid w:val="00C469BC"/>
    <w:rsid w:val="00C52B18"/>
    <w:rsid w:val="00C54C4C"/>
    <w:rsid w:val="00C6240B"/>
    <w:rsid w:val="00C64C98"/>
    <w:rsid w:val="00C65F16"/>
    <w:rsid w:val="00C662C0"/>
    <w:rsid w:val="00C66489"/>
    <w:rsid w:val="00C74B88"/>
    <w:rsid w:val="00C77236"/>
    <w:rsid w:val="00C77A13"/>
    <w:rsid w:val="00C77BBD"/>
    <w:rsid w:val="00C82F72"/>
    <w:rsid w:val="00C85251"/>
    <w:rsid w:val="00C860C0"/>
    <w:rsid w:val="00C87510"/>
    <w:rsid w:val="00C90C5B"/>
    <w:rsid w:val="00C94AD1"/>
    <w:rsid w:val="00C956A9"/>
    <w:rsid w:val="00C96DC1"/>
    <w:rsid w:val="00C97790"/>
    <w:rsid w:val="00CA2131"/>
    <w:rsid w:val="00CA2CAD"/>
    <w:rsid w:val="00CA4605"/>
    <w:rsid w:val="00CB24EC"/>
    <w:rsid w:val="00CC2EBF"/>
    <w:rsid w:val="00CC4885"/>
    <w:rsid w:val="00CC6A00"/>
    <w:rsid w:val="00CD173D"/>
    <w:rsid w:val="00CD242B"/>
    <w:rsid w:val="00CD7708"/>
    <w:rsid w:val="00CE21EF"/>
    <w:rsid w:val="00CE2C7F"/>
    <w:rsid w:val="00CE4E7A"/>
    <w:rsid w:val="00CF1D15"/>
    <w:rsid w:val="00CF3756"/>
    <w:rsid w:val="00CF4D51"/>
    <w:rsid w:val="00CF71AB"/>
    <w:rsid w:val="00D011CD"/>
    <w:rsid w:val="00D01C6E"/>
    <w:rsid w:val="00D03D17"/>
    <w:rsid w:val="00D0438D"/>
    <w:rsid w:val="00D04B89"/>
    <w:rsid w:val="00D05B62"/>
    <w:rsid w:val="00D06861"/>
    <w:rsid w:val="00D103F4"/>
    <w:rsid w:val="00D25621"/>
    <w:rsid w:val="00D264FA"/>
    <w:rsid w:val="00D2725E"/>
    <w:rsid w:val="00D27BF9"/>
    <w:rsid w:val="00D30706"/>
    <w:rsid w:val="00D32E54"/>
    <w:rsid w:val="00D375A6"/>
    <w:rsid w:val="00D37801"/>
    <w:rsid w:val="00D37C53"/>
    <w:rsid w:val="00D41279"/>
    <w:rsid w:val="00D437DA"/>
    <w:rsid w:val="00D43E5D"/>
    <w:rsid w:val="00D52AA9"/>
    <w:rsid w:val="00D6103F"/>
    <w:rsid w:val="00D63931"/>
    <w:rsid w:val="00D66573"/>
    <w:rsid w:val="00D70DE1"/>
    <w:rsid w:val="00D7435D"/>
    <w:rsid w:val="00D75B31"/>
    <w:rsid w:val="00D762F1"/>
    <w:rsid w:val="00D77EB3"/>
    <w:rsid w:val="00D82DE5"/>
    <w:rsid w:val="00D83E12"/>
    <w:rsid w:val="00D8496D"/>
    <w:rsid w:val="00D8539D"/>
    <w:rsid w:val="00D85653"/>
    <w:rsid w:val="00D86159"/>
    <w:rsid w:val="00D911F3"/>
    <w:rsid w:val="00D91800"/>
    <w:rsid w:val="00D92DB7"/>
    <w:rsid w:val="00D9505C"/>
    <w:rsid w:val="00D97860"/>
    <w:rsid w:val="00DA283A"/>
    <w:rsid w:val="00DA4AB3"/>
    <w:rsid w:val="00DA4C62"/>
    <w:rsid w:val="00DA5564"/>
    <w:rsid w:val="00DB117E"/>
    <w:rsid w:val="00DB29E2"/>
    <w:rsid w:val="00DB6FA3"/>
    <w:rsid w:val="00DC17A1"/>
    <w:rsid w:val="00DD13E0"/>
    <w:rsid w:val="00DD72B7"/>
    <w:rsid w:val="00DE226A"/>
    <w:rsid w:val="00DE2963"/>
    <w:rsid w:val="00DE49C6"/>
    <w:rsid w:val="00DF084D"/>
    <w:rsid w:val="00DF6147"/>
    <w:rsid w:val="00DF7E4B"/>
    <w:rsid w:val="00E049C8"/>
    <w:rsid w:val="00E105B5"/>
    <w:rsid w:val="00E13772"/>
    <w:rsid w:val="00E15AF9"/>
    <w:rsid w:val="00E173C4"/>
    <w:rsid w:val="00E23BEB"/>
    <w:rsid w:val="00E26B61"/>
    <w:rsid w:val="00E278EB"/>
    <w:rsid w:val="00E3690D"/>
    <w:rsid w:val="00E36D29"/>
    <w:rsid w:val="00E4055C"/>
    <w:rsid w:val="00E40E03"/>
    <w:rsid w:val="00E46AC2"/>
    <w:rsid w:val="00E50619"/>
    <w:rsid w:val="00E52D88"/>
    <w:rsid w:val="00E54DEB"/>
    <w:rsid w:val="00E550FD"/>
    <w:rsid w:val="00E56CB0"/>
    <w:rsid w:val="00E57CC1"/>
    <w:rsid w:val="00E64E79"/>
    <w:rsid w:val="00E65FD5"/>
    <w:rsid w:val="00E72268"/>
    <w:rsid w:val="00E748AB"/>
    <w:rsid w:val="00E7497C"/>
    <w:rsid w:val="00E74F14"/>
    <w:rsid w:val="00E763AF"/>
    <w:rsid w:val="00E80646"/>
    <w:rsid w:val="00E80F4D"/>
    <w:rsid w:val="00E86075"/>
    <w:rsid w:val="00E86DCF"/>
    <w:rsid w:val="00EA0A8B"/>
    <w:rsid w:val="00EA5932"/>
    <w:rsid w:val="00EB0063"/>
    <w:rsid w:val="00EB2A77"/>
    <w:rsid w:val="00EC7BCE"/>
    <w:rsid w:val="00ED27EC"/>
    <w:rsid w:val="00ED3669"/>
    <w:rsid w:val="00ED57E1"/>
    <w:rsid w:val="00EF4F47"/>
    <w:rsid w:val="00EF536C"/>
    <w:rsid w:val="00EF71EF"/>
    <w:rsid w:val="00F05C62"/>
    <w:rsid w:val="00F10B0F"/>
    <w:rsid w:val="00F13E0D"/>
    <w:rsid w:val="00F163F3"/>
    <w:rsid w:val="00F1657C"/>
    <w:rsid w:val="00F278D6"/>
    <w:rsid w:val="00F33F65"/>
    <w:rsid w:val="00F518A4"/>
    <w:rsid w:val="00F60426"/>
    <w:rsid w:val="00F607D9"/>
    <w:rsid w:val="00F623BE"/>
    <w:rsid w:val="00F62407"/>
    <w:rsid w:val="00F62BA8"/>
    <w:rsid w:val="00F646BB"/>
    <w:rsid w:val="00F717F1"/>
    <w:rsid w:val="00F719B2"/>
    <w:rsid w:val="00F757D0"/>
    <w:rsid w:val="00F76563"/>
    <w:rsid w:val="00F76BA7"/>
    <w:rsid w:val="00F81C74"/>
    <w:rsid w:val="00F8251B"/>
    <w:rsid w:val="00F863C4"/>
    <w:rsid w:val="00F930C2"/>
    <w:rsid w:val="00F93F51"/>
    <w:rsid w:val="00F94DF8"/>
    <w:rsid w:val="00F9533E"/>
    <w:rsid w:val="00F95F5B"/>
    <w:rsid w:val="00F96123"/>
    <w:rsid w:val="00FA0BC8"/>
    <w:rsid w:val="00FA127F"/>
    <w:rsid w:val="00FA1319"/>
    <w:rsid w:val="00FA239C"/>
    <w:rsid w:val="00FB07AB"/>
    <w:rsid w:val="00FB6150"/>
    <w:rsid w:val="00FC10BC"/>
    <w:rsid w:val="00FD0A92"/>
    <w:rsid w:val="00FD119C"/>
    <w:rsid w:val="00FD446D"/>
    <w:rsid w:val="00FE1F1A"/>
    <w:rsid w:val="00FF099A"/>
    <w:rsid w:val="00FF0E90"/>
    <w:rsid w:val="00FF3D5F"/>
    <w:rsid w:val="01107C48"/>
    <w:rsid w:val="017F1752"/>
    <w:rsid w:val="018A088E"/>
    <w:rsid w:val="02715005"/>
    <w:rsid w:val="02DE60F9"/>
    <w:rsid w:val="0331076B"/>
    <w:rsid w:val="037D4AF3"/>
    <w:rsid w:val="03AD4A8D"/>
    <w:rsid w:val="042F2BC0"/>
    <w:rsid w:val="04A14210"/>
    <w:rsid w:val="05956260"/>
    <w:rsid w:val="05967314"/>
    <w:rsid w:val="065E0ADF"/>
    <w:rsid w:val="067F2526"/>
    <w:rsid w:val="07140750"/>
    <w:rsid w:val="076375C0"/>
    <w:rsid w:val="086F3CC4"/>
    <w:rsid w:val="08A010C5"/>
    <w:rsid w:val="091A4A9B"/>
    <w:rsid w:val="092F7FC5"/>
    <w:rsid w:val="09346F62"/>
    <w:rsid w:val="0A4B34BA"/>
    <w:rsid w:val="0A5A3A10"/>
    <w:rsid w:val="0B1B237E"/>
    <w:rsid w:val="0BD12AA7"/>
    <w:rsid w:val="0C9F5984"/>
    <w:rsid w:val="0CDA4466"/>
    <w:rsid w:val="0D3230C7"/>
    <w:rsid w:val="0D3439FC"/>
    <w:rsid w:val="0D954CB9"/>
    <w:rsid w:val="0DDE1209"/>
    <w:rsid w:val="0E1843EB"/>
    <w:rsid w:val="0E270547"/>
    <w:rsid w:val="0ED11362"/>
    <w:rsid w:val="0EDC01CB"/>
    <w:rsid w:val="0EDF6DE3"/>
    <w:rsid w:val="0F6A54E7"/>
    <w:rsid w:val="0FA85D10"/>
    <w:rsid w:val="105416A9"/>
    <w:rsid w:val="117F43C0"/>
    <w:rsid w:val="11933F1F"/>
    <w:rsid w:val="11D829D9"/>
    <w:rsid w:val="12103136"/>
    <w:rsid w:val="12BF325E"/>
    <w:rsid w:val="12CC4692"/>
    <w:rsid w:val="12D86CA5"/>
    <w:rsid w:val="12FC5EC6"/>
    <w:rsid w:val="130336D1"/>
    <w:rsid w:val="13D46DBC"/>
    <w:rsid w:val="14167BEF"/>
    <w:rsid w:val="145A64C9"/>
    <w:rsid w:val="14D14FEF"/>
    <w:rsid w:val="151839FD"/>
    <w:rsid w:val="151D6983"/>
    <w:rsid w:val="156106D7"/>
    <w:rsid w:val="163162D8"/>
    <w:rsid w:val="164776DD"/>
    <w:rsid w:val="16B40AE0"/>
    <w:rsid w:val="171B2DF7"/>
    <w:rsid w:val="17A82A6E"/>
    <w:rsid w:val="17FE0D69"/>
    <w:rsid w:val="1843437B"/>
    <w:rsid w:val="18593C1D"/>
    <w:rsid w:val="1860609E"/>
    <w:rsid w:val="19145393"/>
    <w:rsid w:val="1A0B4DE4"/>
    <w:rsid w:val="1A4838F0"/>
    <w:rsid w:val="1B141388"/>
    <w:rsid w:val="1B453355"/>
    <w:rsid w:val="1B6D517D"/>
    <w:rsid w:val="1C3850D5"/>
    <w:rsid w:val="1C53381A"/>
    <w:rsid w:val="1C857AFD"/>
    <w:rsid w:val="1D102090"/>
    <w:rsid w:val="1D2C17F9"/>
    <w:rsid w:val="1D4E38D1"/>
    <w:rsid w:val="1D5736A3"/>
    <w:rsid w:val="1D6EC95E"/>
    <w:rsid w:val="1D8F3755"/>
    <w:rsid w:val="1DED3F24"/>
    <w:rsid w:val="1DF07B1C"/>
    <w:rsid w:val="1DF53896"/>
    <w:rsid w:val="1DFD05C0"/>
    <w:rsid w:val="1ED10FC2"/>
    <w:rsid w:val="1F252BFB"/>
    <w:rsid w:val="1F3D665D"/>
    <w:rsid w:val="1F66285C"/>
    <w:rsid w:val="2160214B"/>
    <w:rsid w:val="226C5969"/>
    <w:rsid w:val="22F8768E"/>
    <w:rsid w:val="230259EF"/>
    <w:rsid w:val="234F552E"/>
    <w:rsid w:val="24002511"/>
    <w:rsid w:val="24325A9A"/>
    <w:rsid w:val="243D3E7D"/>
    <w:rsid w:val="24CF3208"/>
    <w:rsid w:val="25D63054"/>
    <w:rsid w:val="25F76BA6"/>
    <w:rsid w:val="26A47EAD"/>
    <w:rsid w:val="26C80201"/>
    <w:rsid w:val="26FF6D89"/>
    <w:rsid w:val="277E3050"/>
    <w:rsid w:val="27B243AD"/>
    <w:rsid w:val="28802956"/>
    <w:rsid w:val="28E115CE"/>
    <w:rsid w:val="28E34AA3"/>
    <w:rsid w:val="290971BA"/>
    <w:rsid w:val="2955714A"/>
    <w:rsid w:val="29622253"/>
    <w:rsid w:val="29D579D2"/>
    <w:rsid w:val="29DF7F1A"/>
    <w:rsid w:val="2A2C5E1C"/>
    <w:rsid w:val="2A9C0F6A"/>
    <w:rsid w:val="2D0E5642"/>
    <w:rsid w:val="2D666F88"/>
    <w:rsid w:val="2E571DDC"/>
    <w:rsid w:val="2E5D46FB"/>
    <w:rsid w:val="2E6D7963"/>
    <w:rsid w:val="2E900D93"/>
    <w:rsid w:val="2ED55870"/>
    <w:rsid w:val="2EF150B6"/>
    <w:rsid w:val="2F297F70"/>
    <w:rsid w:val="2FB66870"/>
    <w:rsid w:val="2FF749BF"/>
    <w:rsid w:val="302B62A6"/>
    <w:rsid w:val="306A6902"/>
    <w:rsid w:val="31296D8A"/>
    <w:rsid w:val="31B449EF"/>
    <w:rsid w:val="31C51ED3"/>
    <w:rsid w:val="325C6DAA"/>
    <w:rsid w:val="32BC1E0D"/>
    <w:rsid w:val="32FF6DFC"/>
    <w:rsid w:val="33932AAF"/>
    <w:rsid w:val="34CB7AE2"/>
    <w:rsid w:val="352F2C36"/>
    <w:rsid w:val="354365A8"/>
    <w:rsid w:val="35860AFD"/>
    <w:rsid w:val="35BC6D3A"/>
    <w:rsid w:val="3659695C"/>
    <w:rsid w:val="36822C03"/>
    <w:rsid w:val="368C1D12"/>
    <w:rsid w:val="36D06D39"/>
    <w:rsid w:val="36E27F65"/>
    <w:rsid w:val="37207913"/>
    <w:rsid w:val="37601040"/>
    <w:rsid w:val="37AE5B28"/>
    <w:rsid w:val="37B60611"/>
    <w:rsid w:val="383E16F0"/>
    <w:rsid w:val="389C0F95"/>
    <w:rsid w:val="38AA5F71"/>
    <w:rsid w:val="394D193A"/>
    <w:rsid w:val="39F21F59"/>
    <w:rsid w:val="3A577D39"/>
    <w:rsid w:val="3B1E789F"/>
    <w:rsid w:val="3BDC434B"/>
    <w:rsid w:val="3C5E4246"/>
    <w:rsid w:val="3C683AF4"/>
    <w:rsid w:val="3C9C5A55"/>
    <w:rsid w:val="3C9F3749"/>
    <w:rsid w:val="3CA15F3E"/>
    <w:rsid w:val="3D414382"/>
    <w:rsid w:val="3DEE34AF"/>
    <w:rsid w:val="3DFB192C"/>
    <w:rsid w:val="3ECE3820"/>
    <w:rsid w:val="3EFE744F"/>
    <w:rsid w:val="3F2B600A"/>
    <w:rsid w:val="3F7F7CD7"/>
    <w:rsid w:val="3FE26561"/>
    <w:rsid w:val="40227343"/>
    <w:rsid w:val="402B6D34"/>
    <w:rsid w:val="407C2850"/>
    <w:rsid w:val="415C431E"/>
    <w:rsid w:val="41E8658E"/>
    <w:rsid w:val="42233FE9"/>
    <w:rsid w:val="42ED15E3"/>
    <w:rsid w:val="43111911"/>
    <w:rsid w:val="436718FB"/>
    <w:rsid w:val="43AD2450"/>
    <w:rsid w:val="43B27C1A"/>
    <w:rsid w:val="442B1FF8"/>
    <w:rsid w:val="448E666C"/>
    <w:rsid w:val="44BB29E7"/>
    <w:rsid w:val="45473F3E"/>
    <w:rsid w:val="47145AAB"/>
    <w:rsid w:val="471B405C"/>
    <w:rsid w:val="47AF75A9"/>
    <w:rsid w:val="47BD6131"/>
    <w:rsid w:val="47DF0647"/>
    <w:rsid w:val="47F7663A"/>
    <w:rsid w:val="482B25DC"/>
    <w:rsid w:val="48926075"/>
    <w:rsid w:val="489A439E"/>
    <w:rsid w:val="496C6818"/>
    <w:rsid w:val="498B4023"/>
    <w:rsid w:val="49CC7E07"/>
    <w:rsid w:val="4B17555C"/>
    <w:rsid w:val="4B4636F0"/>
    <w:rsid w:val="4BB70094"/>
    <w:rsid w:val="4BFF28CD"/>
    <w:rsid w:val="4C380E98"/>
    <w:rsid w:val="4C800183"/>
    <w:rsid w:val="4C9248D5"/>
    <w:rsid w:val="4CDD3A06"/>
    <w:rsid w:val="4CE940A3"/>
    <w:rsid w:val="4D222C13"/>
    <w:rsid w:val="4D974F43"/>
    <w:rsid w:val="4DDE298F"/>
    <w:rsid w:val="4E5914C2"/>
    <w:rsid w:val="4E7A4F1A"/>
    <w:rsid w:val="4F3E3868"/>
    <w:rsid w:val="4F714D18"/>
    <w:rsid w:val="4FAA1B61"/>
    <w:rsid w:val="50290B96"/>
    <w:rsid w:val="50312492"/>
    <w:rsid w:val="506253C3"/>
    <w:rsid w:val="50805037"/>
    <w:rsid w:val="50D81BCB"/>
    <w:rsid w:val="50E07E90"/>
    <w:rsid w:val="51247366"/>
    <w:rsid w:val="513012D6"/>
    <w:rsid w:val="51762292"/>
    <w:rsid w:val="51E53CA1"/>
    <w:rsid w:val="51EA52B3"/>
    <w:rsid w:val="524C054F"/>
    <w:rsid w:val="529C581E"/>
    <w:rsid w:val="52C3188F"/>
    <w:rsid w:val="52E60E2F"/>
    <w:rsid w:val="52F77A9D"/>
    <w:rsid w:val="53072CE4"/>
    <w:rsid w:val="530E479C"/>
    <w:rsid w:val="537B1D7F"/>
    <w:rsid w:val="538E2FF9"/>
    <w:rsid w:val="53BC7625"/>
    <w:rsid w:val="546655C5"/>
    <w:rsid w:val="54761207"/>
    <w:rsid w:val="54765E04"/>
    <w:rsid w:val="54CF49A4"/>
    <w:rsid w:val="55217883"/>
    <w:rsid w:val="5558268F"/>
    <w:rsid w:val="5590591A"/>
    <w:rsid w:val="560F76E0"/>
    <w:rsid w:val="56D5E005"/>
    <w:rsid w:val="5776512D"/>
    <w:rsid w:val="578C2F43"/>
    <w:rsid w:val="57E704BB"/>
    <w:rsid w:val="581B4CB3"/>
    <w:rsid w:val="589412F6"/>
    <w:rsid w:val="5981635B"/>
    <w:rsid w:val="59F23D42"/>
    <w:rsid w:val="5A00712F"/>
    <w:rsid w:val="5A6D78A2"/>
    <w:rsid w:val="5B047827"/>
    <w:rsid w:val="5B54215D"/>
    <w:rsid w:val="5B783ABA"/>
    <w:rsid w:val="5B7F5001"/>
    <w:rsid w:val="5B952864"/>
    <w:rsid w:val="5C5D1F6E"/>
    <w:rsid w:val="5C7F32FF"/>
    <w:rsid w:val="5C825178"/>
    <w:rsid w:val="5C8B7F10"/>
    <w:rsid w:val="5CF7068C"/>
    <w:rsid w:val="5CFB32E1"/>
    <w:rsid w:val="5D104284"/>
    <w:rsid w:val="5D39673A"/>
    <w:rsid w:val="5DBA73AE"/>
    <w:rsid w:val="5DD32C0D"/>
    <w:rsid w:val="5DD37DA4"/>
    <w:rsid w:val="5DD6176A"/>
    <w:rsid w:val="5E2C698D"/>
    <w:rsid w:val="5E6555C6"/>
    <w:rsid w:val="5EC1547D"/>
    <w:rsid w:val="5F784393"/>
    <w:rsid w:val="604F3AC9"/>
    <w:rsid w:val="60832A60"/>
    <w:rsid w:val="60FB09A7"/>
    <w:rsid w:val="612747D9"/>
    <w:rsid w:val="61362CE3"/>
    <w:rsid w:val="622268AC"/>
    <w:rsid w:val="624C7A0B"/>
    <w:rsid w:val="624F7850"/>
    <w:rsid w:val="62F07DD1"/>
    <w:rsid w:val="64C95BB5"/>
    <w:rsid w:val="64DB2945"/>
    <w:rsid w:val="66D4132F"/>
    <w:rsid w:val="67E175E0"/>
    <w:rsid w:val="684C3631"/>
    <w:rsid w:val="689D1259"/>
    <w:rsid w:val="68AD611A"/>
    <w:rsid w:val="690A6CD0"/>
    <w:rsid w:val="69347ACA"/>
    <w:rsid w:val="69576CD6"/>
    <w:rsid w:val="69986447"/>
    <w:rsid w:val="6AB30E1F"/>
    <w:rsid w:val="6AB56F97"/>
    <w:rsid w:val="6C627F03"/>
    <w:rsid w:val="6C7E20FE"/>
    <w:rsid w:val="6C97FCD8"/>
    <w:rsid w:val="6CA5593F"/>
    <w:rsid w:val="6D1C2372"/>
    <w:rsid w:val="6D3F32E1"/>
    <w:rsid w:val="6D4F56AE"/>
    <w:rsid w:val="6D986419"/>
    <w:rsid w:val="6DB11979"/>
    <w:rsid w:val="6E035E23"/>
    <w:rsid w:val="6E873F0C"/>
    <w:rsid w:val="6EAD43EE"/>
    <w:rsid w:val="6EEEDD92"/>
    <w:rsid w:val="6EF7E717"/>
    <w:rsid w:val="6F4175A9"/>
    <w:rsid w:val="6F44200D"/>
    <w:rsid w:val="6F7E2710"/>
    <w:rsid w:val="6FC1190D"/>
    <w:rsid w:val="6FCD0395"/>
    <w:rsid w:val="6FD87719"/>
    <w:rsid w:val="6FEE66A8"/>
    <w:rsid w:val="70446818"/>
    <w:rsid w:val="70B317A6"/>
    <w:rsid w:val="70C71A46"/>
    <w:rsid w:val="7132341C"/>
    <w:rsid w:val="71580401"/>
    <w:rsid w:val="71655665"/>
    <w:rsid w:val="71A00974"/>
    <w:rsid w:val="71F852A1"/>
    <w:rsid w:val="72115009"/>
    <w:rsid w:val="723E24DB"/>
    <w:rsid w:val="72D1561E"/>
    <w:rsid w:val="733B25CA"/>
    <w:rsid w:val="73733E62"/>
    <w:rsid w:val="7455446C"/>
    <w:rsid w:val="74681EC3"/>
    <w:rsid w:val="747E3413"/>
    <w:rsid w:val="748C231F"/>
    <w:rsid w:val="74D54911"/>
    <w:rsid w:val="74DF2618"/>
    <w:rsid w:val="74E36F7E"/>
    <w:rsid w:val="74F33743"/>
    <w:rsid w:val="759A466A"/>
    <w:rsid w:val="75C46410"/>
    <w:rsid w:val="75CF7E4C"/>
    <w:rsid w:val="75EE6C77"/>
    <w:rsid w:val="76B62C69"/>
    <w:rsid w:val="76BB7B7B"/>
    <w:rsid w:val="776FC48A"/>
    <w:rsid w:val="77887666"/>
    <w:rsid w:val="779FAC9F"/>
    <w:rsid w:val="77C60380"/>
    <w:rsid w:val="77CD32CA"/>
    <w:rsid w:val="77F373BE"/>
    <w:rsid w:val="77FC4FEB"/>
    <w:rsid w:val="7801305E"/>
    <w:rsid w:val="784870F3"/>
    <w:rsid w:val="7849685A"/>
    <w:rsid w:val="784B77D9"/>
    <w:rsid w:val="789F2454"/>
    <w:rsid w:val="78B04C80"/>
    <w:rsid w:val="78C10BB1"/>
    <w:rsid w:val="79D26DEE"/>
    <w:rsid w:val="7A3F77B9"/>
    <w:rsid w:val="7A4C5837"/>
    <w:rsid w:val="7A600CE6"/>
    <w:rsid w:val="7AF42E71"/>
    <w:rsid w:val="7BCF3A79"/>
    <w:rsid w:val="7C8B7B7C"/>
    <w:rsid w:val="7CAE7976"/>
    <w:rsid w:val="7D487F2E"/>
    <w:rsid w:val="7DB83C79"/>
    <w:rsid w:val="7DDE1873"/>
    <w:rsid w:val="7DFB9D19"/>
    <w:rsid w:val="7E605D97"/>
    <w:rsid w:val="7E7D3DF3"/>
    <w:rsid w:val="7F2A0A59"/>
    <w:rsid w:val="7F513869"/>
    <w:rsid w:val="7F67D0CF"/>
    <w:rsid w:val="7F6E2B0B"/>
    <w:rsid w:val="7FBFC202"/>
    <w:rsid w:val="7FDDDCE1"/>
    <w:rsid w:val="7FDF59AC"/>
    <w:rsid w:val="8EBE2DCD"/>
    <w:rsid w:val="BB5E44BB"/>
    <w:rsid w:val="BBFD256D"/>
    <w:rsid w:val="BFCD3889"/>
    <w:rsid w:val="BFEBFDBC"/>
    <w:rsid w:val="DF7C756A"/>
    <w:rsid w:val="DF7D3EF7"/>
    <w:rsid w:val="FD1DEA2E"/>
    <w:rsid w:val="FEEDC01E"/>
    <w:rsid w:val="FFFF4CB7"/>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9"/>
    <w:pPr>
      <w:keepNext/>
      <w:keepLines/>
      <w:numPr>
        <w:ilvl w:val="1"/>
        <w:numId w:val="1"/>
      </w:numPr>
      <w:spacing w:before="260" w:after="260" w:line="415" w:lineRule="auto"/>
      <w:ind w:right="210" w:rightChars="100"/>
      <w:outlineLvl w:val="1"/>
    </w:pPr>
    <w:rPr>
      <w:rFonts w:ascii="Arial" w:hAnsi="Arial"/>
      <w:b/>
      <w:bCs/>
      <w:sz w:val="36"/>
      <w:szCs w:val="32"/>
    </w:rPr>
  </w:style>
  <w:style w:type="character" w:default="1" w:styleId="10">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20"/>
    <w:unhideWhenUsed/>
    <w:qFormat/>
    <w:uiPriority w:val="99"/>
    <w:rPr>
      <w:b/>
      <w:bCs/>
    </w:rPr>
  </w:style>
  <w:style w:type="paragraph" w:styleId="5">
    <w:name w:val="annotation text"/>
    <w:basedOn w:val="1"/>
    <w:link w:val="16"/>
    <w:unhideWhenUsed/>
    <w:qFormat/>
    <w:uiPriority w:val="99"/>
    <w:pPr>
      <w:jc w:val="left"/>
    </w:pPr>
    <w:rPr>
      <w:kern w:val="0"/>
      <w:sz w:val="20"/>
      <w:szCs w:val="20"/>
    </w:rPr>
  </w:style>
  <w:style w:type="paragraph" w:styleId="6">
    <w:name w:val="Balloon Text"/>
    <w:basedOn w:val="1"/>
    <w:link w:val="17"/>
    <w:unhideWhenUsed/>
    <w:qFormat/>
    <w:uiPriority w:val="99"/>
    <w:rPr>
      <w:kern w:val="0"/>
      <w:sz w:val="18"/>
      <w:szCs w:val="18"/>
    </w:rPr>
  </w:style>
  <w:style w:type="paragraph" w:styleId="7">
    <w:name w:val="footer"/>
    <w:basedOn w:val="1"/>
    <w:link w:val="18"/>
    <w:unhideWhenUsed/>
    <w:qFormat/>
    <w:uiPriority w:val="99"/>
    <w:pPr>
      <w:tabs>
        <w:tab w:val="center" w:pos="4153"/>
        <w:tab w:val="right" w:pos="8306"/>
      </w:tabs>
      <w:snapToGrid w:val="0"/>
      <w:spacing w:line="240" w:lineRule="atLeast"/>
      <w:jc w:val="left"/>
    </w:pPr>
    <w:rPr>
      <w:kern w:val="0"/>
      <w:sz w:val="18"/>
      <w:szCs w:val="18"/>
    </w:rPr>
  </w:style>
  <w:style w:type="paragraph" w:styleId="8">
    <w:name w:val="header"/>
    <w:basedOn w:val="1"/>
    <w:link w:val="19"/>
    <w:unhideWhenUsed/>
    <w:qFormat/>
    <w:uiPriority w:val="99"/>
    <w:pPr>
      <w:pBdr>
        <w:bottom w:val="single" w:color="auto" w:sz="6" w:space="1"/>
      </w:pBdr>
      <w:tabs>
        <w:tab w:val="center" w:pos="4153"/>
        <w:tab w:val="right" w:pos="8306"/>
      </w:tabs>
      <w:snapToGrid w:val="0"/>
      <w:spacing w:line="240" w:lineRule="atLeast"/>
      <w:jc w:val="center"/>
    </w:pPr>
    <w:rPr>
      <w:kern w:val="0"/>
      <w:sz w:val="18"/>
      <w:szCs w:val="18"/>
    </w:rPr>
  </w:style>
  <w:style w:type="paragraph" w:styleId="9">
    <w:name w:val="Normal (Web)"/>
    <w:basedOn w:val="1"/>
    <w:unhideWhenUsed/>
    <w:qFormat/>
    <w:uiPriority w:val="0"/>
    <w:pPr>
      <w:spacing w:before="100" w:beforeAutospacing="1" w:after="100" w:afterAutospacing="1"/>
      <w:jc w:val="left"/>
    </w:pPr>
    <w:rPr>
      <w:kern w:val="0"/>
      <w:sz w:val="24"/>
    </w:rPr>
  </w:style>
  <w:style w:type="character" w:styleId="11">
    <w:name w:val="Strong"/>
    <w:qFormat/>
    <w:uiPriority w:val="0"/>
    <w:rPr>
      <w:b/>
      <w:bCs/>
    </w:rPr>
  </w:style>
  <w:style w:type="character" w:styleId="12">
    <w:name w:val="Hyperlink"/>
    <w:unhideWhenUsed/>
    <w:qFormat/>
    <w:uiPriority w:val="99"/>
    <w:rPr>
      <w:color w:val="0000FF"/>
      <w:u w:val="single"/>
    </w:rPr>
  </w:style>
  <w:style w:type="character" w:styleId="13">
    <w:name w:val="annotation reference"/>
    <w:unhideWhenUsed/>
    <w:qFormat/>
    <w:uiPriority w:val="0"/>
    <w:rPr>
      <w:sz w:val="21"/>
      <w:szCs w:val="21"/>
    </w:rPr>
  </w:style>
  <w:style w:type="table" w:styleId="15">
    <w:name w:val="Table Grid"/>
    <w:basedOn w:val="1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批注文字 字符"/>
    <w:link w:val="5"/>
    <w:qFormat/>
    <w:uiPriority w:val="99"/>
    <w:rPr>
      <w:rFonts w:ascii="Calibri" w:hAnsi="Calibri" w:eastAsia="宋体" w:cs="Times New Roman"/>
    </w:rPr>
  </w:style>
  <w:style w:type="character" w:customStyle="1" w:styleId="17">
    <w:name w:val="批注框文本 字符"/>
    <w:link w:val="6"/>
    <w:semiHidden/>
    <w:qFormat/>
    <w:uiPriority w:val="99"/>
    <w:rPr>
      <w:rFonts w:ascii="Calibri" w:hAnsi="Calibri" w:eastAsia="宋体" w:cs="Times New Roman"/>
      <w:sz w:val="18"/>
      <w:szCs w:val="18"/>
    </w:rPr>
  </w:style>
  <w:style w:type="character" w:customStyle="1" w:styleId="18">
    <w:name w:val="页脚 字符"/>
    <w:link w:val="7"/>
    <w:qFormat/>
    <w:uiPriority w:val="99"/>
    <w:rPr>
      <w:sz w:val="18"/>
      <w:szCs w:val="18"/>
    </w:rPr>
  </w:style>
  <w:style w:type="character" w:customStyle="1" w:styleId="19">
    <w:name w:val="页眉 字符"/>
    <w:link w:val="8"/>
    <w:qFormat/>
    <w:uiPriority w:val="99"/>
    <w:rPr>
      <w:sz w:val="18"/>
      <w:szCs w:val="18"/>
    </w:rPr>
  </w:style>
  <w:style w:type="character" w:customStyle="1" w:styleId="20">
    <w:name w:val="批注主题 字符"/>
    <w:link w:val="4"/>
    <w:semiHidden/>
    <w:qFormat/>
    <w:uiPriority w:val="99"/>
    <w:rPr>
      <w:rFonts w:ascii="Calibri" w:hAnsi="Calibri" w:eastAsia="宋体" w:cs="Times New Roman"/>
      <w:b/>
      <w:bCs/>
    </w:rPr>
  </w:style>
  <w:style w:type="paragraph" w:customStyle="1" w:styleId="21">
    <w:name w:val="列表段落1"/>
    <w:basedOn w:val="1"/>
    <w:qFormat/>
    <w:uiPriority w:val="34"/>
    <w:pPr>
      <w:ind w:firstLine="420" w:firstLineChars="200"/>
    </w:pPr>
  </w:style>
  <w:style w:type="paragraph" w:customStyle="1" w:styleId="22">
    <w:name w:val="列出段落1"/>
    <w:basedOn w:val="1"/>
    <w:qFormat/>
    <w:uiPriority w:val="0"/>
    <w:pPr>
      <w:ind w:firstLine="420" w:firstLineChars="200"/>
    </w:pPr>
  </w:style>
  <w:style w:type="paragraph" w:customStyle="1" w:styleId="23">
    <w:name w:val="修订1"/>
    <w:unhideWhenUsed/>
    <w:qFormat/>
    <w:uiPriority w:val="99"/>
    <w:rPr>
      <w:rFonts w:ascii="Times New Roman" w:hAnsi="Times New Roman" w:eastAsia="宋体" w:cs="Times New Roman"/>
      <w:kern w:val="2"/>
      <w:sz w:val="21"/>
      <w:szCs w:val="22"/>
      <w:lang w:val="en-US" w:eastAsia="zh-CN" w:bidi="ar-SA"/>
    </w:rPr>
  </w:style>
  <w:style w:type="paragraph" w:customStyle="1" w:styleId="24">
    <w:name w:val="列出段落2"/>
    <w:basedOn w:val="1"/>
    <w:qFormat/>
    <w:uiPriority w:val="99"/>
    <w:pPr>
      <w:ind w:firstLine="420" w:firstLineChars="200"/>
    </w:pPr>
  </w:style>
  <w:style w:type="paragraph" w:customStyle="1" w:styleId="25">
    <w:name w:val="修订2"/>
    <w:hidden/>
    <w:semiHidden/>
    <w:qFormat/>
    <w:uiPriority w:val="99"/>
    <w:rPr>
      <w:rFonts w:ascii="Times New Roman" w:hAnsi="Times New Roman" w:eastAsia="宋体" w:cs="Times New Roman"/>
      <w:kern w:val="2"/>
      <w:sz w:val="21"/>
      <w:szCs w:val="22"/>
      <w:lang w:val="en-US" w:eastAsia="zh-CN" w:bidi="ar-SA"/>
    </w:rPr>
  </w:style>
  <w:style w:type="paragraph" w:customStyle="1" w:styleId="26">
    <w:name w:val="修订3"/>
    <w:hidden/>
    <w:semiHidden/>
    <w:qFormat/>
    <w:uiPriority w:val="99"/>
    <w:rPr>
      <w:rFonts w:ascii="Times New Roman" w:hAnsi="Times New Roman" w:eastAsia="宋体" w:cs="Times New Roman"/>
      <w:kern w:val="2"/>
      <w:sz w:val="21"/>
      <w:szCs w:val="22"/>
      <w:lang w:val="en-US" w:eastAsia="zh-CN" w:bidi="ar-SA"/>
    </w:rPr>
  </w:style>
  <w:style w:type="character" w:customStyle="1" w:styleId="27">
    <w:name w:val="标题 1 字符"/>
    <w:basedOn w:val="10"/>
    <w:link w:val="2"/>
    <w:qFormat/>
    <w:uiPriority w:val="1"/>
    <w:rPr>
      <w:b/>
      <w:bCs/>
      <w:kern w:val="44"/>
      <w:sz w:val="44"/>
      <w:szCs w:val="44"/>
    </w:rPr>
  </w:style>
  <w:style w:type="character" w:customStyle="1" w:styleId="28">
    <w:name w:val="any"/>
    <w:basedOn w:val="10"/>
    <w:qFormat/>
    <w:uiPriority w:val="0"/>
  </w:style>
  <w:style w:type="paragraph" w:customStyle="1" w:styleId="29">
    <w:name w:val="faguicon_p"/>
    <w:basedOn w:val="1"/>
    <w:qFormat/>
    <w:uiPriority w:val="0"/>
    <w:pPr>
      <w:widowControl/>
      <w:ind w:firstLine="480"/>
      <w:jc w:val="left"/>
    </w:pPr>
    <w:rPr>
      <w:rFonts w:ascii="微软雅黑" w:hAnsi="微软雅黑" w:eastAsia="微软雅黑" w:cs="微软雅黑"/>
      <w:kern w:val="0"/>
      <w:sz w:val="24"/>
      <w:szCs w:val="24"/>
    </w:rPr>
  </w:style>
  <w:style w:type="character" w:customStyle="1" w:styleId="30">
    <w:name w:val="sect2title"/>
    <w:qFormat/>
    <w:uiPriority w:val="0"/>
    <w:rPr>
      <w:rFonts w:ascii="微软雅黑" w:hAnsi="微软雅黑" w:eastAsia="微软雅黑" w:cs="微软雅黑"/>
      <w:b/>
      <w:bCs/>
      <w:sz w:val="26"/>
      <w:szCs w:val="26"/>
    </w:rPr>
  </w:style>
  <w:style w:type="paragraph" w:customStyle="1" w:styleId="31">
    <w:name w:val="修订4"/>
    <w:hidden/>
    <w:semiHidden/>
    <w:qFormat/>
    <w:uiPriority w:val="99"/>
    <w:rPr>
      <w:rFonts w:ascii="Times New Roman" w:hAnsi="Times New Roman" w:eastAsia="宋体" w:cs="Times New Roman"/>
      <w:kern w:val="2"/>
      <w:sz w:val="21"/>
      <w:szCs w:val="22"/>
      <w:lang w:val="en-US" w:eastAsia="zh-CN" w:bidi="ar-SA"/>
    </w:rPr>
  </w:style>
  <w:style w:type="paragraph" w:customStyle="1" w:styleId="32">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37</Pages>
  <Words>28642</Words>
  <Characters>29363</Characters>
  <Lines>210</Lines>
  <Paragraphs>59</Paragraphs>
  <TotalTime>0</TotalTime>
  <ScaleCrop>false</ScaleCrop>
  <LinksUpToDate>false</LinksUpToDate>
  <CharactersWithSpaces>29374</CharactersWithSpaces>
  <Application>WPS Office_10.8.0.5761_F1E327BC-269C-435d-A152-05C5408002CA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2021-07-05T06:05:00Z</dcterms:created>
  <dc:creator>user</dc:creator>
  <cp:lastModifiedBy>胡士龙</cp:lastModifiedBy>
  <cp:lastPrinted>2021-06-09T04:27:00Z</cp:lastPrinted>
  <dcterms:modified xsi:type="dcterms:W3CDTF">2021-09-18T06:59:13Z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2052-10.8.0.5761</vt:lpwstr>
  </property>
  <property fmtid="{D5CDD505-2E9C-101B-9397-08002B2CF9AE}" pid="3" name="ICV">
    <vt:lpwstr>505225C0F89940C79044D8201327D26F</vt:lpwstr>
  </property>
</Properties>
</file>