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26B82" w14:textId="389F0EF7" w:rsidR="002B1CD3" w:rsidRDefault="001706B2">
      <w:pPr>
        <w:jc w:val="center"/>
        <w:rPr>
          <w:rFonts w:ascii="仿宋_GB2312" w:eastAsia="仿宋_GB2312" w:hAnsi="仿宋" w:cs="仿宋"/>
          <w:b/>
          <w:bCs/>
          <w:sz w:val="30"/>
          <w:szCs w:val="30"/>
        </w:rPr>
      </w:pPr>
      <w:r>
        <w:rPr>
          <w:rFonts w:ascii="仿宋_GB2312" w:eastAsia="仿宋_GB2312" w:hAnsi="仿宋" w:cs="仿宋" w:hint="eastAsia"/>
          <w:b/>
          <w:bCs/>
          <w:sz w:val="30"/>
          <w:szCs w:val="30"/>
        </w:rPr>
        <w:t>标准化属性业务审批单</w:t>
      </w:r>
    </w:p>
    <w:p w14:paraId="1E4308C2" w14:textId="77777777" w:rsidR="002B1CD3" w:rsidRDefault="002B1CD3">
      <w:pPr>
        <w:spacing w:line="276" w:lineRule="auto"/>
        <w:ind w:leftChars="-295" w:left="3" w:right="964" w:hangingChars="258" w:hanging="622"/>
        <w:jc w:val="left"/>
        <w:rPr>
          <w:rFonts w:ascii="仿宋_GB2312" w:eastAsia="仿宋_GB2312"/>
          <w:b/>
          <w:sz w:val="24"/>
        </w:rPr>
      </w:pPr>
    </w:p>
    <w:p w14:paraId="0CB3CC9A" w14:textId="1E323B03" w:rsidR="002B1CD3" w:rsidRDefault="001706B2">
      <w:pPr>
        <w:spacing w:line="276" w:lineRule="auto"/>
        <w:ind w:leftChars="-295" w:left="3" w:right="964" w:hangingChars="258" w:hanging="622"/>
        <w:jc w:val="left"/>
        <w:rPr>
          <w:rFonts w:ascii="仿宋_GB2312" w:eastAsia="仿宋_GB2312"/>
          <w:b/>
          <w:sz w:val="24"/>
        </w:rPr>
      </w:pPr>
      <w:r>
        <w:rPr>
          <w:rFonts w:ascii="仿宋_GB2312" w:eastAsia="仿宋_GB2312" w:hint="eastAsia"/>
          <w:b/>
          <w:sz w:val="24"/>
        </w:rPr>
        <w:t>申请日期：</w:t>
      </w:r>
      <w:bookmarkStart w:id="0" w:name="OLE_LINK1"/>
      <w:r>
        <w:rPr>
          <w:rFonts w:ascii="仿宋_GB2312" w:eastAsia="仿宋_GB2312" w:hint="eastAsia"/>
          <w:b/>
          <w:sz w:val="24"/>
        </w:rPr>
        <w:t>202</w:t>
      </w:r>
      <w:r w:rsidR="00846CC4">
        <w:rPr>
          <w:rFonts w:ascii="仿宋_GB2312" w:eastAsia="仿宋_GB2312"/>
          <w:b/>
          <w:sz w:val="24"/>
        </w:rPr>
        <w:t>1</w:t>
      </w:r>
      <w:r>
        <w:rPr>
          <w:rFonts w:ascii="仿宋_GB2312" w:eastAsia="仿宋_GB2312" w:hint="eastAsia"/>
          <w:b/>
          <w:sz w:val="24"/>
        </w:rPr>
        <w:t>年</w:t>
      </w:r>
      <w:r w:rsidR="001226B1">
        <w:rPr>
          <w:rFonts w:ascii="仿宋_GB2312" w:eastAsia="仿宋_GB2312"/>
          <w:b/>
          <w:sz w:val="24"/>
        </w:rPr>
        <w:t>8</w:t>
      </w:r>
      <w:r>
        <w:rPr>
          <w:rFonts w:ascii="仿宋_GB2312" w:eastAsia="仿宋_GB2312" w:hint="eastAsia"/>
          <w:b/>
          <w:sz w:val="24"/>
        </w:rPr>
        <w:t>月</w:t>
      </w:r>
      <w:r w:rsidR="001226B1">
        <w:rPr>
          <w:rFonts w:ascii="仿宋_GB2312" w:eastAsia="仿宋_GB2312" w:hint="eastAsia"/>
          <w:b/>
          <w:sz w:val="24"/>
        </w:rPr>
        <w:t>1</w:t>
      </w:r>
      <w:r w:rsidR="001226B1">
        <w:rPr>
          <w:rFonts w:ascii="仿宋_GB2312" w:eastAsia="仿宋_GB2312"/>
          <w:b/>
          <w:sz w:val="24"/>
        </w:rPr>
        <w:t>7</w:t>
      </w:r>
      <w:r>
        <w:rPr>
          <w:rFonts w:ascii="仿宋_GB2312" w:eastAsia="仿宋_GB2312" w:hint="eastAsia"/>
          <w:b/>
          <w:sz w:val="24"/>
        </w:rPr>
        <w:t xml:space="preserve">日 </w:t>
      </w:r>
      <w:bookmarkEnd w:id="0"/>
    </w:p>
    <w:tbl>
      <w:tblPr>
        <w:tblW w:w="10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23"/>
        <w:gridCol w:w="2909"/>
        <w:gridCol w:w="2428"/>
        <w:gridCol w:w="2932"/>
      </w:tblGrid>
      <w:tr w:rsidR="002B1CD3" w14:paraId="31E072BC" w14:textId="77777777">
        <w:trPr>
          <w:trHeight w:val="670"/>
          <w:jc w:val="center"/>
        </w:trPr>
        <w:tc>
          <w:tcPr>
            <w:tcW w:w="10720" w:type="dxa"/>
            <w:gridSpan w:val="5"/>
            <w:shd w:val="clear" w:color="auto" w:fill="F2F2F2"/>
            <w:vAlign w:val="center"/>
          </w:tcPr>
          <w:p w14:paraId="68BCE66B" w14:textId="490DF78A" w:rsidR="002B1CD3" w:rsidRDefault="001706B2">
            <w:pPr>
              <w:spacing w:line="276" w:lineRule="auto"/>
              <w:jc w:val="center"/>
              <w:rPr>
                <w:rFonts w:ascii="仿宋_GB2312" w:eastAsia="仿宋_GB2312" w:hAnsi="仿宋" w:cs="仿宋"/>
                <w:sz w:val="24"/>
              </w:rPr>
            </w:pPr>
            <w:r>
              <w:rPr>
                <w:rFonts w:ascii="仿宋_GB2312" w:eastAsia="仿宋_GB2312" w:hAnsi="仿宋" w:cs="仿宋" w:hint="eastAsia"/>
                <w:b/>
                <w:bCs/>
                <w:sz w:val="30"/>
                <w:szCs w:val="30"/>
              </w:rPr>
              <w:t>申请信息</w:t>
            </w:r>
          </w:p>
        </w:tc>
      </w:tr>
      <w:tr w:rsidR="002B1CD3" w14:paraId="5169E3EA" w14:textId="77777777">
        <w:trPr>
          <w:trHeight w:val="406"/>
          <w:jc w:val="center"/>
        </w:trPr>
        <w:tc>
          <w:tcPr>
            <w:tcW w:w="2451" w:type="dxa"/>
            <w:gridSpan w:val="2"/>
            <w:vAlign w:val="center"/>
          </w:tcPr>
          <w:p w14:paraId="0A9E644D" w14:textId="77777777" w:rsidR="002B1CD3" w:rsidRDefault="001706B2">
            <w:pPr>
              <w:spacing w:line="276" w:lineRule="auto"/>
              <w:rPr>
                <w:rFonts w:ascii="仿宋_GB2312" w:eastAsia="仿宋_GB2312" w:hAnsi="仿宋" w:cs="仿宋"/>
                <w:b/>
                <w:sz w:val="24"/>
              </w:rPr>
            </w:pPr>
            <w:r>
              <w:rPr>
                <w:rFonts w:ascii="仿宋_GB2312" w:eastAsia="仿宋_GB2312" w:hAnsi="仿宋" w:cs="仿宋" w:hint="eastAsia"/>
                <w:b/>
                <w:sz w:val="24"/>
              </w:rPr>
              <w:t>标的名称</w:t>
            </w:r>
          </w:p>
        </w:tc>
        <w:tc>
          <w:tcPr>
            <w:tcW w:w="2909" w:type="dxa"/>
            <w:vAlign w:val="center"/>
          </w:tcPr>
          <w:p w14:paraId="797A94D1" w14:textId="5673EEDA" w:rsidR="002B1CD3" w:rsidRDefault="00846CC4">
            <w:pPr>
              <w:spacing w:line="288" w:lineRule="auto"/>
              <w:rPr>
                <w:rFonts w:ascii="仿宋_GB2312" w:eastAsia="仿宋_GB2312" w:hAnsi="仿宋" w:cs="仿宋"/>
              </w:rPr>
            </w:pPr>
            <w:r>
              <w:rPr>
                <w:rFonts w:ascii="仿宋_GB2312" w:eastAsia="仿宋_GB2312" w:hAnsi="仿宋" w:cs="仿宋" w:hint="eastAsia"/>
                <w:sz w:val="24"/>
              </w:rPr>
              <w:t>可转债委外管理人批量</w:t>
            </w:r>
            <w:r w:rsidR="0015442A">
              <w:rPr>
                <w:rFonts w:ascii="仿宋_GB2312" w:eastAsia="仿宋_GB2312" w:hAnsi="仿宋" w:cs="仿宋" w:hint="eastAsia"/>
                <w:sz w:val="24"/>
              </w:rPr>
              <w:t>准入</w:t>
            </w:r>
          </w:p>
        </w:tc>
        <w:tc>
          <w:tcPr>
            <w:tcW w:w="2428" w:type="dxa"/>
            <w:vAlign w:val="center"/>
          </w:tcPr>
          <w:p w14:paraId="6EAC14A1" w14:textId="77777777" w:rsidR="002B1CD3" w:rsidRDefault="001706B2">
            <w:pPr>
              <w:spacing w:line="288" w:lineRule="auto"/>
              <w:rPr>
                <w:rFonts w:ascii="仿宋_GB2312" w:eastAsia="仿宋_GB2312" w:hAnsi="仿宋" w:cs="仿宋"/>
                <w:sz w:val="24"/>
              </w:rPr>
            </w:pPr>
            <w:r>
              <w:rPr>
                <w:rFonts w:ascii="仿宋_GB2312" w:eastAsia="仿宋_GB2312" w:hAnsi="仿宋" w:cs="仿宋" w:hint="eastAsia"/>
                <w:b/>
                <w:sz w:val="24"/>
              </w:rPr>
              <w:t>申请额度</w:t>
            </w:r>
          </w:p>
        </w:tc>
        <w:tc>
          <w:tcPr>
            <w:tcW w:w="2932" w:type="dxa"/>
            <w:vAlign w:val="center"/>
          </w:tcPr>
          <w:p w14:paraId="5AA04452" w14:textId="35D45F2A" w:rsidR="002B1CD3" w:rsidRDefault="00BD443B">
            <w:pPr>
              <w:spacing w:line="288" w:lineRule="auto"/>
              <w:rPr>
                <w:rFonts w:ascii="仿宋_GB2312" w:eastAsia="仿宋_GB2312" w:hAnsi="仿宋" w:cs="仿宋"/>
                <w:sz w:val="24"/>
              </w:rPr>
            </w:pPr>
            <w:r w:rsidRPr="00BD443B">
              <w:rPr>
                <w:rFonts w:ascii="仿宋_GB2312" w:eastAsia="仿宋_GB2312" w:hAnsi="仿宋" w:cs="仿宋" w:hint="eastAsia"/>
                <w:sz w:val="24"/>
              </w:rPr>
              <w:t>16家管理人单一额度不超过10亿</w:t>
            </w:r>
            <w:r w:rsidR="0015442A">
              <w:rPr>
                <w:rFonts w:ascii="仿宋_GB2312" w:eastAsia="仿宋_GB2312" w:hAnsi="仿宋" w:cs="仿宋" w:hint="eastAsia"/>
                <w:sz w:val="24"/>
              </w:rPr>
              <w:t>，合计不超过1</w:t>
            </w:r>
            <w:r w:rsidR="0015442A">
              <w:rPr>
                <w:rFonts w:ascii="仿宋_GB2312" w:eastAsia="仿宋_GB2312" w:hAnsi="仿宋" w:cs="仿宋"/>
                <w:sz w:val="24"/>
              </w:rPr>
              <w:t>60</w:t>
            </w:r>
            <w:r w:rsidR="0015442A">
              <w:rPr>
                <w:rFonts w:ascii="仿宋_GB2312" w:eastAsia="仿宋_GB2312" w:hAnsi="仿宋" w:cs="仿宋" w:hint="eastAsia"/>
                <w:sz w:val="24"/>
              </w:rPr>
              <w:t>亿</w:t>
            </w:r>
          </w:p>
        </w:tc>
      </w:tr>
      <w:tr w:rsidR="002B1CD3" w14:paraId="48A3ADB7" w14:textId="77777777">
        <w:trPr>
          <w:trHeight w:val="406"/>
          <w:jc w:val="center"/>
        </w:trPr>
        <w:tc>
          <w:tcPr>
            <w:tcW w:w="2451" w:type="dxa"/>
            <w:gridSpan w:val="2"/>
            <w:vAlign w:val="center"/>
          </w:tcPr>
          <w:p w14:paraId="665977F3" w14:textId="77777777" w:rsidR="002B1CD3" w:rsidRDefault="001706B2">
            <w:pPr>
              <w:spacing w:line="276" w:lineRule="auto"/>
              <w:rPr>
                <w:rFonts w:ascii="仿宋_GB2312" w:eastAsia="仿宋_GB2312" w:hAnsi="仿宋" w:cs="仿宋"/>
                <w:b/>
                <w:sz w:val="24"/>
              </w:rPr>
            </w:pPr>
            <w:r>
              <w:rPr>
                <w:rFonts w:ascii="仿宋_GB2312" w:eastAsia="仿宋_GB2312" w:hAnsi="仿宋" w:cs="仿宋" w:hint="eastAsia"/>
                <w:b/>
                <w:sz w:val="24"/>
              </w:rPr>
              <w:t>发起部门</w:t>
            </w:r>
          </w:p>
        </w:tc>
        <w:tc>
          <w:tcPr>
            <w:tcW w:w="2909" w:type="dxa"/>
            <w:vAlign w:val="center"/>
          </w:tcPr>
          <w:p w14:paraId="115B8D5B" w14:textId="4E95FEC8" w:rsidR="002B1CD3" w:rsidRDefault="001706B2">
            <w:pPr>
              <w:spacing w:line="288" w:lineRule="auto"/>
              <w:rPr>
                <w:rFonts w:ascii="仿宋_GB2312" w:eastAsia="仿宋_GB2312" w:hAnsi="仿宋" w:cs="仿宋"/>
                <w:sz w:val="24"/>
              </w:rPr>
            </w:pPr>
            <w:r>
              <w:rPr>
                <w:rFonts w:ascii="仿宋_GB2312" w:eastAsia="仿宋_GB2312" w:hAnsi="仿宋" w:cs="仿宋" w:hint="eastAsia"/>
                <w:sz w:val="24"/>
              </w:rPr>
              <w:t>固定收益部</w:t>
            </w:r>
            <w:r w:rsidR="00893C2E">
              <w:rPr>
                <w:rFonts w:ascii="仿宋_GB2312" w:eastAsia="仿宋_GB2312" w:hAnsi="仿宋" w:cs="仿宋" w:hint="eastAsia"/>
                <w:sz w:val="24"/>
              </w:rPr>
              <w:t>、股票投资部</w:t>
            </w:r>
          </w:p>
        </w:tc>
        <w:tc>
          <w:tcPr>
            <w:tcW w:w="2428" w:type="dxa"/>
            <w:vAlign w:val="center"/>
          </w:tcPr>
          <w:p w14:paraId="004A9B01" w14:textId="77777777" w:rsidR="002B1CD3" w:rsidRDefault="001706B2">
            <w:pPr>
              <w:spacing w:line="288" w:lineRule="auto"/>
              <w:rPr>
                <w:rFonts w:ascii="仿宋_GB2312" w:eastAsia="仿宋_GB2312" w:hAnsi="仿宋" w:cs="仿宋"/>
                <w:sz w:val="24"/>
              </w:rPr>
            </w:pPr>
            <w:r>
              <w:rPr>
                <w:rFonts w:ascii="仿宋_GB2312" w:eastAsia="仿宋_GB2312" w:hAnsi="仿宋" w:cs="仿宋" w:hint="eastAsia"/>
                <w:b/>
                <w:sz w:val="24"/>
              </w:rPr>
              <w:t>发起人</w:t>
            </w:r>
          </w:p>
        </w:tc>
        <w:tc>
          <w:tcPr>
            <w:tcW w:w="2932" w:type="dxa"/>
            <w:vAlign w:val="center"/>
          </w:tcPr>
          <w:p w14:paraId="492918A7" w14:textId="2BCF5E3E" w:rsidR="002B1CD3" w:rsidRDefault="002D018C">
            <w:pPr>
              <w:spacing w:line="288" w:lineRule="auto"/>
              <w:rPr>
                <w:rFonts w:ascii="仿宋_GB2312" w:eastAsia="仿宋_GB2312" w:hAnsi="仿宋" w:cs="仿宋"/>
                <w:sz w:val="24"/>
              </w:rPr>
            </w:pPr>
            <w:r>
              <w:rPr>
                <w:rFonts w:ascii="仿宋_GB2312" w:eastAsia="仿宋_GB2312" w:hAnsi="仿宋" w:cs="仿宋" w:hint="eastAsia"/>
                <w:sz w:val="24"/>
              </w:rPr>
              <w:t>彭程</w:t>
            </w:r>
            <w:r w:rsidR="00893C2E">
              <w:rPr>
                <w:rFonts w:ascii="仿宋_GB2312" w:eastAsia="仿宋_GB2312" w:hAnsi="仿宋" w:cs="仿宋" w:hint="eastAsia"/>
                <w:sz w:val="24"/>
              </w:rPr>
              <w:t>、周欣宇</w:t>
            </w:r>
          </w:p>
        </w:tc>
      </w:tr>
      <w:tr w:rsidR="002B1CD3" w14:paraId="35D6DA88" w14:textId="77777777">
        <w:trPr>
          <w:trHeight w:val="611"/>
          <w:jc w:val="center"/>
        </w:trPr>
        <w:tc>
          <w:tcPr>
            <w:tcW w:w="2451" w:type="dxa"/>
            <w:gridSpan w:val="2"/>
            <w:tcBorders>
              <w:top w:val="single" w:sz="4" w:space="0" w:color="auto"/>
              <w:bottom w:val="single" w:sz="4" w:space="0" w:color="auto"/>
            </w:tcBorders>
            <w:vAlign w:val="center"/>
          </w:tcPr>
          <w:p w14:paraId="4A4C0EAF" w14:textId="77777777" w:rsidR="002B1CD3" w:rsidRDefault="001706B2">
            <w:pPr>
              <w:spacing w:line="276" w:lineRule="auto"/>
              <w:rPr>
                <w:rFonts w:ascii="仿宋_GB2312" w:eastAsia="仿宋_GB2312" w:hAnsi="宋体"/>
                <w:b/>
                <w:sz w:val="24"/>
              </w:rPr>
            </w:pPr>
            <w:r>
              <w:rPr>
                <w:rFonts w:ascii="仿宋_GB2312" w:eastAsia="仿宋_GB2312" w:hAnsi="宋体" w:hint="eastAsia"/>
                <w:b/>
                <w:sz w:val="24"/>
              </w:rPr>
              <w:t>业务品种</w:t>
            </w:r>
          </w:p>
        </w:tc>
        <w:tc>
          <w:tcPr>
            <w:tcW w:w="8269" w:type="dxa"/>
            <w:gridSpan w:val="3"/>
            <w:tcBorders>
              <w:top w:val="single" w:sz="4" w:space="0" w:color="auto"/>
              <w:bottom w:val="single" w:sz="4" w:space="0" w:color="auto"/>
            </w:tcBorders>
            <w:vAlign w:val="center"/>
          </w:tcPr>
          <w:p w14:paraId="62DC3B2B" w14:textId="046D1098" w:rsidR="002B1CD3" w:rsidRPr="003B18AC" w:rsidRDefault="001706B2">
            <w:pPr>
              <w:rPr>
                <w:rFonts w:ascii="楷体" w:eastAsia="楷体" w:hAnsi="楷体"/>
                <w:bCs/>
                <w:sz w:val="24"/>
              </w:rPr>
            </w:pPr>
            <w:r w:rsidRPr="003B18AC">
              <w:rPr>
                <w:rFonts w:ascii="楷体" w:eastAsia="楷体" w:hAnsi="楷体" w:hint="eastAsia"/>
                <w:bCs/>
                <w:sz w:val="24"/>
              </w:rPr>
              <w:t>标准化C类业务，</w:t>
            </w:r>
            <w:r w:rsidR="00846CC4" w:rsidRPr="003B18AC">
              <w:rPr>
                <w:rFonts w:ascii="楷体" w:eastAsia="楷体" w:hAnsi="楷体" w:hint="eastAsia"/>
                <w:bCs/>
                <w:sz w:val="24"/>
              </w:rPr>
              <w:t>委外专户</w:t>
            </w:r>
          </w:p>
        </w:tc>
      </w:tr>
      <w:tr w:rsidR="002B1CD3" w14:paraId="274CFE2D" w14:textId="77777777">
        <w:trPr>
          <w:trHeight w:val="1212"/>
          <w:jc w:val="center"/>
        </w:trPr>
        <w:tc>
          <w:tcPr>
            <w:tcW w:w="10720" w:type="dxa"/>
            <w:gridSpan w:val="5"/>
          </w:tcPr>
          <w:p w14:paraId="0E8A5B31" w14:textId="77777777" w:rsidR="002B1CD3" w:rsidRPr="0014756F" w:rsidRDefault="001706B2">
            <w:pPr>
              <w:jc w:val="left"/>
              <w:rPr>
                <w:rFonts w:ascii="仿宋_GB2312" w:eastAsia="仿宋_GB2312" w:hAnsi="仿宋" w:cs="仿宋"/>
                <w:sz w:val="24"/>
              </w:rPr>
            </w:pPr>
            <w:r w:rsidRPr="0014756F">
              <w:rPr>
                <w:rFonts w:ascii="仿宋_GB2312" w:eastAsia="仿宋_GB2312" w:hAnsi="仿宋" w:cs="仿宋" w:hint="eastAsia"/>
                <w:sz w:val="24"/>
              </w:rPr>
              <w:t>标的介绍：</w:t>
            </w:r>
          </w:p>
          <w:p w14:paraId="51390981" w14:textId="01722B43" w:rsidR="00DA229A" w:rsidRDefault="00DA229A">
            <w:pPr>
              <w:spacing w:line="360" w:lineRule="auto"/>
              <w:ind w:firstLineChars="200" w:firstLine="480"/>
              <w:jc w:val="left"/>
              <w:rPr>
                <w:rFonts w:ascii="仿宋_GB2312" w:eastAsia="仿宋_GB2312" w:hAnsi="仿宋" w:cs="仿宋"/>
                <w:sz w:val="24"/>
              </w:rPr>
            </w:pPr>
            <w:r w:rsidRPr="00DA229A">
              <w:rPr>
                <w:rFonts w:ascii="仿宋_GB2312" w:eastAsia="仿宋_GB2312" w:hAnsi="仿宋" w:cs="仿宋" w:hint="eastAsia"/>
                <w:sz w:val="24"/>
              </w:rPr>
              <w:t>固定收益部</w:t>
            </w:r>
            <w:r w:rsidR="00B24841">
              <w:rPr>
                <w:rFonts w:ascii="仿宋_GB2312" w:eastAsia="仿宋_GB2312" w:hAnsi="仿宋" w:cs="仿宋" w:hint="eastAsia"/>
                <w:sz w:val="24"/>
              </w:rPr>
              <w:t>和股票收益部</w:t>
            </w:r>
            <w:r w:rsidRPr="00DA229A">
              <w:rPr>
                <w:rFonts w:ascii="仿宋_GB2312" w:eastAsia="仿宋_GB2312" w:hAnsi="仿宋" w:cs="仿宋" w:hint="eastAsia"/>
                <w:sz w:val="24"/>
              </w:rPr>
              <w:t>拟通过设立可转债组合，委托投资的形式，参与可转债投资</w:t>
            </w:r>
            <w:r>
              <w:rPr>
                <w:rFonts w:ascii="仿宋_GB2312" w:eastAsia="仿宋_GB2312" w:hAnsi="仿宋" w:cs="仿宋" w:hint="eastAsia"/>
                <w:sz w:val="24"/>
              </w:rPr>
              <w:t>。</w:t>
            </w:r>
          </w:p>
          <w:p w14:paraId="4C259A74" w14:textId="58948383" w:rsidR="00DA229A" w:rsidRDefault="00DA229A">
            <w:pPr>
              <w:pStyle w:val="a0"/>
              <w:spacing w:line="360" w:lineRule="auto"/>
              <w:ind w:leftChars="0" w:left="0" w:firstLineChars="200" w:firstLine="480"/>
              <w:rPr>
                <w:rFonts w:ascii="仿宋_GB2312" w:eastAsia="仿宋_GB2312" w:hAnsi="仿宋" w:cs="仿宋"/>
                <w:sz w:val="24"/>
              </w:rPr>
            </w:pPr>
            <w:r w:rsidRPr="00DA229A">
              <w:rPr>
                <w:rFonts w:ascii="仿宋_GB2312" w:eastAsia="仿宋_GB2312" w:hAnsi="仿宋" w:cs="仿宋" w:hint="eastAsia"/>
                <w:sz w:val="24"/>
              </w:rPr>
              <w:t>拟申请通过以下两种形式，参与可转债投资：1. MOM模式，优选数家管理人（例如选取5-8家）作为MOM底层管理人，</w:t>
            </w:r>
            <w:r w:rsidR="00A172DE">
              <w:rPr>
                <w:rFonts w:ascii="仿宋_GB2312" w:eastAsia="仿宋_GB2312" w:hAnsi="仿宋" w:cs="仿宋" w:hint="eastAsia"/>
                <w:sz w:val="24"/>
              </w:rPr>
              <w:t>通过光证资管等机构设立MOM组合，</w:t>
            </w:r>
            <w:r w:rsidRPr="00DA229A">
              <w:rPr>
                <w:rFonts w:ascii="仿宋_GB2312" w:eastAsia="仿宋_GB2312" w:hAnsi="仿宋" w:cs="仿宋" w:hint="eastAsia"/>
                <w:sz w:val="24"/>
              </w:rPr>
              <w:t>由固定收益部管理，光大理财净值类产品通过申赎MOM组合的模式参与可转债投资；2. 专户模式，优选数家管理人（例如选取4-5家）分别成立可转债专户组合，光大理财净值类产品通过分别申赎专户的模式参与可转债投资。</w:t>
            </w:r>
          </w:p>
          <w:p w14:paraId="2454FFFB" w14:textId="52B68A81" w:rsidR="0014756F" w:rsidRDefault="00B24841" w:rsidP="0014756F">
            <w:pPr>
              <w:pStyle w:val="a0"/>
              <w:spacing w:line="360" w:lineRule="auto"/>
              <w:ind w:leftChars="0" w:left="0" w:firstLineChars="200" w:firstLine="480"/>
              <w:rPr>
                <w:rFonts w:ascii="仿宋_GB2312" w:eastAsia="仿宋_GB2312" w:hAnsi="仿宋" w:cs="仿宋"/>
                <w:sz w:val="24"/>
              </w:rPr>
            </w:pPr>
            <w:r>
              <w:rPr>
                <w:rFonts w:ascii="仿宋_GB2312" w:eastAsia="仿宋_GB2312" w:hAnsi="仿宋" w:cs="仿宋" w:hint="eastAsia"/>
                <w:sz w:val="24"/>
              </w:rPr>
              <w:t>固定收益部</w:t>
            </w:r>
            <w:r w:rsidR="0014756F">
              <w:rPr>
                <w:rFonts w:ascii="仿宋_GB2312" w:eastAsia="仿宋_GB2312" w:hAnsi="仿宋" w:cs="仿宋" w:hint="eastAsia"/>
                <w:sz w:val="24"/>
              </w:rPr>
              <w:t>底层策略方面，</w:t>
            </w:r>
            <w:r w:rsidR="00100B0F">
              <w:rPr>
                <w:rFonts w:ascii="仿宋_GB2312" w:eastAsia="仿宋_GB2312" w:hAnsi="仿宋" w:cs="仿宋" w:hint="eastAsia"/>
                <w:sz w:val="24"/>
              </w:rPr>
              <w:t>1</w:t>
            </w:r>
            <w:r w:rsidR="00100B0F">
              <w:rPr>
                <w:rFonts w:ascii="仿宋_GB2312" w:eastAsia="仿宋_GB2312" w:hAnsi="仿宋" w:cs="仿宋"/>
                <w:sz w:val="24"/>
              </w:rPr>
              <w:t>.</w:t>
            </w:r>
            <w:r w:rsidR="0014756F" w:rsidRPr="0014756F">
              <w:rPr>
                <w:rFonts w:ascii="仿宋_GB2312" w:eastAsia="仿宋_GB2312" w:hAnsi="仿宋" w:cs="仿宋" w:hint="eastAsia"/>
                <w:sz w:val="24"/>
              </w:rPr>
              <w:t>可转换公司债券的投资规模合计不低于组合净资产的80%</w:t>
            </w:r>
            <w:r w:rsidR="0060026D">
              <w:rPr>
                <w:rFonts w:ascii="仿宋_GB2312" w:eastAsia="仿宋_GB2312" w:hAnsi="仿宋" w:cs="仿宋" w:hint="eastAsia"/>
                <w:sz w:val="24"/>
              </w:rPr>
              <w:t>；</w:t>
            </w:r>
            <w:r w:rsidR="00100B0F">
              <w:rPr>
                <w:rFonts w:ascii="仿宋_GB2312" w:eastAsia="仿宋_GB2312" w:hAnsi="仿宋" w:cs="仿宋" w:hint="eastAsia"/>
                <w:sz w:val="24"/>
              </w:rPr>
              <w:t>2</w:t>
            </w:r>
            <w:r w:rsidR="00100B0F">
              <w:rPr>
                <w:rFonts w:ascii="仿宋_GB2312" w:eastAsia="仿宋_GB2312" w:hAnsi="仿宋" w:cs="仿宋"/>
                <w:sz w:val="24"/>
              </w:rPr>
              <w:t>.</w:t>
            </w:r>
            <w:r w:rsidR="001D356C">
              <w:rPr>
                <w:rFonts w:ascii="仿宋_GB2312" w:eastAsia="仿宋_GB2312" w:hAnsi="仿宋" w:cs="仿宋" w:hint="eastAsia"/>
                <w:sz w:val="24"/>
              </w:rPr>
              <w:t>可投资于利率债品</w:t>
            </w:r>
            <w:r w:rsidR="0060026D">
              <w:rPr>
                <w:rFonts w:ascii="仿宋_GB2312" w:eastAsia="仿宋_GB2312" w:hAnsi="仿宋" w:cs="仿宋" w:hint="eastAsia"/>
                <w:sz w:val="24"/>
              </w:rPr>
              <w:t>种；</w:t>
            </w:r>
            <w:r w:rsidR="00100B0F">
              <w:rPr>
                <w:rFonts w:ascii="仿宋_GB2312" w:eastAsia="仿宋_GB2312" w:hAnsi="仿宋" w:cs="仿宋" w:hint="eastAsia"/>
                <w:sz w:val="24"/>
              </w:rPr>
              <w:t>3</w:t>
            </w:r>
            <w:r w:rsidR="00100B0F">
              <w:rPr>
                <w:rFonts w:ascii="仿宋_GB2312" w:eastAsia="仿宋_GB2312" w:hAnsi="仿宋" w:cs="仿宋"/>
                <w:sz w:val="24"/>
              </w:rPr>
              <w:t>.</w:t>
            </w:r>
            <w:r w:rsidR="0014756F" w:rsidRPr="0014756F">
              <w:rPr>
                <w:rFonts w:ascii="仿宋_GB2312" w:eastAsia="仿宋_GB2312" w:hAnsi="仿宋" w:cs="仿宋" w:hint="eastAsia"/>
                <w:sz w:val="24"/>
              </w:rPr>
              <w:t>除可转换公司债券外，不投资于其他信用类债券</w:t>
            </w:r>
            <w:r w:rsidR="008C5F8C">
              <w:rPr>
                <w:rFonts w:ascii="仿宋_GB2312" w:eastAsia="仿宋_GB2312" w:hAnsi="仿宋" w:cs="仿宋" w:hint="eastAsia"/>
                <w:sz w:val="24"/>
              </w:rPr>
              <w:t>，确保该策略专注于可转债市场</w:t>
            </w:r>
            <w:r w:rsidR="0014756F" w:rsidRPr="0014756F">
              <w:rPr>
                <w:rFonts w:ascii="仿宋_GB2312" w:eastAsia="仿宋_GB2312" w:hAnsi="仿宋" w:cs="仿宋" w:hint="eastAsia"/>
                <w:sz w:val="24"/>
              </w:rPr>
              <w:t>。</w:t>
            </w:r>
          </w:p>
          <w:p w14:paraId="3FEC6010" w14:textId="43A3344F" w:rsidR="00B24841" w:rsidRPr="00B24841" w:rsidRDefault="00B24841" w:rsidP="00B24841">
            <w:r>
              <w:rPr>
                <w:rFonts w:hint="eastAsia"/>
              </w:rPr>
              <w:t xml:space="preserve"> </w:t>
            </w:r>
            <w:r>
              <w:t xml:space="preserve">    </w:t>
            </w:r>
            <w:r w:rsidRPr="009B4AB4">
              <w:rPr>
                <w:rFonts w:ascii="仿宋_GB2312" w:eastAsia="仿宋_GB2312" w:hAnsi="仿宋" w:cs="仿宋" w:hint="eastAsia"/>
                <w:sz w:val="24"/>
                <w:highlight w:val="yellow"/>
              </w:rPr>
              <w:t>股票投资部底层策略方面，1</w:t>
            </w:r>
            <w:r w:rsidRPr="009B4AB4">
              <w:rPr>
                <w:rFonts w:ascii="仿宋_GB2312" w:eastAsia="仿宋_GB2312" w:hAnsi="仿宋" w:cs="仿宋"/>
                <w:sz w:val="24"/>
                <w:highlight w:val="yellow"/>
              </w:rPr>
              <w:t xml:space="preserve">. </w:t>
            </w:r>
            <w:r w:rsidRPr="009B4AB4">
              <w:rPr>
                <w:rFonts w:ascii="仿宋_GB2312" w:eastAsia="仿宋_GB2312" w:hAnsi="仿宋" w:cs="仿宋" w:hint="eastAsia"/>
                <w:sz w:val="24"/>
                <w:highlight w:val="yellow"/>
              </w:rPr>
              <w:t>可转换公司债券和可交换债券的投资规模合计不高于组合净资产的5</w:t>
            </w:r>
            <w:r w:rsidRPr="009B4AB4">
              <w:rPr>
                <w:rFonts w:ascii="仿宋_GB2312" w:eastAsia="仿宋_GB2312" w:hAnsi="仿宋" w:cs="仿宋"/>
                <w:sz w:val="24"/>
                <w:highlight w:val="yellow"/>
              </w:rPr>
              <w:t>0%</w:t>
            </w:r>
            <w:r w:rsidRPr="009B4AB4">
              <w:rPr>
                <w:rFonts w:ascii="仿宋_GB2312" w:eastAsia="仿宋_GB2312" w:hAnsi="仿宋" w:cs="仿宋" w:hint="eastAsia"/>
                <w:sz w:val="24"/>
                <w:highlight w:val="yellow"/>
              </w:rPr>
              <w:t>；2</w:t>
            </w:r>
            <w:r w:rsidRPr="009B4AB4">
              <w:rPr>
                <w:rFonts w:ascii="仿宋_GB2312" w:eastAsia="仿宋_GB2312" w:hAnsi="仿宋" w:cs="仿宋"/>
                <w:sz w:val="24"/>
                <w:highlight w:val="yellow"/>
              </w:rPr>
              <w:t xml:space="preserve">. </w:t>
            </w:r>
            <w:r w:rsidR="00661765" w:rsidRPr="009B4AB4">
              <w:rPr>
                <w:rFonts w:ascii="仿宋_GB2312" w:eastAsia="仿宋_GB2312" w:hAnsi="仿宋" w:cs="仿宋" w:hint="eastAsia"/>
                <w:sz w:val="24"/>
                <w:highlight w:val="yellow"/>
              </w:rPr>
              <w:t>股票、可转换公司债券和可交换债券的投资规模不高于组合净资产的</w:t>
            </w:r>
            <w:r w:rsidR="00661765" w:rsidRPr="009B4AB4">
              <w:rPr>
                <w:rFonts w:ascii="仿宋_GB2312" w:eastAsia="仿宋_GB2312" w:hAnsi="仿宋" w:cs="仿宋"/>
                <w:sz w:val="24"/>
                <w:highlight w:val="yellow"/>
              </w:rPr>
              <w:t>50%</w:t>
            </w:r>
            <w:r w:rsidR="00661765" w:rsidRPr="009B4AB4">
              <w:rPr>
                <w:rFonts w:ascii="仿宋_GB2312" w:eastAsia="仿宋_GB2312" w:hAnsi="仿宋" w:cs="仿宋" w:hint="eastAsia"/>
                <w:sz w:val="24"/>
                <w:highlight w:val="yellow"/>
              </w:rPr>
              <w:t>；3</w:t>
            </w:r>
            <w:r w:rsidR="00661765" w:rsidRPr="009B4AB4">
              <w:rPr>
                <w:rFonts w:ascii="仿宋_GB2312" w:eastAsia="仿宋_GB2312" w:hAnsi="仿宋" w:cs="仿宋"/>
                <w:sz w:val="24"/>
                <w:highlight w:val="yellow"/>
              </w:rPr>
              <w:t xml:space="preserve">. </w:t>
            </w:r>
            <w:r w:rsidR="00661765" w:rsidRPr="009B4AB4">
              <w:rPr>
                <w:rFonts w:ascii="仿宋_GB2312" w:eastAsia="仿宋_GB2312" w:hAnsi="仿宋" w:cs="仿宋" w:hint="eastAsia"/>
                <w:sz w:val="24"/>
                <w:highlight w:val="yellow"/>
              </w:rPr>
              <w:t>股票的投资规模不高于组合净资产的2</w:t>
            </w:r>
            <w:r w:rsidR="00661765" w:rsidRPr="009B4AB4">
              <w:rPr>
                <w:rFonts w:ascii="仿宋_GB2312" w:eastAsia="仿宋_GB2312" w:hAnsi="仿宋" w:cs="仿宋"/>
                <w:sz w:val="24"/>
                <w:highlight w:val="yellow"/>
              </w:rPr>
              <w:t>0%</w:t>
            </w:r>
            <w:r w:rsidR="00661765" w:rsidRPr="009B4AB4">
              <w:rPr>
                <w:rFonts w:ascii="仿宋_GB2312" w:eastAsia="仿宋_GB2312" w:hAnsi="仿宋" w:cs="仿宋" w:hint="eastAsia"/>
                <w:sz w:val="24"/>
                <w:highlight w:val="yellow"/>
              </w:rPr>
              <w:t>；4</w:t>
            </w:r>
            <w:r w:rsidR="00661765" w:rsidRPr="009B4AB4">
              <w:rPr>
                <w:rFonts w:ascii="仿宋_GB2312" w:eastAsia="仿宋_GB2312" w:hAnsi="仿宋" w:cs="仿宋"/>
                <w:sz w:val="24"/>
                <w:highlight w:val="yellow"/>
              </w:rPr>
              <w:t>.</w:t>
            </w:r>
            <w:r w:rsidRPr="009B4AB4">
              <w:rPr>
                <w:rFonts w:ascii="仿宋_GB2312" w:eastAsia="仿宋_GB2312" w:hAnsi="仿宋" w:cs="仿宋" w:hint="eastAsia"/>
                <w:sz w:val="24"/>
                <w:highlight w:val="yellow"/>
              </w:rPr>
              <w:t>可投资于利率债、</w:t>
            </w:r>
            <w:r w:rsidR="00661765" w:rsidRPr="009B4AB4">
              <w:rPr>
                <w:rFonts w:ascii="仿宋_GB2312" w:eastAsia="仿宋_GB2312" w:hAnsi="仿宋" w:cs="仿宋" w:hint="eastAsia"/>
                <w:sz w:val="24"/>
                <w:highlight w:val="yellow"/>
              </w:rPr>
              <w:t>商业银行金融债、商业银行二级资本债、商业银行永续债、银行大额存单。</w:t>
            </w:r>
            <w:r w:rsidR="009B4AB4" w:rsidRPr="009B4AB4">
              <w:rPr>
                <w:rFonts w:ascii="仿宋_GB2312" w:eastAsia="仿宋_GB2312" w:hAnsi="仿宋" w:cs="仿宋" w:hint="eastAsia"/>
                <w:sz w:val="24"/>
                <w:highlight w:val="yellow"/>
              </w:rPr>
              <w:t>5</w:t>
            </w:r>
            <w:r w:rsidR="009B4AB4" w:rsidRPr="009B4AB4">
              <w:rPr>
                <w:rFonts w:ascii="仿宋_GB2312" w:eastAsia="仿宋_GB2312" w:hAnsi="仿宋" w:cs="仿宋"/>
                <w:sz w:val="24"/>
                <w:highlight w:val="yellow"/>
              </w:rPr>
              <w:t>.</w:t>
            </w:r>
            <w:r w:rsidR="009B4AB4" w:rsidRPr="009B4AB4">
              <w:rPr>
                <w:rFonts w:ascii="仿宋_GB2312" w:eastAsia="仿宋_GB2312" w:hAnsi="仿宋" w:cs="仿宋" w:hint="eastAsia"/>
                <w:sz w:val="24"/>
                <w:highlight w:val="yellow"/>
              </w:rPr>
              <w:t>可投资于国债期货和股指期货</w:t>
            </w:r>
            <w:r w:rsidR="00E24754">
              <w:rPr>
                <w:rFonts w:ascii="仿宋_GB2312" w:eastAsia="仿宋_GB2312" w:hAnsi="仿宋" w:cs="仿宋" w:hint="eastAsia"/>
                <w:sz w:val="24"/>
                <w:highlight w:val="yellow"/>
              </w:rPr>
              <w:t>，只用于对冲风险、</w:t>
            </w:r>
            <w:r w:rsidR="009B4AB4" w:rsidRPr="009B4AB4">
              <w:rPr>
                <w:rFonts w:ascii="仿宋_GB2312" w:eastAsia="仿宋_GB2312" w:hAnsi="仿宋" w:cs="仿宋" w:hint="eastAsia"/>
                <w:sz w:val="24"/>
                <w:highlight w:val="yellow"/>
              </w:rPr>
              <w:t>套期保值，合约价值不超过净资产的2</w:t>
            </w:r>
            <w:r w:rsidR="009B4AB4" w:rsidRPr="009B4AB4">
              <w:rPr>
                <w:rFonts w:ascii="仿宋_GB2312" w:eastAsia="仿宋_GB2312" w:hAnsi="仿宋" w:cs="仿宋"/>
                <w:sz w:val="24"/>
                <w:highlight w:val="yellow"/>
              </w:rPr>
              <w:t>0%</w:t>
            </w:r>
          </w:p>
          <w:p w14:paraId="579B72A9" w14:textId="1DA13D1F" w:rsidR="00893C2E" w:rsidRPr="00B24841" w:rsidRDefault="001706B2" w:rsidP="00540503">
            <w:pPr>
              <w:pStyle w:val="a0"/>
              <w:spacing w:line="360" w:lineRule="auto"/>
              <w:ind w:leftChars="0" w:left="0" w:firstLineChars="200" w:firstLine="480"/>
            </w:pPr>
            <w:r>
              <w:rPr>
                <w:rFonts w:ascii="仿宋_GB2312" w:eastAsia="仿宋_GB2312" w:hAnsi="仿宋" w:cs="仿宋" w:hint="eastAsia"/>
                <w:sz w:val="24"/>
              </w:rPr>
              <w:t>本次申请</w:t>
            </w:r>
            <w:r w:rsidR="0037079D">
              <w:rPr>
                <w:rFonts w:ascii="仿宋_GB2312" w:eastAsia="仿宋_GB2312" w:hAnsi="仿宋" w:cs="仿宋" w:hint="eastAsia"/>
                <w:sz w:val="24"/>
              </w:rPr>
              <w:t>准入</w:t>
            </w:r>
            <w:r>
              <w:rPr>
                <w:rFonts w:ascii="仿宋_GB2312" w:eastAsia="仿宋_GB2312" w:hAnsi="仿宋" w:cs="仿宋" w:hint="eastAsia"/>
                <w:sz w:val="24"/>
              </w:rPr>
              <w:t>的管理人基本</w:t>
            </w:r>
            <w:r w:rsidR="0014756F">
              <w:rPr>
                <w:rFonts w:ascii="仿宋_GB2312" w:eastAsia="仿宋_GB2312" w:hAnsi="仿宋" w:cs="仿宋" w:hint="eastAsia"/>
                <w:sz w:val="24"/>
              </w:rPr>
              <w:t>为公募基金和</w:t>
            </w:r>
            <w:r>
              <w:rPr>
                <w:rFonts w:ascii="仿宋_GB2312" w:eastAsia="仿宋_GB2312" w:hAnsi="仿宋" w:cs="仿宋" w:hint="eastAsia"/>
                <w:sz w:val="24"/>
              </w:rPr>
              <w:t>资管行业的头部机构，包括</w:t>
            </w:r>
            <w:r w:rsidR="0014756F" w:rsidRPr="0014756F">
              <w:rPr>
                <w:rFonts w:ascii="仿宋_GB2312" w:eastAsia="仿宋_GB2312" w:hAnsi="仿宋" w:cs="仿宋" w:hint="eastAsia"/>
                <w:sz w:val="24"/>
              </w:rPr>
              <w:t>中信资管</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富国基金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中欧基金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华夏基金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汇添富基金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博时基金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广发基金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泰康资管</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国泰基金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南方基金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易方达</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嘉实基金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光大保德信</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国君资管</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鹏华基金</w:t>
            </w:r>
            <w:r w:rsidR="0014756F">
              <w:rPr>
                <w:rFonts w:ascii="仿宋_GB2312" w:eastAsia="仿宋_GB2312" w:hAnsi="仿宋" w:cs="仿宋" w:hint="eastAsia"/>
                <w:sz w:val="24"/>
              </w:rPr>
              <w:t>、</w:t>
            </w:r>
            <w:r w:rsidR="0014756F" w:rsidRPr="0014756F">
              <w:rPr>
                <w:rFonts w:ascii="仿宋_GB2312" w:eastAsia="仿宋_GB2312" w:hAnsi="仿宋" w:cs="仿宋" w:hint="eastAsia"/>
                <w:sz w:val="24"/>
              </w:rPr>
              <w:t>上投摩根</w:t>
            </w:r>
            <w:r w:rsidR="0014756F">
              <w:rPr>
                <w:rFonts w:ascii="仿宋_GB2312" w:eastAsia="仿宋_GB2312" w:hAnsi="仿宋" w:cs="仿宋" w:hint="eastAsia"/>
                <w:sz w:val="24"/>
              </w:rPr>
              <w:t>等1</w:t>
            </w:r>
            <w:r w:rsidR="0014756F">
              <w:rPr>
                <w:rFonts w:ascii="仿宋_GB2312" w:eastAsia="仿宋_GB2312" w:hAnsi="仿宋" w:cs="仿宋"/>
                <w:sz w:val="24"/>
              </w:rPr>
              <w:t>6</w:t>
            </w:r>
            <w:r>
              <w:rPr>
                <w:rFonts w:ascii="仿宋_GB2312" w:eastAsia="仿宋_GB2312" w:hAnsi="仿宋" w:cs="仿宋" w:hint="eastAsia"/>
                <w:sz w:val="24"/>
              </w:rPr>
              <w:t>家机构，均在我司合作机构名单内。申请</w:t>
            </w:r>
            <w:r w:rsidR="00F55FAE">
              <w:rPr>
                <w:rFonts w:ascii="仿宋_GB2312" w:eastAsia="仿宋_GB2312" w:hAnsi="仿宋" w:cs="仿宋" w:hint="eastAsia"/>
                <w:sz w:val="24"/>
              </w:rPr>
              <w:t>委托于</w:t>
            </w:r>
            <w:r>
              <w:rPr>
                <w:rFonts w:ascii="仿宋_GB2312" w:eastAsia="仿宋_GB2312" w:hAnsi="仿宋" w:cs="仿宋" w:hint="eastAsia"/>
                <w:sz w:val="24"/>
              </w:rPr>
              <w:t>每家机构</w:t>
            </w:r>
            <w:r w:rsidR="00F55FAE">
              <w:rPr>
                <w:rFonts w:ascii="仿宋_GB2312" w:eastAsia="仿宋_GB2312" w:hAnsi="仿宋" w:cs="仿宋" w:hint="eastAsia"/>
                <w:sz w:val="24"/>
              </w:rPr>
              <w:t>的转债策略组合规模不超过1</w:t>
            </w:r>
            <w:r w:rsidR="00F55FAE">
              <w:rPr>
                <w:rFonts w:ascii="仿宋_GB2312" w:eastAsia="仿宋_GB2312" w:hAnsi="仿宋" w:cs="仿宋"/>
                <w:sz w:val="24"/>
              </w:rPr>
              <w:t>0</w:t>
            </w:r>
            <w:r w:rsidR="00F55FAE">
              <w:rPr>
                <w:rFonts w:ascii="仿宋_GB2312" w:eastAsia="仿宋_GB2312" w:hAnsi="仿宋" w:cs="仿宋" w:hint="eastAsia"/>
                <w:sz w:val="24"/>
              </w:rPr>
              <w:t>亿</w:t>
            </w:r>
            <w:r>
              <w:rPr>
                <w:rFonts w:ascii="仿宋_GB2312" w:eastAsia="仿宋_GB2312" w:hAnsi="仿宋" w:cs="仿宋" w:hint="eastAsia"/>
                <w:sz w:val="24"/>
              </w:rPr>
              <w:t>，具体</w:t>
            </w:r>
            <w:r w:rsidR="00F55FAE">
              <w:rPr>
                <w:rFonts w:ascii="仿宋_GB2312" w:eastAsia="仿宋_GB2312" w:hAnsi="仿宋" w:cs="仿宋" w:hint="eastAsia"/>
                <w:sz w:val="24"/>
              </w:rPr>
              <w:t>投资策略</w:t>
            </w:r>
            <w:r>
              <w:rPr>
                <w:rFonts w:ascii="仿宋_GB2312" w:eastAsia="仿宋_GB2312" w:hAnsi="仿宋" w:cs="仿宋" w:hint="eastAsia"/>
                <w:sz w:val="24"/>
              </w:rPr>
              <w:t>、</w:t>
            </w:r>
            <w:r w:rsidR="00F55FAE">
              <w:rPr>
                <w:rFonts w:ascii="仿宋_GB2312" w:eastAsia="仿宋_GB2312" w:hAnsi="仿宋" w:cs="仿宋" w:hint="eastAsia"/>
                <w:sz w:val="24"/>
              </w:rPr>
              <w:t>管理人遴选流程等</w:t>
            </w:r>
            <w:r>
              <w:rPr>
                <w:rFonts w:ascii="仿宋_GB2312" w:eastAsia="仿宋_GB2312" w:hAnsi="仿宋" w:cs="仿宋" w:hint="eastAsia"/>
                <w:sz w:val="24"/>
              </w:rPr>
              <w:t>分析详见《尽调报告》。</w:t>
            </w:r>
          </w:p>
          <w:p w14:paraId="23411835" w14:textId="759F306B" w:rsidR="002B1CD3" w:rsidRDefault="00540503">
            <w:pPr>
              <w:spacing w:line="360" w:lineRule="auto"/>
              <w:ind w:firstLineChars="200" w:firstLine="480"/>
              <w:rPr>
                <w:rFonts w:ascii="仿宋_GB2312" w:eastAsia="仿宋_GB2312" w:hAnsi="仿宋" w:cs="仿宋"/>
                <w:sz w:val="24"/>
              </w:rPr>
            </w:pPr>
            <w:r>
              <w:rPr>
                <w:rFonts w:ascii="仿宋_GB2312" w:eastAsia="仿宋_GB2312" w:hAnsi="仿宋" w:cs="仿宋" w:hint="eastAsia"/>
                <w:sz w:val="24"/>
              </w:rPr>
              <w:t>固定收益部门</w:t>
            </w:r>
            <w:r w:rsidR="001706B2">
              <w:rPr>
                <w:rFonts w:ascii="仿宋_GB2312" w:eastAsia="仿宋_GB2312" w:hAnsi="仿宋" w:cs="仿宋" w:hint="eastAsia"/>
                <w:sz w:val="24"/>
              </w:rPr>
              <w:t>本次申请</w:t>
            </w:r>
            <w:r w:rsidR="001D356C">
              <w:rPr>
                <w:rFonts w:ascii="仿宋_GB2312" w:eastAsia="仿宋_GB2312" w:hAnsi="仿宋" w:cs="仿宋" w:hint="eastAsia"/>
                <w:sz w:val="24"/>
              </w:rPr>
              <w:t>以委托投资的形式，参与可转债投资，</w:t>
            </w:r>
            <w:r w:rsidR="001706B2">
              <w:rPr>
                <w:rFonts w:ascii="仿宋_GB2312" w:eastAsia="仿宋_GB2312" w:hAnsi="仿宋" w:cs="仿宋" w:hint="eastAsia"/>
                <w:sz w:val="24"/>
              </w:rPr>
              <w:t>主要基于以下几方面投资诉求：第一，</w:t>
            </w:r>
            <w:r w:rsidR="001D356C" w:rsidRPr="001D356C">
              <w:rPr>
                <w:rFonts w:ascii="仿宋_GB2312" w:eastAsia="仿宋_GB2312" w:hAnsi="仿宋" w:cs="仿宋" w:hint="eastAsia"/>
                <w:sz w:val="24"/>
              </w:rPr>
              <w:t>转债市场规模较大，可投资标的丰富，涉及行业多元化，在大类资产上已经是固定收益投资中不可忽视的部分</w:t>
            </w:r>
            <w:r w:rsidR="001D356C">
              <w:rPr>
                <w:rFonts w:ascii="仿宋_GB2312" w:eastAsia="仿宋_GB2312" w:hAnsi="仿宋" w:cs="仿宋" w:hint="eastAsia"/>
                <w:sz w:val="24"/>
              </w:rPr>
              <w:t>，</w:t>
            </w:r>
            <w:r w:rsidR="001D356C" w:rsidRPr="001D356C">
              <w:rPr>
                <w:rFonts w:ascii="仿宋_GB2312" w:eastAsia="仿宋_GB2312" w:hAnsi="仿宋" w:cs="仿宋" w:hint="eastAsia"/>
                <w:sz w:val="24"/>
              </w:rPr>
              <w:t>不仅有略高于普通债券的平均回报，还有不同于普通债券和股票的风险收益特征</w:t>
            </w:r>
            <w:r w:rsidR="001D356C">
              <w:rPr>
                <w:rFonts w:ascii="仿宋_GB2312" w:eastAsia="仿宋_GB2312" w:hAnsi="仿宋" w:cs="仿宋" w:hint="eastAsia"/>
                <w:sz w:val="24"/>
              </w:rPr>
              <w:t>，具有较高的投资价值</w:t>
            </w:r>
            <w:r w:rsidR="001706B2">
              <w:rPr>
                <w:rFonts w:ascii="仿宋_GB2312" w:eastAsia="仿宋_GB2312" w:hAnsi="仿宋" w:cs="仿宋" w:hint="eastAsia"/>
                <w:sz w:val="24"/>
              </w:rPr>
              <w:t>。第二，</w:t>
            </w:r>
            <w:r w:rsidR="001D356C">
              <w:rPr>
                <w:rFonts w:ascii="仿宋_GB2312" w:eastAsia="仿宋_GB2312" w:hAnsi="仿宋" w:cs="仿宋" w:hint="eastAsia"/>
                <w:sz w:val="24"/>
              </w:rPr>
              <w:t>可转债在我司大部分产品的投资范围内，</w:t>
            </w:r>
            <w:r w:rsidR="001D356C" w:rsidRPr="001D356C">
              <w:rPr>
                <w:rFonts w:ascii="仿宋_GB2312" w:eastAsia="仿宋_GB2312" w:hAnsi="仿宋" w:cs="仿宋" w:hint="eastAsia"/>
                <w:sz w:val="24"/>
              </w:rPr>
              <w:t>随着固定收益部及相关投资部门</w:t>
            </w:r>
            <w:r w:rsidR="001D356C" w:rsidRPr="001D356C">
              <w:rPr>
                <w:rFonts w:ascii="仿宋_GB2312" w:eastAsia="仿宋_GB2312" w:hAnsi="仿宋" w:cs="仿宋" w:hint="eastAsia"/>
                <w:sz w:val="24"/>
              </w:rPr>
              <w:lastRenderedPageBreak/>
              <w:t>管理的阳光金添利、阳光金增利、阳光橙等系列理财产品逐步丰富、规模扩大，为了更好扩大投向，增厚产品投资业绩，产品有较强配置可转债需求</w:t>
            </w:r>
            <w:r w:rsidR="001706B2">
              <w:rPr>
                <w:rFonts w:ascii="仿宋_GB2312" w:eastAsia="仿宋_GB2312" w:hAnsi="仿宋" w:cs="仿宋" w:hint="eastAsia"/>
                <w:sz w:val="24"/>
              </w:rPr>
              <w:t>。第三，</w:t>
            </w:r>
            <w:r w:rsidR="001D356C">
              <w:rPr>
                <w:rFonts w:ascii="仿宋_GB2312" w:eastAsia="仿宋_GB2312" w:hAnsi="仿宋" w:cs="仿宋" w:hint="eastAsia"/>
                <w:sz w:val="24"/>
              </w:rPr>
              <w:t>可转债市场标的众多，影响因素相对复杂，投资可转债对研究支持的要求较高，委托投资的形式能够更高效地参与到该市场中</w:t>
            </w:r>
            <w:r w:rsidR="001706B2">
              <w:rPr>
                <w:rFonts w:ascii="仿宋_GB2312" w:eastAsia="仿宋_GB2312" w:hAnsi="仿宋" w:cs="仿宋" w:hint="eastAsia"/>
                <w:sz w:val="24"/>
              </w:rPr>
              <w:t>。</w:t>
            </w:r>
          </w:p>
          <w:p w14:paraId="771167FD" w14:textId="1DC2D437" w:rsidR="00540503" w:rsidRPr="00F23802" w:rsidRDefault="00540503" w:rsidP="00F23802">
            <w:pPr>
              <w:pStyle w:val="a0"/>
              <w:ind w:leftChars="0" w:left="0" w:firstLineChars="200" w:firstLine="480"/>
              <w:rPr>
                <w:rFonts w:ascii="仿宋_GB2312" w:eastAsia="仿宋_GB2312" w:hAnsi="仿宋" w:cs="仿宋"/>
                <w:sz w:val="24"/>
              </w:rPr>
            </w:pPr>
            <w:r w:rsidRPr="00F23802">
              <w:rPr>
                <w:rFonts w:ascii="仿宋_GB2312" w:eastAsia="仿宋_GB2312" w:hAnsi="仿宋" w:cs="仿宋" w:hint="eastAsia"/>
                <w:sz w:val="24"/>
                <w:highlight w:val="yellow"/>
              </w:rPr>
              <w:t>股票投资部门本次申请以委托投资的形式，参与可转债投资，主要基于以下几方面投资诉求</w:t>
            </w:r>
            <w:r w:rsidR="00E929C7" w:rsidRPr="00F23802">
              <w:rPr>
                <w:rFonts w:ascii="仿宋_GB2312" w:eastAsia="仿宋_GB2312" w:hAnsi="仿宋" w:cs="仿宋" w:hint="eastAsia"/>
                <w:sz w:val="24"/>
                <w:highlight w:val="yellow"/>
              </w:rPr>
              <w:t>：第一，转债市场规模较大</w:t>
            </w:r>
            <w:r w:rsidR="00C308ED" w:rsidRPr="00F23802">
              <w:rPr>
                <w:rFonts w:ascii="仿宋_GB2312" w:eastAsia="仿宋_GB2312" w:hAnsi="仿宋" w:cs="仿宋" w:hint="eastAsia"/>
                <w:sz w:val="24"/>
                <w:highlight w:val="yellow"/>
              </w:rPr>
              <w:t>，风险收益状态有别于股票和债券，适合用来平衡投资组合的风险敞口。第二，</w:t>
            </w:r>
            <w:r w:rsidR="003C5F04" w:rsidRPr="00F23802">
              <w:rPr>
                <w:rFonts w:ascii="仿宋_GB2312" w:eastAsia="仿宋_GB2312" w:hAnsi="仿宋" w:cs="仿宋" w:hint="eastAsia"/>
                <w:sz w:val="24"/>
                <w:highlight w:val="yellow"/>
              </w:rPr>
              <w:t>股票投资部门的阳光橙等系列产品均可投资于可转债。第三，</w:t>
            </w:r>
            <w:r w:rsidR="00E929C7" w:rsidRPr="00F23802">
              <w:rPr>
                <w:rFonts w:ascii="仿宋_GB2312" w:eastAsia="仿宋_GB2312" w:hAnsi="仿宋" w:cs="仿宋" w:hint="eastAsia"/>
                <w:sz w:val="24"/>
                <w:highlight w:val="yellow"/>
              </w:rPr>
              <w:t>发行转债的企业很大比例市值都比较小，卖方机构</w:t>
            </w:r>
            <w:r w:rsidR="00C308ED" w:rsidRPr="00F23802">
              <w:rPr>
                <w:rFonts w:ascii="仿宋_GB2312" w:eastAsia="仿宋_GB2312" w:hAnsi="仿宋" w:cs="仿宋" w:hint="eastAsia"/>
                <w:sz w:val="24"/>
                <w:highlight w:val="yellow"/>
              </w:rPr>
              <w:t>和公司内部研究资源覆盖不足，</w:t>
            </w:r>
            <w:r w:rsidR="00197CA6" w:rsidRPr="00F23802">
              <w:rPr>
                <w:rFonts w:ascii="仿宋_GB2312" w:eastAsia="仿宋_GB2312" w:hAnsi="仿宋" w:cs="仿宋" w:hint="eastAsia"/>
                <w:sz w:val="24"/>
                <w:highlight w:val="yellow"/>
              </w:rPr>
              <w:t>暂时需要借助委托投资的方式利用合作机构的信息获取和研究资源优势</w:t>
            </w:r>
            <w:r w:rsidR="00C308ED" w:rsidRPr="00F23802">
              <w:rPr>
                <w:rFonts w:ascii="仿宋_GB2312" w:eastAsia="仿宋_GB2312" w:hAnsi="仿宋" w:cs="仿宋" w:hint="eastAsia"/>
                <w:sz w:val="24"/>
                <w:highlight w:val="yellow"/>
              </w:rPr>
              <w:t>。</w:t>
            </w:r>
          </w:p>
          <w:p w14:paraId="134A5FE1" w14:textId="07B52558" w:rsidR="002B1CD3" w:rsidRPr="003C5F04" w:rsidRDefault="002B1CD3">
            <w:pPr>
              <w:rPr>
                <w:rFonts w:ascii="仿宋_GB2312" w:eastAsia="仿宋_GB2312" w:hAnsi="仿宋" w:cs="仿宋"/>
                <w:sz w:val="24"/>
              </w:rPr>
            </w:pPr>
          </w:p>
        </w:tc>
      </w:tr>
      <w:tr w:rsidR="002B1CD3" w14:paraId="382E1C32" w14:textId="77777777">
        <w:trPr>
          <w:trHeight w:val="1767"/>
          <w:jc w:val="center"/>
        </w:trPr>
        <w:tc>
          <w:tcPr>
            <w:tcW w:w="2428" w:type="dxa"/>
            <w:vAlign w:val="center"/>
          </w:tcPr>
          <w:p w14:paraId="4FBFCA1B" w14:textId="77777777" w:rsidR="002B1CD3" w:rsidRDefault="001706B2">
            <w:pPr>
              <w:spacing w:line="276" w:lineRule="auto"/>
              <w:jc w:val="left"/>
              <w:rPr>
                <w:rFonts w:ascii="仿宋_GB2312" w:eastAsia="仿宋_GB2312" w:hAnsi="仿宋" w:cs="仿宋"/>
                <w:b/>
                <w:sz w:val="24"/>
              </w:rPr>
            </w:pPr>
            <w:r>
              <w:rPr>
                <w:rFonts w:ascii="仿宋_GB2312" w:eastAsia="仿宋_GB2312" w:hAnsi="仿宋" w:cs="仿宋" w:hint="eastAsia"/>
                <w:b/>
                <w:sz w:val="24"/>
              </w:rPr>
              <w:lastRenderedPageBreak/>
              <w:t>投资经理意见</w:t>
            </w:r>
          </w:p>
        </w:tc>
        <w:tc>
          <w:tcPr>
            <w:tcW w:w="8292" w:type="dxa"/>
            <w:gridSpan w:val="4"/>
            <w:vAlign w:val="center"/>
          </w:tcPr>
          <w:p w14:paraId="0BB94BC6"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5E9C95DD"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2B1CD3" w14:paraId="4DD52FF4" w14:textId="77777777">
        <w:trPr>
          <w:trHeight w:val="1767"/>
          <w:jc w:val="center"/>
        </w:trPr>
        <w:tc>
          <w:tcPr>
            <w:tcW w:w="2428" w:type="dxa"/>
            <w:vAlign w:val="center"/>
          </w:tcPr>
          <w:p w14:paraId="5BFC8CFE" w14:textId="77777777" w:rsidR="002B1CD3" w:rsidRDefault="001706B2">
            <w:pPr>
              <w:spacing w:line="276" w:lineRule="auto"/>
              <w:jc w:val="center"/>
              <w:rPr>
                <w:rFonts w:ascii="仿宋_GB2312" w:eastAsia="仿宋_GB2312" w:hAnsi="仿宋" w:cs="仿宋"/>
                <w:b/>
                <w:sz w:val="24"/>
              </w:rPr>
            </w:pPr>
            <w:r>
              <w:rPr>
                <w:rFonts w:ascii="仿宋_GB2312" w:eastAsia="仿宋_GB2312" w:hAnsi="仿宋" w:cs="仿宋" w:hint="eastAsia"/>
                <w:b/>
                <w:sz w:val="24"/>
              </w:rPr>
              <w:t>投资部门负责人意见</w:t>
            </w:r>
          </w:p>
        </w:tc>
        <w:tc>
          <w:tcPr>
            <w:tcW w:w="8292" w:type="dxa"/>
            <w:gridSpan w:val="4"/>
            <w:vAlign w:val="center"/>
          </w:tcPr>
          <w:p w14:paraId="02B9DC85"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2F4D918A"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2B1CD3" w14:paraId="6422BB00" w14:textId="77777777">
        <w:trPr>
          <w:trHeight w:val="555"/>
          <w:jc w:val="center"/>
        </w:trPr>
        <w:tc>
          <w:tcPr>
            <w:tcW w:w="10720" w:type="dxa"/>
            <w:gridSpan w:val="5"/>
            <w:shd w:val="clear" w:color="auto" w:fill="F1F1F1"/>
            <w:vAlign w:val="center"/>
          </w:tcPr>
          <w:p w14:paraId="069D85CD" w14:textId="77777777" w:rsidR="002B1CD3" w:rsidRDefault="001706B2">
            <w:pPr>
              <w:jc w:val="center"/>
              <w:rPr>
                <w:rFonts w:ascii="仿宋_GB2312" w:eastAsia="仿宋_GB2312" w:hAnsi="仿宋" w:cs="仿宋"/>
                <w:sz w:val="24"/>
              </w:rPr>
            </w:pPr>
            <w:r>
              <w:rPr>
                <w:rFonts w:ascii="仿宋_GB2312" w:eastAsia="仿宋_GB2312" w:hAnsi="仿宋" w:cs="仿宋" w:hint="eastAsia"/>
                <w:b/>
                <w:bCs/>
                <w:sz w:val="24"/>
              </w:rPr>
              <w:t>研究员分析意见</w:t>
            </w:r>
          </w:p>
        </w:tc>
      </w:tr>
      <w:tr w:rsidR="002B1CD3" w14:paraId="5A0E8A67" w14:textId="77777777">
        <w:trPr>
          <w:trHeight w:hRule="exact" w:val="1147"/>
          <w:jc w:val="center"/>
        </w:trPr>
        <w:tc>
          <w:tcPr>
            <w:tcW w:w="10720" w:type="dxa"/>
            <w:gridSpan w:val="5"/>
            <w:vAlign w:val="center"/>
          </w:tcPr>
          <w:p w14:paraId="236CCB50" w14:textId="77777777" w:rsidR="002B1CD3" w:rsidRDefault="002B1CD3"/>
          <w:p w14:paraId="1FC08D83" w14:textId="382DCFB4" w:rsidR="002B1CD3" w:rsidRDefault="001706B2">
            <w:r>
              <w:rPr>
                <w:rFonts w:ascii="仿宋_GB2312" w:eastAsia="仿宋_GB2312" w:hAnsi="仿宋" w:cs="仿宋" w:hint="eastAsia"/>
                <w:sz w:val="24"/>
              </w:rPr>
              <w:t>详见《</w:t>
            </w:r>
            <w:r w:rsidR="0015442A">
              <w:rPr>
                <w:rFonts w:ascii="仿宋_GB2312" w:eastAsia="仿宋_GB2312" w:hAnsi="仿宋" w:cs="仿宋" w:hint="eastAsia"/>
                <w:sz w:val="24"/>
              </w:rPr>
              <w:t>评审意见</w:t>
            </w:r>
            <w:r>
              <w:rPr>
                <w:rFonts w:ascii="仿宋_GB2312" w:eastAsia="仿宋_GB2312" w:hAnsi="仿宋" w:cs="仿宋" w:hint="eastAsia"/>
                <w:sz w:val="24"/>
              </w:rPr>
              <w:t>》</w:t>
            </w:r>
          </w:p>
          <w:p w14:paraId="39019F13" w14:textId="77777777" w:rsidR="002B1CD3" w:rsidRDefault="002B1CD3"/>
          <w:p w14:paraId="0E40767E" w14:textId="77777777" w:rsidR="002B1CD3" w:rsidRDefault="001706B2">
            <w:pPr>
              <w:rPr>
                <w:rFonts w:ascii="仿宋_GB2312" w:eastAsia="仿宋_GB2312" w:hAnsi="仿宋" w:cs="仿宋"/>
                <w:b/>
                <w:bCs/>
                <w:sz w:val="24"/>
              </w:rPr>
            </w:pPr>
            <w:r>
              <w:rPr>
                <w:rFonts w:ascii="仿宋_GB2312" w:eastAsia="仿宋_GB2312" w:hAnsi="仿宋" w:cs="仿宋" w:hint="eastAsia"/>
                <w:sz w:val="24"/>
              </w:rPr>
              <w:t>。</w:t>
            </w:r>
          </w:p>
        </w:tc>
      </w:tr>
      <w:tr w:rsidR="002B1CD3" w14:paraId="7EA8DAB5" w14:textId="77777777">
        <w:trPr>
          <w:trHeight w:val="1767"/>
          <w:jc w:val="center"/>
        </w:trPr>
        <w:tc>
          <w:tcPr>
            <w:tcW w:w="2428" w:type="dxa"/>
            <w:vAlign w:val="center"/>
          </w:tcPr>
          <w:p w14:paraId="7AE067F5" w14:textId="77777777" w:rsidR="002B1CD3" w:rsidRDefault="001706B2">
            <w:pPr>
              <w:spacing w:line="276" w:lineRule="auto"/>
              <w:jc w:val="center"/>
              <w:rPr>
                <w:rFonts w:ascii="仿宋_GB2312" w:eastAsia="仿宋_GB2312" w:hAnsi="仿宋" w:cs="仿宋"/>
                <w:b/>
                <w:sz w:val="24"/>
              </w:rPr>
            </w:pPr>
            <w:r>
              <w:rPr>
                <w:rFonts w:ascii="仿宋_GB2312" w:eastAsia="仿宋_GB2312" w:hAnsi="仿宋" w:cs="仿宋" w:hint="eastAsia"/>
                <w:b/>
                <w:sz w:val="24"/>
              </w:rPr>
              <w:t>研究员意见</w:t>
            </w:r>
          </w:p>
        </w:tc>
        <w:tc>
          <w:tcPr>
            <w:tcW w:w="8292" w:type="dxa"/>
            <w:gridSpan w:val="4"/>
            <w:vAlign w:val="center"/>
          </w:tcPr>
          <w:p w14:paraId="0E011A58"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5B5C4AA7"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2B1CD3" w14:paraId="7AD38EE7" w14:textId="77777777">
        <w:trPr>
          <w:trHeight w:val="1767"/>
          <w:jc w:val="center"/>
        </w:trPr>
        <w:tc>
          <w:tcPr>
            <w:tcW w:w="2428" w:type="dxa"/>
            <w:vAlign w:val="center"/>
          </w:tcPr>
          <w:p w14:paraId="2EDB3D21" w14:textId="77777777" w:rsidR="002B1CD3" w:rsidRDefault="001706B2">
            <w:pPr>
              <w:spacing w:line="276" w:lineRule="auto"/>
              <w:jc w:val="center"/>
              <w:rPr>
                <w:rFonts w:ascii="仿宋_GB2312" w:eastAsia="仿宋_GB2312" w:hAnsi="仿宋" w:cs="仿宋"/>
                <w:b/>
                <w:sz w:val="24"/>
              </w:rPr>
            </w:pPr>
            <w:r>
              <w:rPr>
                <w:rFonts w:ascii="仿宋_GB2312" w:eastAsia="仿宋_GB2312" w:hAnsi="仿宋" w:cs="仿宋" w:hint="eastAsia"/>
                <w:b/>
                <w:sz w:val="24"/>
              </w:rPr>
              <w:t>研究负责人意见</w:t>
            </w:r>
          </w:p>
        </w:tc>
        <w:tc>
          <w:tcPr>
            <w:tcW w:w="8292" w:type="dxa"/>
            <w:gridSpan w:val="4"/>
            <w:vAlign w:val="center"/>
          </w:tcPr>
          <w:p w14:paraId="2BC4D9B4"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39E0A981" w14:textId="77777777" w:rsidR="002B1CD3" w:rsidRDefault="001706B2">
            <w:pPr>
              <w:spacing w:line="288" w:lineRule="auto"/>
              <w:ind w:firstLineChars="2500" w:firstLine="6000"/>
              <w:rPr>
                <w:rFonts w:ascii="仿宋_GB2312" w:eastAsia="仿宋_GB2312" w:hAnsi="仿宋" w:cs="仿宋"/>
                <w:sz w:val="24"/>
              </w:rPr>
            </w:pPr>
            <w:r>
              <w:rPr>
                <w:rFonts w:ascii="仿宋_GB2312" w:eastAsia="仿宋_GB2312" w:hAnsi="仿宋" w:cs="仿宋" w:hint="eastAsia"/>
                <w:color w:val="000000"/>
                <w:sz w:val="24"/>
                <w:shd w:val="clear" w:color="auto" w:fill="FFFFFF"/>
              </w:rPr>
              <w:t xml:space="preserve">日期： </w:t>
            </w:r>
            <w:r>
              <w:rPr>
                <w:rFonts w:ascii="仿宋_GB2312" w:eastAsia="仿宋_GB2312" w:hAnsi="仿宋" w:cs="仿宋" w:hint="eastAsia"/>
                <w:sz w:val="24"/>
              </w:rPr>
              <w:t xml:space="preserve"> </w:t>
            </w:r>
          </w:p>
        </w:tc>
      </w:tr>
      <w:tr w:rsidR="002B1CD3" w14:paraId="071459AE" w14:textId="77777777">
        <w:trPr>
          <w:trHeight w:val="1767"/>
          <w:jc w:val="center"/>
        </w:trPr>
        <w:tc>
          <w:tcPr>
            <w:tcW w:w="2428" w:type="dxa"/>
            <w:vAlign w:val="center"/>
          </w:tcPr>
          <w:p w14:paraId="211E3A57" w14:textId="77777777" w:rsidR="002B1CD3" w:rsidRDefault="001706B2">
            <w:pPr>
              <w:wordWrap w:val="0"/>
              <w:adjustRightInd w:val="0"/>
              <w:spacing w:line="276" w:lineRule="auto"/>
              <w:jc w:val="center"/>
              <w:rPr>
                <w:rFonts w:ascii="仿宋_GB2312" w:eastAsia="仿宋_GB2312" w:hAnsi="仿宋" w:cs="仿宋"/>
                <w:b/>
                <w:bCs/>
                <w:sz w:val="28"/>
                <w:szCs w:val="28"/>
              </w:rPr>
            </w:pPr>
            <w:r>
              <w:rPr>
                <w:rFonts w:ascii="仿宋_GB2312" w:eastAsia="仿宋_GB2312" w:hAnsi="仿宋" w:cs="仿宋" w:hint="eastAsia"/>
                <w:b/>
                <w:sz w:val="24"/>
              </w:rPr>
              <w:t>首席投资官意见</w:t>
            </w:r>
          </w:p>
        </w:tc>
        <w:tc>
          <w:tcPr>
            <w:tcW w:w="8292" w:type="dxa"/>
            <w:gridSpan w:val="4"/>
            <w:vAlign w:val="center"/>
          </w:tcPr>
          <w:p w14:paraId="1FB0F05A" w14:textId="77777777" w:rsidR="002B1CD3" w:rsidRDefault="002B1CD3">
            <w:pPr>
              <w:spacing w:line="288" w:lineRule="auto"/>
              <w:ind w:firstLineChars="2500" w:firstLine="6000"/>
              <w:rPr>
                <w:rFonts w:ascii="仿宋_GB2312" w:eastAsia="仿宋_GB2312" w:hAnsi="仿宋" w:cs="仿宋"/>
                <w:color w:val="000000"/>
                <w:sz w:val="24"/>
                <w:shd w:val="clear" w:color="auto" w:fill="FFFFFF"/>
              </w:rPr>
            </w:pPr>
          </w:p>
          <w:p w14:paraId="620170E1" w14:textId="77777777" w:rsidR="002B1CD3" w:rsidRDefault="002B1CD3">
            <w:pPr>
              <w:spacing w:line="288" w:lineRule="auto"/>
              <w:ind w:firstLineChars="2500" w:firstLine="6000"/>
              <w:rPr>
                <w:rFonts w:ascii="仿宋_GB2312" w:eastAsia="仿宋_GB2312" w:hAnsi="仿宋" w:cs="仿宋"/>
                <w:color w:val="000000"/>
                <w:sz w:val="24"/>
                <w:shd w:val="clear" w:color="auto" w:fill="FFFFFF"/>
              </w:rPr>
            </w:pPr>
          </w:p>
          <w:p w14:paraId="6C544CD0"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7913C909" w14:textId="77777777" w:rsidR="002B1CD3" w:rsidRDefault="001706B2">
            <w:pPr>
              <w:spacing w:line="288" w:lineRule="auto"/>
              <w:ind w:firstLineChars="2500" w:firstLine="6000"/>
              <w:rPr>
                <w:rFonts w:ascii="仿宋_GB2312" w:eastAsia="仿宋_GB2312" w:hAnsi="仿宋" w:cs="仿宋"/>
                <w:b/>
                <w:bCs/>
                <w:sz w:val="28"/>
                <w:szCs w:val="28"/>
              </w:rPr>
            </w:pPr>
            <w:r>
              <w:rPr>
                <w:rFonts w:ascii="仿宋_GB2312" w:eastAsia="仿宋_GB2312" w:hAnsi="仿宋" w:cs="仿宋" w:hint="eastAsia"/>
                <w:color w:val="000000"/>
                <w:sz w:val="24"/>
                <w:shd w:val="clear" w:color="auto" w:fill="FFFFFF"/>
              </w:rPr>
              <w:t xml:space="preserve">日期： </w:t>
            </w:r>
          </w:p>
        </w:tc>
      </w:tr>
      <w:tr w:rsidR="002B1CD3" w14:paraId="3CE66462" w14:textId="77777777">
        <w:trPr>
          <w:trHeight w:val="1767"/>
          <w:jc w:val="center"/>
        </w:trPr>
        <w:tc>
          <w:tcPr>
            <w:tcW w:w="2428" w:type="dxa"/>
            <w:vAlign w:val="center"/>
          </w:tcPr>
          <w:p w14:paraId="32C121FB" w14:textId="77777777" w:rsidR="002B1CD3" w:rsidRDefault="001706B2">
            <w:pPr>
              <w:wordWrap w:val="0"/>
              <w:adjustRightInd w:val="0"/>
              <w:spacing w:line="276" w:lineRule="auto"/>
              <w:jc w:val="center"/>
              <w:rPr>
                <w:rFonts w:ascii="仿宋_GB2312" w:eastAsia="仿宋_GB2312" w:hAnsi="仿宋" w:cs="仿宋"/>
                <w:b/>
                <w:sz w:val="24"/>
              </w:rPr>
            </w:pPr>
            <w:r>
              <w:rPr>
                <w:rFonts w:ascii="仿宋_GB2312" w:eastAsia="仿宋_GB2312" w:hAnsi="仿宋" w:cs="仿宋" w:hint="eastAsia"/>
                <w:b/>
                <w:sz w:val="24"/>
              </w:rPr>
              <w:lastRenderedPageBreak/>
              <w:t>风险经理意见</w:t>
            </w:r>
          </w:p>
        </w:tc>
        <w:tc>
          <w:tcPr>
            <w:tcW w:w="8292" w:type="dxa"/>
            <w:gridSpan w:val="4"/>
            <w:vAlign w:val="center"/>
          </w:tcPr>
          <w:p w14:paraId="364175BF" w14:textId="77777777" w:rsidR="002B1CD3" w:rsidRDefault="002B1CD3">
            <w:pPr>
              <w:spacing w:line="288" w:lineRule="auto"/>
              <w:ind w:firstLineChars="2500" w:firstLine="6000"/>
              <w:rPr>
                <w:rFonts w:ascii="仿宋_GB2312" w:eastAsia="仿宋_GB2312" w:hAnsi="仿宋" w:cs="仿宋"/>
                <w:color w:val="000000"/>
                <w:sz w:val="24"/>
                <w:shd w:val="clear" w:color="auto" w:fill="FFFFFF"/>
              </w:rPr>
            </w:pPr>
          </w:p>
          <w:p w14:paraId="084EF8E1"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58AE9712"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2B1CD3" w14:paraId="1BC53ABF" w14:textId="77777777">
        <w:trPr>
          <w:trHeight w:val="2918"/>
          <w:jc w:val="center"/>
        </w:trPr>
        <w:tc>
          <w:tcPr>
            <w:tcW w:w="2428" w:type="dxa"/>
            <w:vAlign w:val="center"/>
          </w:tcPr>
          <w:p w14:paraId="6DA5CB15" w14:textId="77777777" w:rsidR="002B1CD3" w:rsidRDefault="001706B2">
            <w:pPr>
              <w:wordWrap w:val="0"/>
              <w:adjustRightInd w:val="0"/>
              <w:spacing w:line="276" w:lineRule="auto"/>
              <w:jc w:val="center"/>
            </w:pPr>
            <w:r>
              <w:rPr>
                <w:rFonts w:ascii="仿宋_GB2312" w:eastAsia="仿宋_GB2312" w:hAnsi="仿宋" w:cs="仿宋" w:hint="eastAsia"/>
                <w:b/>
                <w:sz w:val="24"/>
              </w:rPr>
              <w:t>风险管理部负责人意见</w:t>
            </w:r>
          </w:p>
        </w:tc>
        <w:tc>
          <w:tcPr>
            <w:tcW w:w="8292" w:type="dxa"/>
            <w:gridSpan w:val="4"/>
            <w:vAlign w:val="center"/>
          </w:tcPr>
          <w:p w14:paraId="0C6CC969" w14:textId="77777777" w:rsidR="002B1CD3" w:rsidRDefault="002B1CD3">
            <w:pPr>
              <w:spacing w:line="288" w:lineRule="auto"/>
              <w:ind w:firstLineChars="2500" w:firstLine="6000"/>
              <w:rPr>
                <w:rFonts w:ascii="仿宋_GB2312" w:eastAsia="仿宋_GB2312" w:hAnsi="仿宋" w:cs="仿宋"/>
                <w:color w:val="000000"/>
                <w:sz w:val="24"/>
                <w:shd w:val="clear" w:color="auto" w:fill="FFFFFF"/>
              </w:rPr>
            </w:pPr>
          </w:p>
          <w:p w14:paraId="44778076" w14:textId="77777777" w:rsidR="002B1CD3" w:rsidRDefault="002B1CD3">
            <w:pPr>
              <w:spacing w:line="288" w:lineRule="auto"/>
              <w:ind w:firstLineChars="2500" w:firstLine="6000"/>
              <w:rPr>
                <w:rFonts w:ascii="仿宋_GB2312" w:eastAsia="仿宋_GB2312" w:hAnsi="仿宋" w:cs="仿宋"/>
                <w:color w:val="000000"/>
                <w:sz w:val="24"/>
                <w:shd w:val="clear" w:color="auto" w:fill="FFFFFF"/>
              </w:rPr>
            </w:pPr>
          </w:p>
          <w:p w14:paraId="3787F500"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75CEDB6F" w14:textId="77777777" w:rsidR="002B1CD3" w:rsidRDefault="001706B2">
            <w:pPr>
              <w:spacing w:line="288" w:lineRule="auto"/>
              <w:ind w:firstLineChars="2500" w:firstLine="6000"/>
            </w:pPr>
            <w:r>
              <w:rPr>
                <w:rFonts w:ascii="仿宋_GB2312" w:eastAsia="仿宋_GB2312" w:hAnsi="仿宋" w:cs="仿宋" w:hint="eastAsia"/>
                <w:color w:val="000000"/>
                <w:sz w:val="24"/>
                <w:shd w:val="clear" w:color="auto" w:fill="FFFFFF"/>
              </w:rPr>
              <w:t xml:space="preserve">日期： </w:t>
            </w:r>
          </w:p>
        </w:tc>
      </w:tr>
      <w:tr w:rsidR="002B1CD3" w14:paraId="23D307B9" w14:textId="77777777">
        <w:trPr>
          <w:trHeight w:val="1968"/>
          <w:jc w:val="center"/>
        </w:trPr>
        <w:tc>
          <w:tcPr>
            <w:tcW w:w="2428" w:type="dxa"/>
            <w:vAlign w:val="center"/>
          </w:tcPr>
          <w:p w14:paraId="786B69F4" w14:textId="77777777" w:rsidR="002B1CD3" w:rsidRDefault="001706B2">
            <w:pPr>
              <w:wordWrap w:val="0"/>
              <w:adjustRightInd w:val="0"/>
              <w:spacing w:line="276" w:lineRule="auto"/>
              <w:jc w:val="center"/>
            </w:pPr>
            <w:r>
              <w:rPr>
                <w:rFonts w:ascii="仿宋_GB2312" w:eastAsia="仿宋_GB2312" w:hAnsi="仿宋" w:cs="仿宋" w:hint="eastAsia"/>
                <w:b/>
                <w:sz w:val="24"/>
              </w:rPr>
              <w:t>主管风险副总经理意见</w:t>
            </w:r>
          </w:p>
        </w:tc>
        <w:tc>
          <w:tcPr>
            <w:tcW w:w="8292" w:type="dxa"/>
            <w:gridSpan w:val="4"/>
            <w:vAlign w:val="center"/>
          </w:tcPr>
          <w:p w14:paraId="4BCCBB2A" w14:textId="77777777" w:rsidR="002B1CD3" w:rsidRDefault="002B1CD3">
            <w:pPr>
              <w:spacing w:line="288" w:lineRule="auto"/>
              <w:ind w:firstLineChars="2500" w:firstLine="6000"/>
              <w:rPr>
                <w:rFonts w:ascii="仿宋_GB2312" w:eastAsia="仿宋_GB2312" w:hAnsi="仿宋" w:cs="仿宋"/>
                <w:color w:val="000000"/>
                <w:sz w:val="24"/>
                <w:shd w:val="clear" w:color="auto" w:fill="FFFFFF"/>
              </w:rPr>
            </w:pPr>
          </w:p>
          <w:p w14:paraId="0835081D" w14:textId="77777777" w:rsidR="002B1CD3" w:rsidRDefault="002B1CD3">
            <w:pPr>
              <w:spacing w:line="288" w:lineRule="auto"/>
              <w:ind w:firstLineChars="2500" w:firstLine="6000"/>
              <w:rPr>
                <w:rFonts w:ascii="仿宋_GB2312" w:eastAsia="仿宋_GB2312" w:hAnsi="仿宋" w:cs="仿宋"/>
                <w:color w:val="000000"/>
                <w:sz w:val="24"/>
                <w:shd w:val="clear" w:color="auto" w:fill="FFFFFF"/>
              </w:rPr>
            </w:pPr>
          </w:p>
          <w:p w14:paraId="7584E971"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06FC9B00"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 xml:space="preserve">日期： </w:t>
            </w:r>
          </w:p>
        </w:tc>
      </w:tr>
      <w:tr w:rsidR="002B1CD3" w14:paraId="11D62E01" w14:textId="77777777">
        <w:trPr>
          <w:trHeight w:val="1968"/>
          <w:jc w:val="center"/>
        </w:trPr>
        <w:tc>
          <w:tcPr>
            <w:tcW w:w="2428" w:type="dxa"/>
            <w:vAlign w:val="center"/>
          </w:tcPr>
          <w:p w14:paraId="71DC0AF0" w14:textId="77777777" w:rsidR="002B1CD3" w:rsidRDefault="001706B2">
            <w:pPr>
              <w:wordWrap w:val="0"/>
              <w:adjustRightInd w:val="0"/>
              <w:spacing w:line="276" w:lineRule="auto"/>
              <w:jc w:val="center"/>
              <w:rPr>
                <w:rFonts w:ascii="仿宋_GB2312" w:eastAsia="仿宋_GB2312" w:hAnsi="仿宋" w:cs="仿宋"/>
                <w:b/>
                <w:sz w:val="24"/>
              </w:rPr>
            </w:pPr>
            <w:r>
              <w:rPr>
                <w:rFonts w:ascii="仿宋_GB2312" w:eastAsia="仿宋_GB2312" w:hAnsi="仿宋" w:cs="仿宋" w:hint="eastAsia"/>
                <w:b/>
                <w:sz w:val="24"/>
              </w:rPr>
              <w:t>总经理意见</w:t>
            </w:r>
          </w:p>
        </w:tc>
        <w:tc>
          <w:tcPr>
            <w:tcW w:w="8292" w:type="dxa"/>
            <w:gridSpan w:val="4"/>
            <w:vAlign w:val="center"/>
          </w:tcPr>
          <w:p w14:paraId="219C8503"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签字:</w:t>
            </w:r>
          </w:p>
          <w:p w14:paraId="0CA78641" w14:textId="77777777" w:rsidR="002B1CD3" w:rsidRDefault="001706B2">
            <w:pPr>
              <w:spacing w:line="288" w:lineRule="auto"/>
              <w:ind w:firstLineChars="2500" w:firstLine="6000"/>
              <w:rPr>
                <w:rFonts w:ascii="仿宋_GB2312" w:eastAsia="仿宋_GB2312" w:hAnsi="仿宋" w:cs="仿宋"/>
                <w:color w:val="000000"/>
                <w:sz w:val="24"/>
                <w:shd w:val="clear" w:color="auto" w:fill="FFFFFF"/>
              </w:rPr>
            </w:pPr>
            <w:r>
              <w:rPr>
                <w:rFonts w:ascii="仿宋_GB2312" w:eastAsia="仿宋_GB2312" w:hAnsi="仿宋" w:cs="仿宋" w:hint="eastAsia"/>
                <w:color w:val="000000"/>
                <w:sz w:val="24"/>
                <w:shd w:val="clear" w:color="auto" w:fill="FFFFFF"/>
              </w:rPr>
              <w:t>日期：</w:t>
            </w:r>
          </w:p>
        </w:tc>
      </w:tr>
    </w:tbl>
    <w:p w14:paraId="60AF8D4A" w14:textId="77777777" w:rsidR="002B1CD3" w:rsidRDefault="002B1CD3"/>
    <w:sectPr w:rsidR="002B1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98D11" w14:textId="77777777" w:rsidR="00D014D2" w:rsidRDefault="00D014D2" w:rsidP="00DA229A">
      <w:pPr>
        <w:spacing w:line="240" w:lineRule="auto"/>
      </w:pPr>
      <w:r>
        <w:separator/>
      </w:r>
    </w:p>
  </w:endnote>
  <w:endnote w:type="continuationSeparator" w:id="0">
    <w:p w14:paraId="3C8D8840" w14:textId="77777777" w:rsidR="00D014D2" w:rsidRDefault="00D014D2" w:rsidP="00DA2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6A277" w14:textId="77777777" w:rsidR="00D014D2" w:rsidRDefault="00D014D2" w:rsidP="00DA229A">
      <w:pPr>
        <w:spacing w:line="240" w:lineRule="auto"/>
      </w:pPr>
      <w:r>
        <w:separator/>
      </w:r>
    </w:p>
  </w:footnote>
  <w:footnote w:type="continuationSeparator" w:id="0">
    <w:p w14:paraId="545D4A73" w14:textId="77777777" w:rsidR="00D014D2" w:rsidRDefault="00D014D2" w:rsidP="00DA229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176F3B"/>
    <w:rsid w:val="0001648B"/>
    <w:rsid w:val="00080E4B"/>
    <w:rsid w:val="00100B0F"/>
    <w:rsid w:val="001226B1"/>
    <w:rsid w:val="0014756F"/>
    <w:rsid w:val="0015442A"/>
    <w:rsid w:val="001706B2"/>
    <w:rsid w:val="00197CA6"/>
    <w:rsid w:val="001A6877"/>
    <w:rsid w:val="001D356C"/>
    <w:rsid w:val="002B1CD3"/>
    <w:rsid w:val="002D018C"/>
    <w:rsid w:val="0037079D"/>
    <w:rsid w:val="003B18AC"/>
    <w:rsid w:val="003C5F04"/>
    <w:rsid w:val="003E6E63"/>
    <w:rsid w:val="00423DE7"/>
    <w:rsid w:val="004C6126"/>
    <w:rsid w:val="004C7445"/>
    <w:rsid w:val="00540503"/>
    <w:rsid w:val="00557FBB"/>
    <w:rsid w:val="0057557D"/>
    <w:rsid w:val="00581D2F"/>
    <w:rsid w:val="00595858"/>
    <w:rsid w:val="0060026D"/>
    <w:rsid w:val="00624329"/>
    <w:rsid w:val="00661765"/>
    <w:rsid w:val="007C61FB"/>
    <w:rsid w:val="00846CC4"/>
    <w:rsid w:val="00893C2E"/>
    <w:rsid w:val="008C5F8C"/>
    <w:rsid w:val="00962513"/>
    <w:rsid w:val="00990437"/>
    <w:rsid w:val="009B4AB4"/>
    <w:rsid w:val="00A172DE"/>
    <w:rsid w:val="00A81418"/>
    <w:rsid w:val="00B24841"/>
    <w:rsid w:val="00BD443B"/>
    <w:rsid w:val="00BD597F"/>
    <w:rsid w:val="00C308ED"/>
    <w:rsid w:val="00C74D78"/>
    <w:rsid w:val="00D014D2"/>
    <w:rsid w:val="00DA229A"/>
    <w:rsid w:val="00E24754"/>
    <w:rsid w:val="00E83DB7"/>
    <w:rsid w:val="00E929C7"/>
    <w:rsid w:val="00F23802"/>
    <w:rsid w:val="00F55FAE"/>
    <w:rsid w:val="00FD4DF5"/>
    <w:rsid w:val="21B84BCF"/>
    <w:rsid w:val="29090CFC"/>
    <w:rsid w:val="29366EA4"/>
    <w:rsid w:val="339F3B44"/>
    <w:rsid w:val="39C77BD3"/>
    <w:rsid w:val="5D176F3B"/>
    <w:rsid w:val="76DF1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ED2767"/>
  <w15:docId w15:val="{F338A45F-187B-485F-8873-0C30DC7E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able of authorities"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20" w:lineRule="atLeast"/>
      <w:jc w:val="both"/>
    </w:pPr>
    <w:rPr>
      <w:rFonts w:ascii="Calibri" w:eastAsia="宋体" w:hAnsi="Calibri" w:cs="Times New Roman"/>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able of authorities"/>
    <w:basedOn w:val="a"/>
    <w:next w:val="a"/>
    <w:qFormat/>
    <w:pPr>
      <w:ind w:leftChars="200" w:left="420"/>
    </w:pPr>
  </w:style>
  <w:style w:type="paragraph" w:styleId="a4">
    <w:name w:val="header"/>
    <w:basedOn w:val="a"/>
    <w:link w:val="a5"/>
    <w:rsid w:val="00DA229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DA229A"/>
    <w:rPr>
      <w:rFonts w:ascii="Calibri" w:eastAsia="宋体" w:hAnsi="Calibri" w:cs="Times New Roman"/>
      <w:kern w:val="2"/>
      <w:sz w:val="18"/>
      <w:szCs w:val="18"/>
    </w:rPr>
  </w:style>
  <w:style w:type="paragraph" w:styleId="a6">
    <w:name w:val="footer"/>
    <w:basedOn w:val="a"/>
    <w:link w:val="a7"/>
    <w:rsid w:val="00DA229A"/>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rsid w:val="00DA229A"/>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王春静</dc:creator>
  <cp:lastModifiedBy>Xinyu Zhou</cp:lastModifiedBy>
  <cp:revision>3</cp:revision>
  <dcterms:created xsi:type="dcterms:W3CDTF">2021-11-10T09:28:00Z</dcterms:created>
  <dcterms:modified xsi:type="dcterms:W3CDTF">2021-11-10T09:46:00Z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ies>
</file>