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6B82" w14:textId="389F0EF7" w:rsidR="002B1CD3" w:rsidRDefault="001706B2">
      <w:pPr>
        <w:jc w:val="center"/>
        <w:rPr>
          <w:rFonts w:ascii="仿宋_GB2312" w:eastAsia="仿宋_GB2312" w:hAnsi="仿宋" w:cs="仿宋"/>
          <w:b/>
          <w:bCs/>
          <w:sz w:val="30"/>
          <w:szCs w:val="30"/>
        </w:rPr>
      </w:pPr>
      <w:r>
        <w:rPr>
          <w:rFonts w:ascii="仿宋_GB2312" w:eastAsia="仿宋_GB2312" w:hAnsi="仿宋" w:cs="仿宋" w:hint="eastAsia"/>
          <w:b/>
          <w:bCs/>
          <w:sz w:val="30"/>
          <w:szCs w:val="30"/>
        </w:rPr>
        <w:t>标准化属性业务审批单</w:t>
      </w:r>
    </w:p>
    <w:p w14:paraId="1E4308C2" w14:textId="77777777" w:rsidR="002B1CD3" w:rsidRDefault="002B1CD3">
      <w:pPr>
        <w:spacing w:line="276" w:lineRule="auto"/>
        <w:ind w:leftChars="-295" w:left="3" w:right="964" w:hangingChars="258" w:hanging="622"/>
        <w:jc w:val="left"/>
        <w:rPr>
          <w:rFonts w:ascii="仿宋_GB2312" w:eastAsia="仿宋_GB2312"/>
          <w:b/>
          <w:sz w:val="24"/>
        </w:rPr>
      </w:pPr>
    </w:p>
    <w:p w14:paraId="0CB3CC9A" w14:textId="3CF08CEC" w:rsidR="002B1CD3" w:rsidRDefault="001706B2">
      <w:pPr>
        <w:spacing w:line="276" w:lineRule="auto"/>
        <w:ind w:leftChars="-295" w:left="3" w:right="964" w:hangingChars="258" w:hanging="622"/>
        <w:jc w:val="left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申请日期：</w:t>
      </w:r>
      <w:bookmarkStart w:id="0" w:name="OLE_LINK1"/>
      <w:r>
        <w:rPr>
          <w:rFonts w:ascii="仿宋_GB2312" w:eastAsia="仿宋_GB2312" w:hint="eastAsia"/>
          <w:b/>
          <w:sz w:val="24"/>
        </w:rPr>
        <w:t>202</w:t>
      </w:r>
      <w:r w:rsidR="00846CC4">
        <w:rPr>
          <w:rFonts w:ascii="仿宋_GB2312" w:eastAsia="仿宋_GB2312"/>
          <w:b/>
          <w:sz w:val="24"/>
        </w:rPr>
        <w:t>1</w:t>
      </w:r>
      <w:r>
        <w:rPr>
          <w:rFonts w:ascii="仿宋_GB2312" w:eastAsia="仿宋_GB2312" w:hint="eastAsia"/>
          <w:b/>
          <w:sz w:val="24"/>
        </w:rPr>
        <w:t>年</w:t>
      </w:r>
      <w:r w:rsidR="003F1C74">
        <w:rPr>
          <w:rFonts w:ascii="仿宋_GB2312" w:eastAsia="仿宋_GB2312"/>
          <w:b/>
          <w:sz w:val="24"/>
        </w:rPr>
        <w:t>11</w:t>
      </w:r>
      <w:r>
        <w:rPr>
          <w:rFonts w:ascii="仿宋_GB2312" w:eastAsia="仿宋_GB2312" w:hint="eastAsia"/>
          <w:b/>
          <w:sz w:val="24"/>
        </w:rPr>
        <w:t>月</w:t>
      </w:r>
      <w:r w:rsidR="001226B1">
        <w:rPr>
          <w:rFonts w:ascii="仿宋_GB2312" w:eastAsia="仿宋_GB2312" w:hint="eastAsia"/>
          <w:b/>
          <w:sz w:val="24"/>
        </w:rPr>
        <w:t>1</w:t>
      </w:r>
      <w:r w:rsidR="003F1C74">
        <w:rPr>
          <w:rFonts w:ascii="仿宋_GB2312" w:eastAsia="仿宋_GB2312"/>
          <w:b/>
          <w:sz w:val="24"/>
        </w:rPr>
        <w:t>1</w:t>
      </w:r>
      <w:r>
        <w:rPr>
          <w:rFonts w:ascii="仿宋_GB2312" w:eastAsia="仿宋_GB2312" w:hint="eastAsia"/>
          <w:b/>
          <w:sz w:val="24"/>
        </w:rPr>
        <w:t xml:space="preserve">日 </w:t>
      </w:r>
      <w:bookmarkEnd w:id="0"/>
    </w:p>
    <w:tbl>
      <w:tblPr>
        <w:tblW w:w="10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23"/>
        <w:gridCol w:w="2909"/>
        <w:gridCol w:w="2428"/>
        <w:gridCol w:w="2932"/>
      </w:tblGrid>
      <w:tr w:rsidR="002B1CD3" w14:paraId="31E072BC" w14:textId="77777777">
        <w:trPr>
          <w:trHeight w:val="670"/>
          <w:jc w:val="center"/>
        </w:trPr>
        <w:tc>
          <w:tcPr>
            <w:tcW w:w="10720" w:type="dxa"/>
            <w:gridSpan w:val="5"/>
            <w:shd w:val="clear" w:color="auto" w:fill="F2F2F2"/>
            <w:vAlign w:val="center"/>
          </w:tcPr>
          <w:p w14:paraId="68BCE66B" w14:textId="490DF78A" w:rsidR="002B1CD3" w:rsidRDefault="001706B2">
            <w:pPr>
              <w:spacing w:line="276" w:lineRule="auto"/>
              <w:jc w:val="center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z w:val="30"/>
                <w:szCs w:val="30"/>
              </w:rPr>
              <w:t>申请信息</w:t>
            </w:r>
          </w:p>
        </w:tc>
      </w:tr>
      <w:tr w:rsidR="002B1CD3" w14:paraId="5169E3EA" w14:textId="77777777">
        <w:trPr>
          <w:trHeight w:val="406"/>
          <w:jc w:val="center"/>
        </w:trPr>
        <w:tc>
          <w:tcPr>
            <w:tcW w:w="2451" w:type="dxa"/>
            <w:gridSpan w:val="2"/>
            <w:vAlign w:val="center"/>
          </w:tcPr>
          <w:p w14:paraId="0A9E644D" w14:textId="77777777" w:rsidR="002B1CD3" w:rsidRDefault="001706B2">
            <w:pPr>
              <w:spacing w:line="276" w:lineRule="auto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标的名称</w:t>
            </w:r>
          </w:p>
        </w:tc>
        <w:tc>
          <w:tcPr>
            <w:tcW w:w="2909" w:type="dxa"/>
            <w:vAlign w:val="center"/>
          </w:tcPr>
          <w:p w14:paraId="797A94D1" w14:textId="5673EEDA" w:rsidR="002B1CD3" w:rsidRDefault="00846CC4">
            <w:pPr>
              <w:spacing w:line="288" w:lineRule="auto"/>
              <w:rPr>
                <w:rFonts w:ascii="仿宋_GB2312" w:eastAsia="仿宋_GB2312" w:hAnsi="仿宋" w:cs="仿宋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t>可转债委外管理人批量</w:t>
            </w:r>
            <w:r w:rsidR="0015442A">
              <w:rPr>
                <w:rFonts w:ascii="仿宋_GB2312" w:eastAsia="仿宋_GB2312" w:hAnsi="仿宋" w:cs="仿宋" w:hint="eastAsia"/>
                <w:sz w:val="24"/>
              </w:rPr>
              <w:t>准入</w:t>
            </w:r>
          </w:p>
        </w:tc>
        <w:tc>
          <w:tcPr>
            <w:tcW w:w="2428" w:type="dxa"/>
            <w:vAlign w:val="center"/>
          </w:tcPr>
          <w:p w14:paraId="6EAC14A1" w14:textId="77777777" w:rsidR="002B1CD3" w:rsidRDefault="001706B2">
            <w:pPr>
              <w:spacing w:line="288" w:lineRule="auto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申请额度</w:t>
            </w:r>
          </w:p>
        </w:tc>
        <w:tc>
          <w:tcPr>
            <w:tcW w:w="2932" w:type="dxa"/>
            <w:vAlign w:val="center"/>
          </w:tcPr>
          <w:p w14:paraId="5AA04452" w14:textId="35D45F2A" w:rsidR="002B1CD3" w:rsidRDefault="00BD443B">
            <w:pPr>
              <w:spacing w:line="288" w:lineRule="auto"/>
              <w:rPr>
                <w:rFonts w:ascii="仿宋_GB2312" w:eastAsia="仿宋_GB2312" w:hAnsi="仿宋" w:cs="仿宋"/>
                <w:sz w:val="24"/>
              </w:rPr>
            </w:pPr>
            <w:r w:rsidRPr="00BD443B">
              <w:rPr>
                <w:rFonts w:ascii="仿宋_GB2312" w:eastAsia="仿宋_GB2312" w:hAnsi="仿宋" w:cs="仿宋" w:hint="eastAsia"/>
                <w:sz w:val="24"/>
              </w:rPr>
              <w:t>16家管理人单一额度不超过10亿</w:t>
            </w:r>
            <w:r w:rsidR="0015442A">
              <w:rPr>
                <w:rFonts w:ascii="仿宋_GB2312" w:eastAsia="仿宋_GB2312" w:hAnsi="仿宋" w:cs="仿宋" w:hint="eastAsia"/>
                <w:sz w:val="24"/>
              </w:rPr>
              <w:t>，合计不超过1</w:t>
            </w:r>
            <w:r w:rsidR="0015442A">
              <w:rPr>
                <w:rFonts w:ascii="仿宋_GB2312" w:eastAsia="仿宋_GB2312" w:hAnsi="仿宋" w:cs="仿宋"/>
                <w:sz w:val="24"/>
              </w:rPr>
              <w:t>60</w:t>
            </w:r>
            <w:r w:rsidR="0015442A">
              <w:rPr>
                <w:rFonts w:ascii="仿宋_GB2312" w:eastAsia="仿宋_GB2312" w:hAnsi="仿宋" w:cs="仿宋" w:hint="eastAsia"/>
                <w:sz w:val="24"/>
              </w:rPr>
              <w:t>亿</w:t>
            </w:r>
          </w:p>
        </w:tc>
      </w:tr>
      <w:tr w:rsidR="002B1CD3" w14:paraId="48A3ADB7" w14:textId="77777777">
        <w:trPr>
          <w:trHeight w:val="406"/>
          <w:jc w:val="center"/>
        </w:trPr>
        <w:tc>
          <w:tcPr>
            <w:tcW w:w="2451" w:type="dxa"/>
            <w:gridSpan w:val="2"/>
            <w:vAlign w:val="center"/>
          </w:tcPr>
          <w:p w14:paraId="665977F3" w14:textId="77777777" w:rsidR="002B1CD3" w:rsidRDefault="001706B2">
            <w:pPr>
              <w:spacing w:line="276" w:lineRule="auto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发起部门</w:t>
            </w:r>
          </w:p>
        </w:tc>
        <w:tc>
          <w:tcPr>
            <w:tcW w:w="2909" w:type="dxa"/>
            <w:vAlign w:val="center"/>
          </w:tcPr>
          <w:p w14:paraId="115B8D5B" w14:textId="4E95FEC8" w:rsidR="002B1CD3" w:rsidRDefault="001706B2">
            <w:pPr>
              <w:spacing w:line="288" w:lineRule="auto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t>固定收益部</w:t>
            </w:r>
            <w:r w:rsidR="00893C2E">
              <w:rPr>
                <w:rFonts w:ascii="仿宋_GB2312" w:eastAsia="仿宋_GB2312" w:hAnsi="仿宋" w:cs="仿宋" w:hint="eastAsia"/>
                <w:sz w:val="24"/>
              </w:rPr>
              <w:t>、股票投资部</w:t>
            </w:r>
          </w:p>
        </w:tc>
        <w:tc>
          <w:tcPr>
            <w:tcW w:w="2428" w:type="dxa"/>
            <w:vAlign w:val="center"/>
          </w:tcPr>
          <w:p w14:paraId="004A9B01" w14:textId="77777777" w:rsidR="002B1CD3" w:rsidRDefault="001706B2">
            <w:pPr>
              <w:spacing w:line="288" w:lineRule="auto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发起人</w:t>
            </w:r>
          </w:p>
        </w:tc>
        <w:tc>
          <w:tcPr>
            <w:tcW w:w="2932" w:type="dxa"/>
            <w:vAlign w:val="center"/>
          </w:tcPr>
          <w:p w14:paraId="492918A7" w14:textId="2BCF5E3E" w:rsidR="002B1CD3" w:rsidRDefault="002D018C">
            <w:pPr>
              <w:spacing w:line="288" w:lineRule="auto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t>彭程</w:t>
            </w:r>
            <w:r w:rsidR="00893C2E">
              <w:rPr>
                <w:rFonts w:ascii="仿宋_GB2312" w:eastAsia="仿宋_GB2312" w:hAnsi="仿宋" w:cs="仿宋" w:hint="eastAsia"/>
                <w:sz w:val="24"/>
              </w:rPr>
              <w:t>、周欣宇</w:t>
            </w:r>
          </w:p>
        </w:tc>
      </w:tr>
      <w:tr w:rsidR="002B1CD3" w14:paraId="35D6DA88" w14:textId="77777777">
        <w:trPr>
          <w:trHeight w:val="611"/>
          <w:jc w:val="center"/>
        </w:trPr>
        <w:tc>
          <w:tcPr>
            <w:tcW w:w="24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C0EAF" w14:textId="77777777" w:rsidR="002B1CD3" w:rsidRDefault="001706B2">
            <w:pPr>
              <w:spacing w:line="276" w:lineRule="auto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业务品种</w:t>
            </w:r>
          </w:p>
        </w:tc>
        <w:tc>
          <w:tcPr>
            <w:tcW w:w="82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C3B2B" w14:textId="046D1098" w:rsidR="002B1CD3" w:rsidRPr="003B18AC" w:rsidRDefault="001706B2">
            <w:pPr>
              <w:rPr>
                <w:rFonts w:ascii="楷体" w:eastAsia="楷体" w:hAnsi="楷体"/>
                <w:bCs/>
                <w:sz w:val="24"/>
              </w:rPr>
            </w:pPr>
            <w:r w:rsidRPr="003F1C74">
              <w:rPr>
                <w:rFonts w:ascii="仿宋_GB2312" w:eastAsia="仿宋_GB2312" w:hAnsi="仿宋" w:cs="仿宋" w:hint="eastAsia"/>
                <w:sz w:val="24"/>
              </w:rPr>
              <w:t>标准化C类业务，</w:t>
            </w:r>
            <w:r w:rsidR="00846CC4" w:rsidRPr="003F1C74">
              <w:rPr>
                <w:rFonts w:ascii="仿宋_GB2312" w:eastAsia="仿宋_GB2312" w:hAnsi="仿宋" w:cs="仿宋" w:hint="eastAsia"/>
                <w:sz w:val="24"/>
              </w:rPr>
              <w:t>委外专户</w:t>
            </w:r>
          </w:p>
        </w:tc>
      </w:tr>
      <w:tr w:rsidR="002B1CD3" w14:paraId="274CFE2D" w14:textId="77777777">
        <w:trPr>
          <w:trHeight w:val="1212"/>
          <w:jc w:val="center"/>
        </w:trPr>
        <w:tc>
          <w:tcPr>
            <w:tcW w:w="10720" w:type="dxa"/>
            <w:gridSpan w:val="5"/>
          </w:tcPr>
          <w:p w14:paraId="0E8A5B31" w14:textId="77777777" w:rsidR="002B1CD3" w:rsidRPr="0014756F" w:rsidRDefault="001706B2" w:rsidP="0058487E">
            <w:pPr>
              <w:pStyle w:val="a0"/>
              <w:spacing w:line="360" w:lineRule="auto"/>
              <w:ind w:leftChars="0" w:left="0" w:firstLineChars="200" w:firstLine="480"/>
              <w:rPr>
                <w:rFonts w:ascii="仿宋_GB2312" w:eastAsia="仿宋_GB2312" w:hAnsi="仿宋" w:cs="仿宋"/>
                <w:sz w:val="24"/>
              </w:rPr>
            </w:pPr>
            <w:r w:rsidRPr="0014756F">
              <w:rPr>
                <w:rFonts w:ascii="仿宋_GB2312" w:eastAsia="仿宋_GB2312" w:hAnsi="仿宋" w:cs="仿宋" w:hint="eastAsia"/>
                <w:sz w:val="24"/>
              </w:rPr>
              <w:t>标的介绍：</w:t>
            </w:r>
          </w:p>
          <w:p w14:paraId="51390981" w14:textId="4133D967" w:rsidR="00DA229A" w:rsidRDefault="00DA229A" w:rsidP="0058487E">
            <w:pPr>
              <w:pStyle w:val="a0"/>
              <w:spacing w:line="360" w:lineRule="auto"/>
              <w:ind w:leftChars="0" w:left="0" w:firstLineChars="200" w:firstLine="480"/>
              <w:rPr>
                <w:rFonts w:ascii="仿宋_GB2312" w:eastAsia="仿宋_GB2312" w:hAnsi="仿宋" w:cs="仿宋"/>
                <w:sz w:val="24"/>
              </w:rPr>
            </w:pPr>
            <w:r w:rsidRPr="00DA229A">
              <w:rPr>
                <w:rFonts w:ascii="仿宋_GB2312" w:eastAsia="仿宋_GB2312" w:hAnsi="仿宋" w:cs="仿宋" w:hint="eastAsia"/>
                <w:sz w:val="24"/>
              </w:rPr>
              <w:t>固定收益部</w:t>
            </w:r>
            <w:r w:rsidR="00B24841">
              <w:rPr>
                <w:rFonts w:ascii="仿宋_GB2312" w:eastAsia="仿宋_GB2312" w:hAnsi="仿宋" w:cs="仿宋" w:hint="eastAsia"/>
                <w:sz w:val="24"/>
              </w:rPr>
              <w:t>和股票收益部</w:t>
            </w:r>
            <w:r w:rsidRPr="00DA229A">
              <w:rPr>
                <w:rFonts w:ascii="仿宋_GB2312" w:eastAsia="仿宋_GB2312" w:hAnsi="仿宋" w:cs="仿宋" w:hint="eastAsia"/>
                <w:sz w:val="24"/>
              </w:rPr>
              <w:t>拟通过设立可转债组合，委托投资的形式，参与可转债投资</w:t>
            </w:r>
            <w:r>
              <w:rPr>
                <w:rFonts w:ascii="仿宋_GB2312" w:eastAsia="仿宋_GB2312" w:hAnsi="仿宋" w:cs="仿宋" w:hint="eastAsia"/>
                <w:sz w:val="24"/>
              </w:rPr>
              <w:t>。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主要基于以下几方面投资诉求：第一，</w:t>
            </w:r>
            <w:r w:rsidR="00BC616C" w:rsidRPr="001D356C">
              <w:rPr>
                <w:rFonts w:ascii="仿宋_GB2312" w:eastAsia="仿宋_GB2312" w:hAnsi="仿宋" w:cs="仿宋" w:hint="eastAsia"/>
                <w:sz w:val="24"/>
              </w:rPr>
              <w:t>转债市场规模较大，可投资标的丰富，涉及行业多元化，在大类资产上已经是固定收益投资中不可忽视的部分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，</w:t>
            </w:r>
            <w:r w:rsidR="00BC616C" w:rsidRPr="001D356C">
              <w:rPr>
                <w:rFonts w:ascii="仿宋_GB2312" w:eastAsia="仿宋_GB2312" w:hAnsi="仿宋" w:cs="仿宋" w:hint="eastAsia"/>
                <w:sz w:val="24"/>
              </w:rPr>
              <w:t>不仅有略高于普通债券的平均回报，还有不同于普通债券和股票的风险收益特征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，具有较高的投资价值。第二，可转债在我司大部分产品的投资范围内，</w:t>
            </w:r>
            <w:r w:rsidR="00BC616C" w:rsidRPr="001D356C">
              <w:rPr>
                <w:rFonts w:ascii="仿宋_GB2312" w:eastAsia="仿宋_GB2312" w:hAnsi="仿宋" w:cs="仿宋" w:hint="eastAsia"/>
                <w:sz w:val="24"/>
              </w:rPr>
              <w:t>随着固定收益部及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股票投资部</w:t>
            </w:r>
            <w:r w:rsidR="00BC616C" w:rsidRPr="001D356C">
              <w:rPr>
                <w:rFonts w:ascii="仿宋_GB2312" w:eastAsia="仿宋_GB2312" w:hAnsi="仿宋" w:cs="仿宋" w:hint="eastAsia"/>
                <w:sz w:val="24"/>
              </w:rPr>
              <w:t>相关投资部门管理的阳光金添利、阳光金增利、阳光橙等系列理财产品逐步丰富、规模扩大，为了更好扩大投向，增厚产品投资业绩，产品有较强配置可转债需求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。第三，可转债市场标的众多，影响因素相对复杂，投资可转债对研究支持的要求较高，委托投资的形式能够更高效地参与到该市场中。</w:t>
            </w:r>
          </w:p>
          <w:p w14:paraId="0692CB28" w14:textId="77777777" w:rsidR="00BC616C" w:rsidRPr="00266AE5" w:rsidRDefault="00DA229A" w:rsidP="0058487E">
            <w:pPr>
              <w:pStyle w:val="a0"/>
              <w:spacing w:line="360" w:lineRule="auto"/>
              <w:ind w:leftChars="0" w:left="0" w:firstLineChars="200" w:firstLine="480"/>
              <w:rPr>
                <w:rFonts w:ascii="仿宋_GB2312" w:eastAsia="仿宋_GB2312" w:hAnsi="仿宋" w:cs="仿宋"/>
                <w:sz w:val="24"/>
              </w:rPr>
            </w:pPr>
            <w:r w:rsidRPr="00DA229A">
              <w:rPr>
                <w:rFonts w:ascii="仿宋_GB2312" w:eastAsia="仿宋_GB2312" w:hAnsi="仿宋" w:cs="仿宋" w:hint="eastAsia"/>
                <w:sz w:val="24"/>
              </w:rPr>
              <w:t>拟申请通过以下形式，参与可转债投资： MOM模式，优选数家管理人（例如选取5-8家）作为MOM底层管理人，</w:t>
            </w:r>
            <w:r w:rsidR="00A172DE">
              <w:rPr>
                <w:rFonts w:ascii="仿宋_GB2312" w:eastAsia="仿宋_GB2312" w:hAnsi="仿宋" w:cs="仿宋" w:hint="eastAsia"/>
                <w:sz w:val="24"/>
              </w:rPr>
              <w:t>通过光证资管等机构设立MOM组合，</w:t>
            </w:r>
            <w:r w:rsidRPr="00DA229A">
              <w:rPr>
                <w:rFonts w:ascii="仿宋_GB2312" w:eastAsia="仿宋_GB2312" w:hAnsi="仿宋" w:cs="仿宋" w:hint="eastAsia"/>
                <w:sz w:val="24"/>
              </w:rPr>
              <w:t>由固定收益部</w:t>
            </w:r>
            <w:r w:rsidR="003F1C74">
              <w:rPr>
                <w:rFonts w:ascii="仿宋_GB2312" w:eastAsia="仿宋_GB2312" w:hAnsi="仿宋" w:cs="仿宋" w:hint="eastAsia"/>
                <w:sz w:val="24"/>
              </w:rPr>
              <w:t>及股票投资部</w:t>
            </w:r>
            <w:r w:rsidRPr="00DA229A">
              <w:rPr>
                <w:rFonts w:ascii="仿宋_GB2312" w:eastAsia="仿宋_GB2312" w:hAnsi="仿宋" w:cs="仿宋" w:hint="eastAsia"/>
                <w:sz w:val="24"/>
              </w:rPr>
              <w:t>管理，光大理财净值类产品通过申赎MOM组合的模式参与可转债投资。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本次申请准入的管理人基本为公募基金和资管行业的头部机构，包括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中信资管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富国基金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中欧基金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华夏基金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汇添富基金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博时基金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广发基金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泰康资管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国泰基金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南方基金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易方达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嘉实基金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光大保德信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国君资管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鹏华基金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BC616C" w:rsidRPr="0014756F">
              <w:rPr>
                <w:rFonts w:ascii="仿宋_GB2312" w:eastAsia="仿宋_GB2312" w:hAnsi="仿宋" w:cs="仿宋" w:hint="eastAsia"/>
                <w:sz w:val="24"/>
              </w:rPr>
              <w:t>上投摩根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等1</w:t>
            </w:r>
            <w:r w:rsidR="00BC616C">
              <w:rPr>
                <w:rFonts w:ascii="仿宋_GB2312" w:eastAsia="仿宋_GB2312" w:hAnsi="仿宋" w:cs="仿宋"/>
                <w:sz w:val="24"/>
              </w:rPr>
              <w:t>6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家机构，均在我司合作机构名单内。申请委托于每家机构的转债策略组合规模不超过1</w:t>
            </w:r>
            <w:r w:rsidR="00BC616C">
              <w:rPr>
                <w:rFonts w:ascii="仿宋_GB2312" w:eastAsia="仿宋_GB2312" w:hAnsi="仿宋" w:cs="仿宋"/>
                <w:sz w:val="24"/>
              </w:rPr>
              <w:t>0</w:t>
            </w:r>
            <w:r w:rsidR="00BC616C">
              <w:rPr>
                <w:rFonts w:ascii="仿宋_GB2312" w:eastAsia="仿宋_GB2312" w:hAnsi="仿宋" w:cs="仿宋" w:hint="eastAsia"/>
                <w:sz w:val="24"/>
              </w:rPr>
              <w:t>亿，具体投资策略、管理人遴选流程等分析详见《尽调报告》。</w:t>
            </w:r>
          </w:p>
          <w:p w14:paraId="53E22AEB" w14:textId="77777777" w:rsidR="0058487E" w:rsidRDefault="00905483" w:rsidP="0058487E">
            <w:pPr>
              <w:pStyle w:val="a0"/>
              <w:spacing w:line="360" w:lineRule="auto"/>
              <w:ind w:leftChars="0" w:left="0" w:firstLineChars="200" w:firstLine="480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t>在投资策略方面，由于理财产品性质和底层资产诉求不同，固定收益部门与股票投资部门拟采用不同的</w:t>
            </w:r>
            <w:r w:rsidR="0058487E">
              <w:rPr>
                <w:rFonts w:ascii="仿宋_GB2312" w:eastAsia="仿宋_GB2312" w:hAnsi="仿宋" w:cs="仿宋" w:hint="eastAsia"/>
                <w:sz w:val="24"/>
              </w:rPr>
              <w:t>底层策略进行委托投资。</w:t>
            </w:r>
          </w:p>
          <w:p w14:paraId="42CED41A" w14:textId="592DFA24" w:rsidR="00193425" w:rsidRPr="00266AE5" w:rsidRDefault="00B24841" w:rsidP="0058487E">
            <w:pPr>
              <w:pStyle w:val="a0"/>
              <w:spacing w:line="360" w:lineRule="auto"/>
              <w:ind w:leftChars="0" w:left="0" w:firstLineChars="200" w:firstLine="480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t>固定收益部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底层策略方面，</w:t>
            </w:r>
            <w:r w:rsidR="00100B0F">
              <w:rPr>
                <w:rFonts w:ascii="仿宋_GB2312" w:eastAsia="仿宋_GB2312" w:hAnsi="仿宋" w:cs="仿宋" w:hint="eastAsia"/>
                <w:sz w:val="24"/>
              </w:rPr>
              <w:t>1</w:t>
            </w:r>
            <w:r w:rsidR="00100B0F">
              <w:rPr>
                <w:rFonts w:ascii="仿宋_GB2312" w:eastAsia="仿宋_GB2312" w:hAnsi="仿宋" w:cs="仿宋"/>
                <w:sz w:val="24"/>
              </w:rPr>
              <w:t>.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可转换公司债券</w:t>
            </w:r>
            <w:r w:rsidR="00BE43FC" w:rsidRPr="003F1C74">
              <w:rPr>
                <w:rFonts w:ascii="仿宋_GB2312" w:eastAsia="仿宋_GB2312" w:hAnsi="仿宋" w:cs="仿宋" w:hint="eastAsia"/>
                <w:sz w:val="24"/>
              </w:rPr>
              <w:t>和可交换债券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的投资规模合计不低于组合净资产的80%</w:t>
            </w:r>
            <w:r w:rsidR="0060026D">
              <w:rPr>
                <w:rFonts w:ascii="仿宋_GB2312" w:eastAsia="仿宋_GB2312" w:hAnsi="仿宋" w:cs="仿宋" w:hint="eastAsia"/>
                <w:sz w:val="24"/>
              </w:rPr>
              <w:t>；</w:t>
            </w:r>
            <w:r w:rsidR="00100B0F">
              <w:rPr>
                <w:rFonts w:ascii="仿宋_GB2312" w:eastAsia="仿宋_GB2312" w:hAnsi="仿宋" w:cs="仿宋" w:hint="eastAsia"/>
                <w:sz w:val="24"/>
              </w:rPr>
              <w:t>2</w:t>
            </w:r>
            <w:r w:rsidR="00100B0F">
              <w:rPr>
                <w:rFonts w:ascii="仿宋_GB2312" w:eastAsia="仿宋_GB2312" w:hAnsi="仿宋" w:cs="仿宋"/>
                <w:sz w:val="24"/>
              </w:rPr>
              <w:t>.</w:t>
            </w:r>
            <w:r w:rsidR="00193425" w:rsidRPr="003F1C74">
              <w:rPr>
                <w:rFonts w:ascii="仿宋_GB2312" w:eastAsia="仿宋_GB2312" w:hAnsi="仿宋" w:cs="仿宋" w:hint="eastAsia"/>
                <w:sz w:val="24"/>
              </w:rPr>
              <w:t xml:space="preserve"> 可投资于利率债、商业银行金融债、商业银行二级资本债、商业银行永续债、银行大额存单</w:t>
            </w:r>
            <w:r w:rsidR="0060026D" w:rsidRPr="003F1C74">
              <w:rPr>
                <w:rFonts w:ascii="仿宋_GB2312" w:eastAsia="仿宋_GB2312" w:hAnsi="仿宋" w:cs="仿宋" w:hint="eastAsia"/>
                <w:sz w:val="24"/>
              </w:rPr>
              <w:t>；</w:t>
            </w:r>
            <w:r w:rsidR="00100B0F" w:rsidRPr="003F1C74">
              <w:rPr>
                <w:rFonts w:ascii="仿宋_GB2312" w:eastAsia="仿宋_GB2312" w:hAnsi="仿宋" w:cs="仿宋" w:hint="eastAsia"/>
                <w:sz w:val="24"/>
              </w:rPr>
              <w:lastRenderedPageBreak/>
              <w:t>3</w:t>
            </w:r>
            <w:r w:rsidR="00100B0F" w:rsidRPr="003F1C74">
              <w:rPr>
                <w:rFonts w:ascii="仿宋_GB2312" w:eastAsia="仿宋_GB2312" w:hAnsi="仿宋" w:cs="仿宋"/>
                <w:sz w:val="24"/>
              </w:rPr>
              <w:t>.</w:t>
            </w:r>
            <w:r w:rsidR="00193425" w:rsidRPr="003F1C74">
              <w:rPr>
                <w:rFonts w:ascii="仿宋_GB2312" w:eastAsia="仿宋_GB2312" w:hAnsi="仿宋" w:cs="仿宋" w:hint="eastAsia"/>
                <w:sz w:val="24"/>
              </w:rPr>
              <w:t xml:space="preserve"> 可投资于国债期货和股指期货，只用于对冲风险、套期保值，合约价值不超过净资产的2</w:t>
            </w:r>
            <w:r w:rsidR="00193425" w:rsidRPr="003F1C74">
              <w:rPr>
                <w:rFonts w:ascii="仿宋_GB2312" w:eastAsia="仿宋_GB2312" w:hAnsi="仿宋" w:cs="仿宋"/>
                <w:sz w:val="24"/>
              </w:rPr>
              <w:t>0%</w:t>
            </w:r>
            <w:r w:rsidR="00193425" w:rsidRPr="00266AE5">
              <w:rPr>
                <w:rFonts w:ascii="仿宋_GB2312" w:eastAsia="仿宋_GB2312" w:hAnsi="仿宋" w:cs="仿宋" w:hint="eastAsia"/>
                <w:sz w:val="24"/>
              </w:rPr>
              <w:t>。</w:t>
            </w:r>
          </w:p>
          <w:p w14:paraId="3FEC6010" w14:textId="055C58FF" w:rsidR="00B24841" w:rsidRPr="00266AE5" w:rsidRDefault="00B24841" w:rsidP="0058487E">
            <w:pPr>
              <w:pStyle w:val="a0"/>
              <w:spacing w:line="360" w:lineRule="auto"/>
              <w:ind w:leftChars="0" w:left="0" w:firstLineChars="200" w:firstLine="480"/>
              <w:rPr>
                <w:rFonts w:ascii="仿宋_GB2312" w:eastAsia="仿宋_GB2312" w:hAnsi="仿宋" w:cs="仿宋"/>
                <w:sz w:val="24"/>
              </w:rPr>
            </w:pPr>
            <w:r w:rsidRPr="003F1C74">
              <w:rPr>
                <w:rFonts w:ascii="仿宋_GB2312" w:eastAsia="仿宋_GB2312" w:hAnsi="仿宋" w:cs="仿宋" w:hint="eastAsia"/>
                <w:sz w:val="24"/>
              </w:rPr>
              <w:t>股票投资部底层策略方面，1</w:t>
            </w:r>
            <w:r w:rsidRPr="003F1C74">
              <w:rPr>
                <w:rFonts w:ascii="仿宋_GB2312" w:eastAsia="仿宋_GB2312" w:hAnsi="仿宋" w:cs="仿宋"/>
                <w:sz w:val="24"/>
              </w:rPr>
              <w:t xml:space="preserve">. </w:t>
            </w:r>
            <w:r w:rsidRPr="003F1C74">
              <w:rPr>
                <w:rFonts w:ascii="仿宋_GB2312" w:eastAsia="仿宋_GB2312" w:hAnsi="仿宋" w:cs="仿宋" w:hint="eastAsia"/>
                <w:sz w:val="24"/>
              </w:rPr>
              <w:t>可转换公司债券和可交换债券的投资规模合计不高于组合净资产的5</w:t>
            </w:r>
            <w:r w:rsidRPr="003F1C74">
              <w:rPr>
                <w:rFonts w:ascii="仿宋_GB2312" w:eastAsia="仿宋_GB2312" w:hAnsi="仿宋" w:cs="仿宋"/>
                <w:sz w:val="24"/>
              </w:rPr>
              <w:t>0%</w:t>
            </w:r>
            <w:r w:rsidRPr="003F1C74">
              <w:rPr>
                <w:rFonts w:ascii="仿宋_GB2312" w:eastAsia="仿宋_GB2312" w:hAnsi="仿宋" w:cs="仿宋" w:hint="eastAsia"/>
                <w:sz w:val="24"/>
              </w:rPr>
              <w:t>；2</w:t>
            </w:r>
            <w:r w:rsidRPr="003F1C74">
              <w:rPr>
                <w:rFonts w:ascii="仿宋_GB2312" w:eastAsia="仿宋_GB2312" w:hAnsi="仿宋" w:cs="仿宋"/>
                <w:sz w:val="24"/>
              </w:rPr>
              <w:t xml:space="preserve">. </w:t>
            </w:r>
            <w:r w:rsidR="00661765" w:rsidRPr="003F1C74">
              <w:rPr>
                <w:rFonts w:ascii="仿宋_GB2312" w:eastAsia="仿宋_GB2312" w:hAnsi="仿宋" w:cs="仿宋" w:hint="eastAsia"/>
                <w:sz w:val="24"/>
              </w:rPr>
              <w:t>股票、可转换公司债券和可交换债券的投资规模不高于组合净资产的</w:t>
            </w:r>
            <w:r w:rsidR="00661765" w:rsidRPr="003F1C74">
              <w:rPr>
                <w:rFonts w:ascii="仿宋_GB2312" w:eastAsia="仿宋_GB2312" w:hAnsi="仿宋" w:cs="仿宋"/>
                <w:sz w:val="24"/>
              </w:rPr>
              <w:t>50%</w:t>
            </w:r>
            <w:r w:rsidR="00661765" w:rsidRPr="003F1C74">
              <w:rPr>
                <w:rFonts w:ascii="仿宋_GB2312" w:eastAsia="仿宋_GB2312" w:hAnsi="仿宋" w:cs="仿宋" w:hint="eastAsia"/>
                <w:sz w:val="24"/>
              </w:rPr>
              <w:t>；3</w:t>
            </w:r>
            <w:r w:rsidR="00661765" w:rsidRPr="003F1C74">
              <w:rPr>
                <w:rFonts w:ascii="仿宋_GB2312" w:eastAsia="仿宋_GB2312" w:hAnsi="仿宋" w:cs="仿宋"/>
                <w:sz w:val="24"/>
              </w:rPr>
              <w:t xml:space="preserve">. </w:t>
            </w:r>
            <w:r w:rsidR="00661765" w:rsidRPr="003F1C74">
              <w:rPr>
                <w:rFonts w:ascii="仿宋_GB2312" w:eastAsia="仿宋_GB2312" w:hAnsi="仿宋" w:cs="仿宋" w:hint="eastAsia"/>
                <w:sz w:val="24"/>
              </w:rPr>
              <w:t>股票的投资规模不高于组合净资产的2</w:t>
            </w:r>
            <w:r w:rsidR="00661765" w:rsidRPr="003F1C74">
              <w:rPr>
                <w:rFonts w:ascii="仿宋_GB2312" w:eastAsia="仿宋_GB2312" w:hAnsi="仿宋" w:cs="仿宋"/>
                <w:sz w:val="24"/>
              </w:rPr>
              <w:t>0%</w:t>
            </w:r>
            <w:r w:rsidR="00661765" w:rsidRPr="003F1C74">
              <w:rPr>
                <w:rFonts w:ascii="仿宋_GB2312" w:eastAsia="仿宋_GB2312" w:hAnsi="仿宋" w:cs="仿宋" w:hint="eastAsia"/>
                <w:sz w:val="24"/>
              </w:rPr>
              <w:t>；4</w:t>
            </w:r>
            <w:r w:rsidR="00661765" w:rsidRPr="003F1C74">
              <w:rPr>
                <w:rFonts w:ascii="仿宋_GB2312" w:eastAsia="仿宋_GB2312" w:hAnsi="仿宋" w:cs="仿宋"/>
                <w:sz w:val="24"/>
              </w:rPr>
              <w:t>.</w:t>
            </w:r>
            <w:r w:rsidRPr="003F1C74">
              <w:rPr>
                <w:rFonts w:ascii="仿宋_GB2312" w:eastAsia="仿宋_GB2312" w:hAnsi="仿宋" w:cs="仿宋" w:hint="eastAsia"/>
                <w:sz w:val="24"/>
              </w:rPr>
              <w:t>可投资于利率债、</w:t>
            </w:r>
            <w:r w:rsidR="00661765" w:rsidRPr="003F1C74">
              <w:rPr>
                <w:rFonts w:ascii="仿宋_GB2312" w:eastAsia="仿宋_GB2312" w:hAnsi="仿宋" w:cs="仿宋" w:hint="eastAsia"/>
                <w:sz w:val="24"/>
              </w:rPr>
              <w:t>商业银行金融债、商业银行二级资本债、商业银行永续债、银行大额存单。</w:t>
            </w:r>
            <w:r w:rsidR="009B4AB4" w:rsidRPr="003F1C74">
              <w:rPr>
                <w:rFonts w:ascii="仿宋_GB2312" w:eastAsia="仿宋_GB2312" w:hAnsi="仿宋" w:cs="仿宋" w:hint="eastAsia"/>
                <w:sz w:val="24"/>
              </w:rPr>
              <w:t>5</w:t>
            </w:r>
            <w:r w:rsidR="009B4AB4" w:rsidRPr="003F1C74">
              <w:rPr>
                <w:rFonts w:ascii="仿宋_GB2312" w:eastAsia="仿宋_GB2312" w:hAnsi="仿宋" w:cs="仿宋"/>
                <w:sz w:val="24"/>
              </w:rPr>
              <w:t>.</w:t>
            </w:r>
            <w:r w:rsidR="009B4AB4" w:rsidRPr="003F1C74">
              <w:rPr>
                <w:rFonts w:ascii="仿宋_GB2312" w:eastAsia="仿宋_GB2312" w:hAnsi="仿宋" w:cs="仿宋" w:hint="eastAsia"/>
                <w:sz w:val="24"/>
              </w:rPr>
              <w:t>可投资于国债期货和股指期货</w:t>
            </w:r>
            <w:r w:rsidR="00E24754" w:rsidRPr="003F1C74">
              <w:rPr>
                <w:rFonts w:ascii="仿宋_GB2312" w:eastAsia="仿宋_GB2312" w:hAnsi="仿宋" w:cs="仿宋" w:hint="eastAsia"/>
                <w:sz w:val="24"/>
              </w:rPr>
              <w:t>，只用于对冲风险、</w:t>
            </w:r>
            <w:r w:rsidR="009B4AB4" w:rsidRPr="003F1C74">
              <w:rPr>
                <w:rFonts w:ascii="仿宋_GB2312" w:eastAsia="仿宋_GB2312" w:hAnsi="仿宋" w:cs="仿宋" w:hint="eastAsia"/>
                <w:sz w:val="24"/>
              </w:rPr>
              <w:t>套期保值，合约价值不超过净资产的2</w:t>
            </w:r>
            <w:r w:rsidR="009B4AB4" w:rsidRPr="003F1C74">
              <w:rPr>
                <w:rFonts w:ascii="仿宋_GB2312" w:eastAsia="仿宋_GB2312" w:hAnsi="仿宋" w:cs="仿宋"/>
                <w:sz w:val="24"/>
              </w:rPr>
              <w:t>0%</w:t>
            </w:r>
            <w:r w:rsidR="00193425">
              <w:rPr>
                <w:rFonts w:ascii="仿宋_GB2312" w:eastAsia="仿宋_GB2312" w:hAnsi="仿宋" w:cs="仿宋" w:hint="eastAsia"/>
                <w:sz w:val="24"/>
              </w:rPr>
              <w:t>。</w:t>
            </w:r>
          </w:p>
          <w:p w14:paraId="134A5FE1" w14:textId="07B52558" w:rsidR="002B1CD3" w:rsidRPr="003C5F04" w:rsidRDefault="002B1CD3" w:rsidP="0058487E">
            <w:pPr>
              <w:pStyle w:val="a0"/>
              <w:spacing w:line="360" w:lineRule="auto"/>
              <w:ind w:leftChars="0" w:left="0" w:firstLineChars="200" w:firstLine="480"/>
              <w:rPr>
                <w:rFonts w:ascii="仿宋_GB2312" w:eastAsia="仿宋_GB2312" w:hAnsi="仿宋" w:cs="仿宋"/>
                <w:sz w:val="24"/>
              </w:rPr>
            </w:pPr>
          </w:p>
        </w:tc>
      </w:tr>
      <w:tr w:rsidR="002B1CD3" w14:paraId="382E1C32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4FBFCA1B" w14:textId="77777777" w:rsidR="002B1CD3" w:rsidRDefault="001706B2">
            <w:pPr>
              <w:spacing w:line="276" w:lineRule="auto"/>
              <w:jc w:val="left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lastRenderedPageBreak/>
              <w:t>投资经理意见</w:t>
            </w:r>
          </w:p>
        </w:tc>
        <w:tc>
          <w:tcPr>
            <w:tcW w:w="8292" w:type="dxa"/>
            <w:gridSpan w:val="4"/>
            <w:vAlign w:val="center"/>
          </w:tcPr>
          <w:p w14:paraId="0BB94BC6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5E9C95DD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4DD52FF4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5BFC8CFE" w14:textId="77777777" w:rsidR="002B1CD3" w:rsidRDefault="001706B2">
            <w:pPr>
              <w:spacing w:line="276" w:lineRule="auto"/>
              <w:jc w:val="center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投资部门负责人意见</w:t>
            </w:r>
          </w:p>
        </w:tc>
        <w:tc>
          <w:tcPr>
            <w:tcW w:w="8292" w:type="dxa"/>
            <w:gridSpan w:val="4"/>
            <w:vAlign w:val="center"/>
          </w:tcPr>
          <w:p w14:paraId="02B9DC85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2F4D918A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 </w:t>
            </w:r>
          </w:p>
        </w:tc>
      </w:tr>
      <w:tr w:rsidR="002B1CD3" w14:paraId="6422BB00" w14:textId="77777777">
        <w:trPr>
          <w:trHeight w:val="555"/>
          <w:jc w:val="center"/>
        </w:trPr>
        <w:tc>
          <w:tcPr>
            <w:tcW w:w="10720" w:type="dxa"/>
            <w:gridSpan w:val="5"/>
            <w:shd w:val="clear" w:color="auto" w:fill="F1F1F1"/>
            <w:vAlign w:val="center"/>
          </w:tcPr>
          <w:p w14:paraId="069D85CD" w14:textId="77777777" w:rsidR="002B1CD3" w:rsidRDefault="001706B2">
            <w:pPr>
              <w:jc w:val="center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z w:val="24"/>
              </w:rPr>
              <w:t>研究员分析意见</w:t>
            </w:r>
          </w:p>
        </w:tc>
      </w:tr>
      <w:tr w:rsidR="002B1CD3" w14:paraId="5A0E8A67" w14:textId="77777777">
        <w:trPr>
          <w:trHeight w:hRule="exact" w:val="1147"/>
          <w:jc w:val="center"/>
        </w:trPr>
        <w:tc>
          <w:tcPr>
            <w:tcW w:w="10720" w:type="dxa"/>
            <w:gridSpan w:val="5"/>
            <w:vAlign w:val="center"/>
          </w:tcPr>
          <w:p w14:paraId="236CCB50" w14:textId="77777777" w:rsidR="002B1CD3" w:rsidRDefault="002B1CD3"/>
          <w:p w14:paraId="1FC08D83" w14:textId="382DCFB4" w:rsidR="002B1CD3" w:rsidRDefault="001706B2">
            <w:r>
              <w:rPr>
                <w:rFonts w:ascii="仿宋_GB2312" w:eastAsia="仿宋_GB2312" w:hAnsi="仿宋" w:cs="仿宋" w:hint="eastAsia"/>
                <w:sz w:val="24"/>
              </w:rPr>
              <w:t>详见《</w:t>
            </w:r>
            <w:r w:rsidR="0015442A">
              <w:rPr>
                <w:rFonts w:ascii="仿宋_GB2312" w:eastAsia="仿宋_GB2312" w:hAnsi="仿宋" w:cs="仿宋" w:hint="eastAsia"/>
                <w:sz w:val="24"/>
              </w:rPr>
              <w:t>评审意见</w:t>
            </w:r>
            <w:r>
              <w:rPr>
                <w:rFonts w:ascii="仿宋_GB2312" w:eastAsia="仿宋_GB2312" w:hAnsi="仿宋" w:cs="仿宋" w:hint="eastAsia"/>
                <w:sz w:val="24"/>
              </w:rPr>
              <w:t>》</w:t>
            </w:r>
          </w:p>
          <w:p w14:paraId="39019F13" w14:textId="77777777" w:rsidR="002B1CD3" w:rsidRDefault="002B1CD3"/>
          <w:p w14:paraId="0E40767E" w14:textId="77777777" w:rsidR="002B1CD3" w:rsidRDefault="001706B2">
            <w:pPr>
              <w:rPr>
                <w:rFonts w:ascii="仿宋_GB2312" w:eastAsia="仿宋_GB2312" w:hAnsi="仿宋" w:cs="仿宋"/>
                <w:b/>
                <w:bCs/>
                <w:sz w:val="24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t>。</w:t>
            </w:r>
          </w:p>
        </w:tc>
      </w:tr>
      <w:tr w:rsidR="002B1CD3" w14:paraId="7EA8DAB5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7AE067F5" w14:textId="77777777" w:rsidR="002B1CD3" w:rsidRDefault="001706B2">
            <w:pPr>
              <w:spacing w:line="276" w:lineRule="auto"/>
              <w:jc w:val="center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研究员意见</w:t>
            </w:r>
          </w:p>
        </w:tc>
        <w:tc>
          <w:tcPr>
            <w:tcW w:w="8292" w:type="dxa"/>
            <w:gridSpan w:val="4"/>
            <w:vAlign w:val="center"/>
          </w:tcPr>
          <w:p w14:paraId="0E011A58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5B5C4AA7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7AD38EE7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2EDB3D21" w14:textId="77777777" w:rsidR="002B1CD3" w:rsidRDefault="001706B2">
            <w:pPr>
              <w:spacing w:line="276" w:lineRule="auto"/>
              <w:jc w:val="center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研究负责人意见</w:t>
            </w:r>
          </w:p>
        </w:tc>
        <w:tc>
          <w:tcPr>
            <w:tcW w:w="8292" w:type="dxa"/>
            <w:gridSpan w:val="4"/>
            <w:vAlign w:val="center"/>
          </w:tcPr>
          <w:p w14:paraId="2BC4D9B4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39E0A981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  <w:r>
              <w:rPr>
                <w:rFonts w:ascii="仿宋_GB2312" w:eastAsia="仿宋_GB2312" w:hAnsi="仿宋" w:cs="仿宋" w:hint="eastAsia"/>
                <w:sz w:val="24"/>
              </w:rPr>
              <w:t xml:space="preserve"> </w:t>
            </w:r>
          </w:p>
        </w:tc>
      </w:tr>
      <w:tr w:rsidR="002B1CD3" w14:paraId="071459AE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211E3A57" w14:textId="77777777" w:rsidR="002B1CD3" w:rsidRDefault="001706B2">
            <w:pPr>
              <w:wordWrap w:val="0"/>
              <w:adjustRightInd w:val="0"/>
              <w:spacing w:line="276" w:lineRule="auto"/>
              <w:jc w:val="center"/>
              <w:rPr>
                <w:rFonts w:ascii="仿宋_GB2312" w:eastAsia="仿宋_GB2312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首席投资官意见</w:t>
            </w:r>
          </w:p>
        </w:tc>
        <w:tc>
          <w:tcPr>
            <w:tcW w:w="8292" w:type="dxa"/>
            <w:gridSpan w:val="4"/>
            <w:vAlign w:val="center"/>
          </w:tcPr>
          <w:p w14:paraId="1FB0F05A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620170E1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6C544CD0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7913C909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3CE66462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32C121FB" w14:textId="77777777" w:rsidR="002B1CD3" w:rsidRDefault="001706B2">
            <w:pPr>
              <w:wordWrap w:val="0"/>
              <w:adjustRightInd w:val="0"/>
              <w:spacing w:line="276" w:lineRule="auto"/>
              <w:jc w:val="center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lastRenderedPageBreak/>
              <w:t>风险经理意见</w:t>
            </w:r>
          </w:p>
        </w:tc>
        <w:tc>
          <w:tcPr>
            <w:tcW w:w="8292" w:type="dxa"/>
            <w:gridSpan w:val="4"/>
            <w:vAlign w:val="center"/>
          </w:tcPr>
          <w:p w14:paraId="364175BF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084EF8E1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58AE9712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1BC53ABF" w14:textId="77777777">
        <w:trPr>
          <w:trHeight w:val="2918"/>
          <w:jc w:val="center"/>
        </w:trPr>
        <w:tc>
          <w:tcPr>
            <w:tcW w:w="2428" w:type="dxa"/>
            <w:vAlign w:val="center"/>
          </w:tcPr>
          <w:p w14:paraId="6DA5CB15" w14:textId="77777777" w:rsidR="002B1CD3" w:rsidRDefault="001706B2">
            <w:pPr>
              <w:wordWrap w:val="0"/>
              <w:adjustRightInd w:val="0"/>
              <w:spacing w:line="276" w:lineRule="auto"/>
              <w:jc w:val="center"/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风险管理部负责人意见</w:t>
            </w:r>
          </w:p>
        </w:tc>
        <w:tc>
          <w:tcPr>
            <w:tcW w:w="8292" w:type="dxa"/>
            <w:gridSpan w:val="4"/>
            <w:vAlign w:val="center"/>
          </w:tcPr>
          <w:p w14:paraId="0C6CC969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44778076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3787F500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75CEDB6F" w14:textId="77777777" w:rsidR="002B1CD3" w:rsidRDefault="001706B2">
            <w:pPr>
              <w:spacing w:line="288" w:lineRule="auto"/>
              <w:ind w:firstLineChars="2500" w:firstLine="6000"/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23D307B9" w14:textId="77777777">
        <w:trPr>
          <w:trHeight w:val="1968"/>
          <w:jc w:val="center"/>
        </w:trPr>
        <w:tc>
          <w:tcPr>
            <w:tcW w:w="2428" w:type="dxa"/>
            <w:vAlign w:val="center"/>
          </w:tcPr>
          <w:p w14:paraId="786B69F4" w14:textId="77777777" w:rsidR="002B1CD3" w:rsidRDefault="001706B2">
            <w:pPr>
              <w:wordWrap w:val="0"/>
              <w:adjustRightInd w:val="0"/>
              <w:spacing w:line="276" w:lineRule="auto"/>
              <w:jc w:val="center"/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主管风险副总经理意见</w:t>
            </w:r>
          </w:p>
        </w:tc>
        <w:tc>
          <w:tcPr>
            <w:tcW w:w="8292" w:type="dxa"/>
            <w:gridSpan w:val="4"/>
            <w:vAlign w:val="center"/>
          </w:tcPr>
          <w:p w14:paraId="4BCCBB2A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0835081D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7584E971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06FC9B00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11D62E01" w14:textId="77777777">
        <w:trPr>
          <w:trHeight w:val="1968"/>
          <w:jc w:val="center"/>
        </w:trPr>
        <w:tc>
          <w:tcPr>
            <w:tcW w:w="2428" w:type="dxa"/>
            <w:vAlign w:val="center"/>
          </w:tcPr>
          <w:p w14:paraId="71DC0AF0" w14:textId="77777777" w:rsidR="002B1CD3" w:rsidRDefault="001706B2">
            <w:pPr>
              <w:wordWrap w:val="0"/>
              <w:adjustRightInd w:val="0"/>
              <w:spacing w:line="276" w:lineRule="auto"/>
              <w:jc w:val="center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总经理意见</w:t>
            </w:r>
          </w:p>
        </w:tc>
        <w:tc>
          <w:tcPr>
            <w:tcW w:w="8292" w:type="dxa"/>
            <w:gridSpan w:val="4"/>
            <w:vAlign w:val="center"/>
          </w:tcPr>
          <w:p w14:paraId="219C8503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0CA78641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日期：</w:t>
            </w:r>
          </w:p>
        </w:tc>
      </w:tr>
    </w:tbl>
    <w:p w14:paraId="60AF8D4A" w14:textId="77777777" w:rsidR="002B1CD3" w:rsidRDefault="002B1CD3"/>
    <w:sectPr w:rsidR="002B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4F9D" w14:textId="77777777" w:rsidR="00686DDC" w:rsidRDefault="00686DDC" w:rsidP="00DA229A">
      <w:pPr>
        <w:spacing w:line="240" w:lineRule="auto"/>
      </w:pPr>
      <w:r>
        <w:separator/>
      </w:r>
    </w:p>
  </w:endnote>
  <w:endnote w:type="continuationSeparator" w:id="0">
    <w:p w14:paraId="2E5D7AAD" w14:textId="77777777" w:rsidR="00686DDC" w:rsidRDefault="00686DDC" w:rsidP="00DA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37A00" w14:textId="77777777" w:rsidR="00686DDC" w:rsidRDefault="00686DDC" w:rsidP="00DA229A">
      <w:pPr>
        <w:spacing w:line="240" w:lineRule="auto"/>
      </w:pPr>
      <w:r>
        <w:separator/>
      </w:r>
    </w:p>
  </w:footnote>
  <w:footnote w:type="continuationSeparator" w:id="0">
    <w:p w14:paraId="35D62843" w14:textId="77777777" w:rsidR="00686DDC" w:rsidRDefault="00686DDC" w:rsidP="00DA22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176F3B"/>
    <w:rsid w:val="0001648B"/>
    <w:rsid w:val="00080E4B"/>
    <w:rsid w:val="00100B0F"/>
    <w:rsid w:val="001226B1"/>
    <w:rsid w:val="0014756F"/>
    <w:rsid w:val="0015442A"/>
    <w:rsid w:val="001706B2"/>
    <w:rsid w:val="00193425"/>
    <w:rsid w:val="00197CA6"/>
    <w:rsid w:val="001A6877"/>
    <w:rsid w:val="001D356C"/>
    <w:rsid w:val="00266AE5"/>
    <w:rsid w:val="002B1CD3"/>
    <w:rsid w:val="002D018C"/>
    <w:rsid w:val="0037079D"/>
    <w:rsid w:val="003B18AC"/>
    <w:rsid w:val="003C5F04"/>
    <w:rsid w:val="003E6E63"/>
    <w:rsid w:val="003F1C74"/>
    <w:rsid w:val="00403047"/>
    <w:rsid w:val="00423DE7"/>
    <w:rsid w:val="004C6126"/>
    <w:rsid w:val="004C7445"/>
    <w:rsid w:val="00540503"/>
    <w:rsid w:val="00557FBB"/>
    <w:rsid w:val="0057557D"/>
    <w:rsid w:val="00581D2F"/>
    <w:rsid w:val="0058487E"/>
    <w:rsid w:val="00595858"/>
    <w:rsid w:val="0060026D"/>
    <w:rsid w:val="00624329"/>
    <w:rsid w:val="00661765"/>
    <w:rsid w:val="00686DDC"/>
    <w:rsid w:val="00727999"/>
    <w:rsid w:val="007C61FB"/>
    <w:rsid w:val="00804F74"/>
    <w:rsid w:val="00846CC4"/>
    <w:rsid w:val="00893C2E"/>
    <w:rsid w:val="008C5F8C"/>
    <w:rsid w:val="00905483"/>
    <w:rsid w:val="00962513"/>
    <w:rsid w:val="00990437"/>
    <w:rsid w:val="009B4AB4"/>
    <w:rsid w:val="00A172DE"/>
    <w:rsid w:val="00A81418"/>
    <w:rsid w:val="00B24841"/>
    <w:rsid w:val="00BC616C"/>
    <w:rsid w:val="00BD443B"/>
    <w:rsid w:val="00BD597F"/>
    <w:rsid w:val="00BE43FC"/>
    <w:rsid w:val="00C308ED"/>
    <w:rsid w:val="00C74D78"/>
    <w:rsid w:val="00D014D2"/>
    <w:rsid w:val="00D1569D"/>
    <w:rsid w:val="00D66835"/>
    <w:rsid w:val="00D76447"/>
    <w:rsid w:val="00DA229A"/>
    <w:rsid w:val="00E24754"/>
    <w:rsid w:val="00E71018"/>
    <w:rsid w:val="00E83DB7"/>
    <w:rsid w:val="00E929C7"/>
    <w:rsid w:val="00F23802"/>
    <w:rsid w:val="00F55FAE"/>
    <w:rsid w:val="00FD4DF5"/>
    <w:rsid w:val="21B84BCF"/>
    <w:rsid w:val="29090CFC"/>
    <w:rsid w:val="29366EA4"/>
    <w:rsid w:val="339F3B44"/>
    <w:rsid w:val="39C77BD3"/>
    <w:rsid w:val="5D176F3B"/>
    <w:rsid w:val="76D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D2767"/>
  <w15:docId w15:val="{F338A45F-187B-485F-8873-0C30DC7E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spacing w:line="20" w:lineRule="atLeast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able of authorities"/>
    <w:basedOn w:val="a"/>
    <w:next w:val="a"/>
    <w:qFormat/>
    <w:pPr>
      <w:ind w:leftChars="200" w:left="420"/>
    </w:pPr>
  </w:style>
  <w:style w:type="paragraph" w:styleId="a4">
    <w:name w:val="header"/>
    <w:basedOn w:val="a"/>
    <w:link w:val="a5"/>
    <w:rsid w:val="00DA2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DA229A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DA229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DA229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王春静</dc:creator>
  <cp:lastModifiedBy>Xinyu Zhou</cp:lastModifiedBy>
  <cp:revision>9</cp:revision>
  <dcterms:created xsi:type="dcterms:W3CDTF">2021-11-10T09:28:00Z</dcterms:created>
  <dcterms:modified xsi:type="dcterms:W3CDTF">2021-11-17T00:55:00Z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