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4C88" w14:textId="7C8A5BB8" w:rsidR="008450AC" w:rsidRDefault="001C1571">
      <w:r>
        <w:rPr>
          <w:rFonts w:hint="eastAsia"/>
        </w:rPr>
        <w:t>转</w:t>
      </w:r>
      <w:proofErr w:type="gramStart"/>
      <w:r>
        <w:rPr>
          <w:rFonts w:hint="eastAsia"/>
        </w:rPr>
        <w:t>债委外专</w:t>
      </w:r>
      <w:proofErr w:type="gramEnd"/>
      <w:r>
        <w:rPr>
          <w:rFonts w:hint="eastAsia"/>
        </w:rPr>
        <w:t>户投资策略总结</w:t>
      </w:r>
    </w:p>
    <w:p w14:paraId="62ED95C2" w14:textId="4F970D51" w:rsidR="001C1571" w:rsidRDefault="001C1571"/>
    <w:p w14:paraId="70E6AE18" w14:textId="31174FBC" w:rsidR="001C1571" w:rsidRDefault="001C1571" w:rsidP="007333D7">
      <w:pPr>
        <w:pStyle w:val="a3"/>
        <w:numPr>
          <w:ilvl w:val="0"/>
          <w:numId w:val="1"/>
        </w:numPr>
        <w:ind w:firstLineChars="0"/>
      </w:pPr>
      <w:r>
        <w:rPr>
          <w:rFonts w:hint="eastAsia"/>
        </w:rPr>
        <w:t>可转债介绍</w:t>
      </w:r>
      <w:r w:rsidR="007333D7">
        <w:rPr>
          <w:rFonts w:hint="eastAsia"/>
        </w:rPr>
        <w:t>：</w:t>
      </w:r>
    </w:p>
    <w:p w14:paraId="665AB516" w14:textId="77777777" w:rsidR="00892F50" w:rsidRDefault="00892F50" w:rsidP="00892F50">
      <w:pPr>
        <w:pStyle w:val="a3"/>
        <w:ind w:left="429" w:firstLineChars="0" w:firstLine="0"/>
      </w:pPr>
    </w:p>
    <w:p w14:paraId="54DC8419" w14:textId="77777777" w:rsidR="00892F50" w:rsidRDefault="00892F50" w:rsidP="00892F50">
      <w:pPr>
        <w:pStyle w:val="a3"/>
        <w:ind w:leftChars="204" w:left="428" w:firstLineChars="0" w:firstLine="0"/>
      </w:pPr>
      <w:r>
        <w:rPr>
          <w:rFonts w:hint="eastAsia"/>
        </w:rPr>
        <w:t>转债的全称为可转换公司债</w:t>
      </w:r>
      <w:proofErr w:type="gramStart"/>
      <w:r>
        <w:rPr>
          <w:rFonts w:hint="eastAsia"/>
        </w:rPr>
        <w:t>券</w:t>
      </w:r>
      <w:proofErr w:type="gramEnd"/>
      <w:r>
        <w:rPr>
          <w:rFonts w:hint="eastAsia"/>
        </w:rPr>
        <w:t>，从名称上直观理解，</w:t>
      </w:r>
      <w:proofErr w:type="gramStart"/>
      <w:r>
        <w:rPr>
          <w:rFonts w:hint="eastAsia"/>
        </w:rPr>
        <w:t>转债即为</w:t>
      </w:r>
      <w:proofErr w:type="gramEnd"/>
      <w:r>
        <w:rPr>
          <w:rFonts w:hint="eastAsia"/>
        </w:rPr>
        <w:t>一种可以转换为股票的债券。转债与普通信用债的最大区别，在于其可以按照一定的规则和比率将转债转化为股票（对应的股票称为正股）。需要注意的是，转</w:t>
      </w:r>
      <w:proofErr w:type="gramStart"/>
      <w:r>
        <w:rPr>
          <w:rFonts w:hint="eastAsia"/>
        </w:rPr>
        <w:t>债产品</w:t>
      </w:r>
      <w:proofErr w:type="gramEnd"/>
      <w:r>
        <w:rPr>
          <w:rFonts w:hint="eastAsia"/>
        </w:rPr>
        <w:t>的转股权是投资者的一种权利而非义务，投资者既可以选择行使转股权，将手中的转债转换为股票，也可以选择将转债作为一只债券持有至到期。</w:t>
      </w:r>
    </w:p>
    <w:p w14:paraId="2867D10A" w14:textId="0FC120D7" w:rsidR="00892F50" w:rsidRDefault="00892F50" w:rsidP="00892F50">
      <w:r>
        <w:tab/>
      </w:r>
    </w:p>
    <w:p w14:paraId="7F1F781D" w14:textId="4FE14281" w:rsidR="00892F50" w:rsidRDefault="00892F50" w:rsidP="00892F50">
      <w:pPr>
        <w:pStyle w:val="a3"/>
        <w:ind w:leftChars="204" w:left="428" w:firstLineChars="0" w:firstLine="0"/>
      </w:pPr>
      <w:r>
        <w:rPr>
          <w:rFonts w:hint="eastAsia"/>
        </w:rPr>
        <w:t>一张转</w:t>
      </w:r>
      <w:proofErr w:type="gramStart"/>
      <w:r>
        <w:rPr>
          <w:rFonts w:hint="eastAsia"/>
        </w:rPr>
        <w:t>债能够</w:t>
      </w:r>
      <w:proofErr w:type="gramEnd"/>
      <w:r>
        <w:rPr>
          <w:rFonts w:hint="eastAsia"/>
        </w:rPr>
        <w:t>转出的股票数目是相对固定的，以转债的票面价值（</w:t>
      </w:r>
      <w:r>
        <w:t>100元）为本金，按照约定的价格购买股票，行使转股权后得到的价值，等于转出股票的市场价格。因此转股权的价值本质上可以视为一种看涨期权的价值，转债的价格也很大程度</w:t>
      </w:r>
      <w:proofErr w:type="gramStart"/>
      <w:r>
        <w:t>上受正股价</w:t>
      </w:r>
      <w:proofErr w:type="gramEnd"/>
      <w:r>
        <w:t>格左右。此外，我国的转</w:t>
      </w:r>
      <w:proofErr w:type="gramStart"/>
      <w:r>
        <w:t>债产品</w:t>
      </w:r>
      <w:proofErr w:type="gramEnd"/>
      <w:r>
        <w:t>通常还设置有赎回条款、回售条款和下修条款等附加条款，而这些条款在不同的价格水平下会体现出不同的价值，这使得转</w:t>
      </w:r>
      <w:proofErr w:type="gramStart"/>
      <w:r>
        <w:t>债产品</w:t>
      </w:r>
      <w:proofErr w:type="gramEnd"/>
      <w:r>
        <w:t>成为了一种复杂的衍生品。</w:t>
      </w:r>
    </w:p>
    <w:p w14:paraId="754FE652" w14:textId="77777777" w:rsidR="00892F50" w:rsidRDefault="00892F50" w:rsidP="00892F50">
      <w:pPr>
        <w:pStyle w:val="a3"/>
        <w:ind w:leftChars="204" w:left="428" w:firstLineChars="0" w:firstLine="0"/>
      </w:pPr>
    </w:p>
    <w:p w14:paraId="3E1511FD" w14:textId="7F1580A3" w:rsidR="00892F50" w:rsidRDefault="00892F50" w:rsidP="00892F50">
      <w:pPr>
        <w:pStyle w:val="a3"/>
        <w:ind w:leftChars="204" w:left="428" w:firstLineChars="0" w:firstLine="0"/>
      </w:pPr>
      <w:r>
        <w:rPr>
          <w:rFonts w:hint="eastAsia"/>
        </w:rPr>
        <w:t>总结来看，首先，转债仍是一只债券，具有定期支付的票息和本金等基本要素；第二，这只债券在转股期限内可以按照一定的规则转化为股票，从而获得对应份数正股的价值；第三，转</w:t>
      </w:r>
      <w:proofErr w:type="gramStart"/>
      <w:r>
        <w:rPr>
          <w:rFonts w:hint="eastAsia"/>
        </w:rPr>
        <w:t>债产品</w:t>
      </w:r>
      <w:proofErr w:type="gramEnd"/>
      <w:r>
        <w:rPr>
          <w:rFonts w:hint="eastAsia"/>
        </w:rPr>
        <w:t>通常具有一些附加条款设定，从而使得转</w:t>
      </w:r>
      <w:proofErr w:type="gramStart"/>
      <w:r>
        <w:rPr>
          <w:rFonts w:hint="eastAsia"/>
        </w:rPr>
        <w:t>债产品</w:t>
      </w:r>
      <w:proofErr w:type="gramEnd"/>
      <w:r>
        <w:rPr>
          <w:rFonts w:hint="eastAsia"/>
        </w:rPr>
        <w:t>的定价更为复杂；最后，由于转股权的存在，转债正股的走势是决定转债市场价格的重要因素。</w:t>
      </w:r>
    </w:p>
    <w:p w14:paraId="76F4F7AE" w14:textId="77777777" w:rsidR="00892F50" w:rsidRPr="00892F50" w:rsidRDefault="00892F50" w:rsidP="00892F50">
      <w:pPr>
        <w:pStyle w:val="a3"/>
        <w:ind w:leftChars="204" w:left="428" w:firstLineChars="0" w:firstLine="0"/>
      </w:pPr>
    </w:p>
    <w:p w14:paraId="4D529A9A" w14:textId="2ECEC1D4" w:rsidR="007333D7" w:rsidRDefault="007333D7" w:rsidP="007333D7">
      <w:pPr>
        <w:pStyle w:val="a3"/>
        <w:numPr>
          <w:ilvl w:val="0"/>
          <w:numId w:val="1"/>
        </w:numPr>
        <w:ind w:firstLineChars="0"/>
      </w:pPr>
      <w:r>
        <w:rPr>
          <w:rFonts w:hint="eastAsia"/>
        </w:rPr>
        <w:t>可转债交易策略：</w:t>
      </w:r>
    </w:p>
    <w:p w14:paraId="4CEE9FFB" w14:textId="77777777" w:rsidR="00892F50" w:rsidRDefault="00892F50" w:rsidP="00892F50">
      <w:pPr>
        <w:pStyle w:val="a3"/>
        <w:ind w:left="429" w:firstLineChars="0" w:firstLine="0"/>
      </w:pPr>
    </w:p>
    <w:p w14:paraId="72417D04" w14:textId="6659D3F9" w:rsidR="007333D7" w:rsidRDefault="007333D7" w:rsidP="007333D7">
      <w:pPr>
        <w:pStyle w:val="a3"/>
        <w:numPr>
          <w:ilvl w:val="0"/>
          <w:numId w:val="2"/>
        </w:numPr>
        <w:ind w:firstLineChars="0"/>
      </w:pPr>
      <w:r>
        <w:rPr>
          <w:rFonts w:hint="eastAsia"/>
        </w:rPr>
        <w:t>方向性策略：</w:t>
      </w:r>
    </w:p>
    <w:p w14:paraId="4A363957" w14:textId="71A2B075" w:rsidR="00E66E58" w:rsidRDefault="007333D7" w:rsidP="00E66E58">
      <w:pPr>
        <w:pStyle w:val="a3"/>
        <w:ind w:left="780" w:firstLineChars="0" w:firstLine="0"/>
      </w:pPr>
      <w:r>
        <w:rPr>
          <w:rFonts w:hint="eastAsia"/>
        </w:rPr>
        <w:t>可转债和可交换债的本质就是信用债券内嵌个股看多期权，因此挑选优质</w:t>
      </w:r>
      <w:proofErr w:type="gramStart"/>
      <w:r>
        <w:rPr>
          <w:rFonts w:hint="eastAsia"/>
        </w:rPr>
        <w:t>个券</w:t>
      </w:r>
      <w:proofErr w:type="gramEnd"/>
      <w:r>
        <w:rPr>
          <w:rFonts w:hint="eastAsia"/>
        </w:rPr>
        <w:t>，博取其价格上涨带来的资本利得，是转</w:t>
      </w:r>
      <w:r w:rsidR="00994C25">
        <w:rPr>
          <w:rFonts w:hint="eastAsia"/>
        </w:rPr>
        <w:t>股</w:t>
      </w:r>
      <w:r>
        <w:rPr>
          <w:rFonts w:hint="eastAsia"/>
        </w:rPr>
        <w:t>市场应用最广泛的策略。方向性策略盈亏的影响因素主要为：转债平价的变化（源自正股涨跌或转股价调整），以及转股溢价率的变化（主要受期权价值的影响）。</w:t>
      </w:r>
    </w:p>
    <w:p w14:paraId="21602240" w14:textId="77777777" w:rsidR="00E66E58" w:rsidRDefault="00E66E58" w:rsidP="00E66E58">
      <w:pPr>
        <w:pStyle w:val="a3"/>
        <w:ind w:left="780" w:firstLineChars="0" w:firstLine="0"/>
      </w:pPr>
    </w:p>
    <w:p w14:paraId="61CD91FE" w14:textId="1D42A928" w:rsidR="007333D7" w:rsidRDefault="007333D7" w:rsidP="00E66E58">
      <w:pPr>
        <w:pStyle w:val="a3"/>
        <w:ind w:left="780" w:firstLineChars="0" w:firstLine="0"/>
      </w:pPr>
      <w:r>
        <w:rPr>
          <w:rFonts w:hint="eastAsia"/>
        </w:rPr>
        <w:t>其</w:t>
      </w:r>
      <w:proofErr w:type="gramStart"/>
      <w:r>
        <w:rPr>
          <w:rFonts w:hint="eastAsia"/>
        </w:rPr>
        <w:t>中转股平价</w:t>
      </w:r>
      <w:proofErr w:type="gramEnd"/>
      <w:r>
        <w:rPr>
          <w:rFonts w:hint="eastAsia"/>
        </w:rPr>
        <w:t>的变化研究重点是正股价值和趋势的判断，</w:t>
      </w:r>
      <w:r w:rsidR="00E66E58">
        <w:rPr>
          <w:rFonts w:hint="eastAsia"/>
        </w:rPr>
        <w:t>根据对正股基本面和市场预期差等方面的研究，以股票投资的逻辑选择质地优良风险收益比较高的标的正股对应的可转债品种。</w:t>
      </w:r>
    </w:p>
    <w:p w14:paraId="5B776ADA" w14:textId="0F4B2250" w:rsidR="00E66E58" w:rsidRDefault="00E66E58" w:rsidP="007333D7">
      <w:pPr>
        <w:pStyle w:val="a3"/>
        <w:ind w:left="780" w:firstLineChars="0" w:firstLine="0"/>
      </w:pPr>
    </w:p>
    <w:p w14:paraId="507006DE" w14:textId="5EE751E9" w:rsidR="00E66E58" w:rsidRDefault="00E66E58" w:rsidP="007333D7">
      <w:pPr>
        <w:pStyle w:val="a3"/>
        <w:ind w:left="780" w:firstLineChars="0" w:firstLine="0"/>
      </w:pPr>
      <w:r>
        <w:rPr>
          <w:rFonts w:hint="eastAsia"/>
        </w:rPr>
        <w:t>而转股溢价率主要变动主要体现在市场对期权价值的定价上，更多体现了转债品种自身的特点。当市场整体悲观时，通常</w:t>
      </w:r>
      <w:proofErr w:type="gramStart"/>
      <w:r>
        <w:rPr>
          <w:rFonts w:hint="eastAsia"/>
        </w:rPr>
        <w:t>转债内嵌</w:t>
      </w:r>
      <w:proofErr w:type="gramEnd"/>
      <w:r>
        <w:rPr>
          <w:rFonts w:hint="eastAsia"/>
        </w:rPr>
        <w:t>期权的定价都倾向于偏低导致相对而言溢价率水平偏低，而当市场整体乐观流动性充裕时，通常</w:t>
      </w:r>
      <w:proofErr w:type="gramStart"/>
      <w:r>
        <w:rPr>
          <w:rFonts w:hint="eastAsia"/>
        </w:rPr>
        <w:t>转债内嵌</w:t>
      </w:r>
      <w:proofErr w:type="gramEnd"/>
      <w:r>
        <w:rPr>
          <w:rFonts w:hint="eastAsia"/>
        </w:rPr>
        <w:t>期权定价都偏高导致相对溢价率水平偏高。因此，从</w:t>
      </w:r>
      <w:proofErr w:type="gramStart"/>
      <w:r>
        <w:rPr>
          <w:rFonts w:hint="eastAsia"/>
        </w:rPr>
        <w:t>历史上看转债</w:t>
      </w:r>
      <w:proofErr w:type="gramEnd"/>
      <w:r>
        <w:rPr>
          <w:rFonts w:hint="eastAsia"/>
        </w:rPr>
        <w:t>溢价率的变化导致可转</w:t>
      </w:r>
      <w:proofErr w:type="gramStart"/>
      <w:r>
        <w:rPr>
          <w:rFonts w:hint="eastAsia"/>
        </w:rPr>
        <w:t>债相对</w:t>
      </w:r>
      <w:proofErr w:type="gramEnd"/>
      <w:r>
        <w:rPr>
          <w:rFonts w:hint="eastAsia"/>
        </w:rPr>
        <w:t>于</w:t>
      </w:r>
      <w:r w:rsidR="00BC5CC1">
        <w:rPr>
          <w:rFonts w:hint="eastAsia"/>
        </w:rPr>
        <w:t>直接投资股票而言更偏向于左侧交易，在市场情绪较差时转债的低估值和低</w:t>
      </w:r>
      <w:r w:rsidR="00BC5CC1">
        <w:t>delta</w:t>
      </w:r>
      <w:r w:rsidR="00BC5CC1">
        <w:rPr>
          <w:rFonts w:hint="eastAsia"/>
        </w:rPr>
        <w:t>会提供较好的保护作用，而当市场进入反转上涨阶段时估值和d</w:t>
      </w:r>
      <w:r w:rsidR="00BC5CC1">
        <w:t>elta</w:t>
      </w:r>
      <w:r w:rsidR="00BC5CC1">
        <w:rPr>
          <w:rFonts w:hint="eastAsia"/>
        </w:rPr>
        <w:t>的修复又会让转债跟上正股的涨幅。</w:t>
      </w:r>
      <w:r w:rsidR="00CD477C">
        <w:rPr>
          <w:rFonts w:hint="eastAsia"/>
        </w:rPr>
        <w:t>不同时期转债转股溢价率时间序列图如下：</w:t>
      </w:r>
    </w:p>
    <w:p w14:paraId="6B3E50CD" w14:textId="6306D984" w:rsidR="00CD477C" w:rsidRDefault="00CD477C" w:rsidP="007333D7">
      <w:pPr>
        <w:pStyle w:val="a3"/>
        <w:ind w:left="780" w:firstLineChars="0" w:firstLine="0"/>
        <w:rPr>
          <w:rFonts w:hint="eastAsia"/>
        </w:rPr>
      </w:pPr>
      <w:r w:rsidRPr="00CD477C">
        <w:rPr>
          <w:noProof/>
        </w:rPr>
        <w:lastRenderedPageBreak/>
        <w:drawing>
          <wp:inline distT="0" distB="0" distL="0" distR="0" wp14:anchorId="1423412D" wp14:editId="19581413">
            <wp:extent cx="4300220" cy="237299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220" cy="2372995"/>
                    </a:xfrm>
                    <a:prstGeom prst="rect">
                      <a:avLst/>
                    </a:prstGeom>
                    <a:noFill/>
                    <a:ln>
                      <a:noFill/>
                    </a:ln>
                  </pic:spPr>
                </pic:pic>
              </a:graphicData>
            </a:graphic>
          </wp:inline>
        </w:drawing>
      </w:r>
    </w:p>
    <w:p w14:paraId="73B85417" w14:textId="017EF4FD" w:rsidR="00BC5CC1" w:rsidRDefault="00BC5CC1" w:rsidP="007333D7">
      <w:pPr>
        <w:pStyle w:val="a3"/>
        <w:ind w:left="780" w:firstLineChars="0" w:firstLine="0"/>
      </w:pPr>
    </w:p>
    <w:p w14:paraId="7E894BDF" w14:textId="234B007D" w:rsidR="00BC5CC1" w:rsidRDefault="00BC5CC1" w:rsidP="007333D7">
      <w:pPr>
        <w:pStyle w:val="a3"/>
        <w:ind w:left="780" w:firstLineChars="0" w:firstLine="0"/>
      </w:pPr>
      <w:r>
        <w:rPr>
          <w:rFonts w:hint="eastAsia"/>
        </w:rPr>
        <w:t>在我们投资</w:t>
      </w:r>
      <w:proofErr w:type="gramStart"/>
      <w:r>
        <w:rPr>
          <w:rFonts w:hint="eastAsia"/>
        </w:rPr>
        <w:t>于转债委外专</w:t>
      </w:r>
      <w:proofErr w:type="gramEnd"/>
      <w:r>
        <w:rPr>
          <w:rFonts w:hint="eastAsia"/>
        </w:rPr>
        <w:t>户时主要</w:t>
      </w:r>
      <w:proofErr w:type="gramStart"/>
      <w:r>
        <w:rPr>
          <w:rFonts w:hint="eastAsia"/>
        </w:rPr>
        <w:t>考量</w:t>
      </w:r>
      <w:proofErr w:type="gramEnd"/>
      <w:r>
        <w:rPr>
          <w:rFonts w:hint="eastAsia"/>
        </w:rPr>
        <w:t>的就是合作机构在股票研究和自上而下的估值研究方面的方法论和实践经验，优秀的转债投资需要在择时、期权、和股票基本面研究三个方面有较好的结合，具体如下图：</w:t>
      </w:r>
    </w:p>
    <w:p w14:paraId="4D03230B" w14:textId="646B3573" w:rsidR="00E66E58" w:rsidRDefault="00BC5CC1" w:rsidP="007333D7">
      <w:pPr>
        <w:pStyle w:val="a3"/>
        <w:ind w:left="780" w:firstLineChars="0" w:firstLine="0"/>
      </w:pPr>
      <w:r w:rsidRPr="00BC5CC1">
        <w:rPr>
          <w:noProof/>
        </w:rPr>
        <w:drawing>
          <wp:inline distT="0" distB="0" distL="0" distR="0" wp14:anchorId="332E13A8" wp14:editId="53A95C69">
            <wp:extent cx="5274310" cy="2531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31110"/>
                    </a:xfrm>
                    <a:prstGeom prst="rect">
                      <a:avLst/>
                    </a:prstGeom>
                    <a:noFill/>
                    <a:ln>
                      <a:noFill/>
                    </a:ln>
                  </pic:spPr>
                </pic:pic>
              </a:graphicData>
            </a:graphic>
          </wp:inline>
        </w:drawing>
      </w:r>
    </w:p>
    <w:p w14:paraId="4D26D8D9" w14:textId="00A7063F" w:rsidR="007333D7" w:rsidRDefault="00BC5CC1" w:rsidP="00870FCA">
      <w:pPr>
        <w:pStyle w:val="a3"/>
        <w:ind w:left="780" w:firstLineChars="0" w:firstLine="0"/>
      </w:pPr>
      <w:r>
        <w:tab/>
      </w:r>
      <w:r w:rsidR="00870FCA">
        <w:rPr>
          <w:rFonts w:hint="eastAsia"/>
        </w:rPr>
        <w:t>我们会通过考察管理人历史业绩以及个股研究资源和宏观层面上的研究支持力度的方式甄别适合合作的机构，以期能够充分利用外部机构的研究资源以作为我们投资转</w:t>
      </w:r>
      <w:proofErr w:type="gramStart"/>
      <w:r w:rsidR="00870FCA">
        <w:rPr>
          <w:rFonts w:hint="eastAsia"/>
        </w:rPr>
        <w:t>债方向</w:t>
      </w:r>
      <w:proofErr w:type="gramEnd"/>
      <w:r w:rsidR="00870FCA">
        <w:rPr>
          <w:rFonts w:hint="eastAsia"/>
        </w:rPr>
        <w:t>策略的补充。</w:t>
      </w:r>
    </w:p>
    <w:p w14:paraId="6180585B" w14:textId="797C4256" w:rsidR="00BC5CC1" w:rsidRDefault="00892F50" w:rsidP="00BC5CC1">
      <w:r>
        <w:tab/>
      </w:r>
    </w:p>
    <w:p w14:paraId="145D5017" w14:textId="07BD3F74" w:rsidR="007333D7" w:rsidRDefault="00870FCA" w:rsidP="00870FCA">
      <w:pPr>
        <w:pStyle w:val="a3"/>
        <w:numPr>
          <w:ilvl w:val="0"/>
          <w:numId w:val="2"/>
        </w:numPr>
        <w:ind w:firstLineChars="0"/>
      </w:pPr>
      <w:r>
        <w:rPr>
          <w:rFonts w:hint="eastAsia"/>
        </w:rPr>
        <w:t>低价品种配置策略</w:t>
      </w:r>
    </w:p>
    <w:p w14:paraId="5DE2342E" w14:textId="5A3E8CCD" w:rsidR="00392E9A" w:rsidRDefault="00870FCA" w:rsidP="00392E9A">
      <w:pPr>
        <w:pStyle w:val="a3"/>
        <w:ind w:left="780" w:firstLineChars="0" w:firstLine="0"/>
      </w:pPr>
      <w:r>
        <w:rPr>
          <w:rFonts w:hint="eastAsia"/>
        </w:rPr>
        <w:t>相对于方向性策略而言，低价品种配置策略能更大程度上发挥转债品种的自身特性。由于国内金融市场发展尚未达到发达市场的状态，国内上市公司尤其是市值较小的公司以及民营企业融资过于依赖直接融资（银行贷款）</w:t>
      </w:r>
      <w:r w:rsidR="00392E9A">
        <w:rPr>
          <w:rFonts w:hint="eastAsia"/>
        </w:rPr>
        <w:t>，债券市场融资对于此类企业而言从监管和市场接受程度来说难度都比较高，且在历史上增发融资的难度较高。而转债品种以其低票息和存续期较长且可以作为增发替代的特点成为了中小企业以及银行的重要融资方式之一。从主观上说，绝大部分企业都希望发行的转</w:t>
      </w:r>
      <w:proofErr w:type="gramStart"/>
      <w:r w:rsidR="00392E9A">
        <w:rPr>
          <w:rFonts w:hint="eastAsia"/>
        </w:rPr>
        <w:t>债能够</w:t>
      </w:r>
      <w:proofErr w:type="gramEnd"/>
      <w:r w:rsidR="00392E9A">
        <w:rPr>
          <w:rFonts w:hint="eastAsia"/>
        </w:rPr>
        <w:t>成功转</w:t>
      </w:r>
      <w:proofErr w:type="gramStart"/>
      <w:r w:rsidR="00392E9A">
        <w:rPr>
          <w:rFonts w:hint="eastAsia"/>
        </w:rPr>
        <w:t>股实现</w:t>
      </w:r>
      <w:proofErr w:type="gramEnd"/>
      <w:r w:rsidR="00392E9A">
        <w:rPr>
          <w:rFonts w:hint="eastAsia"/>
        </w:rPr>
        <w:t>权益融资，所以历史上看国内转债9</w:t>
      </w:r>
      <w:r w:rsidR="00392E9A">
        <w:t>7%</w:t>
      </w:r>
      <w:r w:rsidR="00392E9A">
        <w:rPr>
          <w:rFonts w:hint="eastAsia"/>
        </w:rPr>
        <w:t>的比例都以转股的方式结束生命周期，且从发行至摘牌只需2年左右，这意味着1</w:t>
      </w:r>
      <w:r w:rsidR="00392E9A">
        <w:t>00</w:t>
      </w:r>
      <w:r w:rsidR="00392E9A">
        <w:rPr>
          <w:rFonts w:hint="eastAsia"/>
        </w:rPr>
        <w:t>元附近买入的转</w:t>
      </w:r>
      <w:proofErr w:type="gramStart"/>
      <w:r w:rsidR="00392E9A">
        <w:rPr>
          <w:rFonts w:hint="eastAsia"/>
        </w:rPr>
        <w:t>债至少</w:t>
      </w:r>
      <w:proofErr w:type="gramEnd"/>
      <w:r w:rsidR="00392E9A">
        <w:rPr>
          <w:rFonts w:hint="eastAsia"/>
        </w:rPr>
        <w:t>可以在1</w:t>
      </w:r>
      <w:r w:rsidR="00392E9A">
        <w:t>30</w:t>
      </w:r>
      <w:r w:rsidR="00392E9A">
        <w:rPr>
          <w:rFonts w:hint="eastAsia"/>
        </w:rPr>
        <w:t>附近退出，因此低价转债投资策略在国内一直是较好的价值投资方式。</w:t>
      </w:r>
    </w:p>
    <w:p w14:paraId="637AE1A4" w14:textId="1CCCC3AD" w:rsidR="00392E9A" w:rsidRDefault="00392E9A" w:rsidP="00870FCA">
      <w:pPr>
        <w:pStyle w:val="a3"/>
        <w:ind w:left="780" w:firstLineChars="0" w:firstLine="0"/>
      </w:pPr>
      <w:r w:rsidRPr="00392E9A">
        <w:rPr>
          <w:noProof/>
        </w:rPr>
        <w:lastRenderedPageBreak/>
        <w:drawing>
          <wp:inline distT="0" distB="0" distL="0" distR="0" wp14:anchorId="069F1A7D" wp14:editId="7A718B02">
            <wp:extent cx="5274310" cy="2829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29560"/>
                    </a:xfrm>
                    <a:prstGeom prst="rect">
                      <a:avLst/>
                    </a:prstGeom>
                    <a:noFill/>
                    <a:ln>
                      <a:noFill/>
                    </a:ln>
                  </pic:spPr>
                </pic:pic>
              </a:graphicData>
            </a:graphic>
          </wp:inline>
        </w:drawing>
      </w:r>
    </w:p>
    <w:p w14:paraId="3C2CD1FF" w14:textId="67233B51" w:rsidR="00392E9A" w:rsidRDefault="00392E9A" w:rsidP="00870FCA">
      <w:pPr>
        <w:pStyle w:val="a3"/>
        <w:ind w:left="780" w:firstLineChars="0" w:firstLine="0"/>
      </w:pPr>
      <w:r>
        <w:rPr>
          <w:rFonts w:hint="eastAsia"/>
        </w:rPr>
        <w:t>因此我们在转</w:t>
      </w:r>
      <w:proofErr w:type="gramStart"/>
      <w:r>
        <w:rPr>
          <w:rFonts w:hint="eastAsia"/>
        </w:rPr>
        <w:t>债委外专</w:t>
      </w:r>
      <w:proofErr w:type="gramEnd"/>
      <w:r>
        <w:rPr>
          <w:rFonts w:hint="eastAsia"/>
        </w:rPr>
        <w:t>户的投资过程中也会对合作机构有业绩回撤的考核，以此来</w:t>
      </w:r>
      <w:r w:rsidR="005178D5">
        <w:rPr>
          <w:rFonts w:hint="eastAsia"/>
        </w:rPr>
        <w:t>防止</w:t>
      </w:r>
      <w:r>
        <w:rPr>
          <w:rFonts w:hint="eastAsia"/>
        </w:rPr>
        <w:t>合作机构为短期业绩将策略过于集中在个股</w:t>
      </w:r>
      <w:proofErr w:type="gramStart"/>
      <w:r>
        <w:rPr>
          <w:rFonts w:hint="eastAsia"/>
        </w:rPr>
        <w:t>个券</w:t>
      </w:r>
      <w:proofErr w:type="gramEnd"/>
      <w:r>
        <w:rPr>
          <w:rFonts w:hint="eastAsia"/>
        </w:rPr>
        <w:t>选择的方向性交易中</w:t>
      </w:r>
      <w:r w:rsidR="005178D5">
        <w:rPr>
          <w:rFonts w:hint="eastAsia"/>
        </w:rPr>
        <w:t>。总的来讲，长期收益较稳定的低价策略与</w:t>
      </w:r>
      <w:proofErr w:type="gramStart"/>
      <w:r w:rsidR="005178D5">
        <w:rPr>
          <w:rFonts w:hint="eastAsia"/>
        </w:rPr>
        <w:t>个券</w:t>
      </w:r>
      <w:proofErr w:type="gramEnd"/>
      <w:r w:rsidR="005178D5">
        <w:rPr>
          <w:rFonts w:hint="eastAsia"/>
        </w:rPr>
        <w:t>选择相结合的投资方式与我们偏向绝对收益的理财账户投资目标更为契合。</w:t>
      </w:r>
      <w:r w:rsidR="00CD477C">
        <w:rPr>
          <w:rFonts w:hint="eastAsia"/>
        </w:rPr>
        <w:t>其中，低价格</w:t>
      </w:r>
      <w:proofErr w:type="gramStart"/>
      <w:r w:rsidR="00CD477C">
        <w:rPr>
          <w:rFonts w:hint="eastAsia"/>
        </w:rPr>
        <w:t>并低溢价率转</w:t>
      </w:r>
      <w:proofErr w:type="gramEnd"/>
      <w:r w:rsidR="00CD477C">
        <w:rPr>
          <w:rFonts w:hint="eastAsia"/>
        </w:rPr>
        <w:t>债策略投资</w:t>
      </w:r>
      <w:proofErr w:type="gramStart"/>
      <w:r w:rsidR="00CD477C">
        <w:rPr>
          <w:rFonts w:hint="eastAsia"/>
        </w:rPr>
        <w:t>回测效果</w:t>
      </w:r>
      <w:proofErr w:type="gramEnd"/>
      <w:r w:rsidR="00CD477C">
        <w:rPr>
          <w:rFonts w:hint="eastAsia"/>
        </w:rPr>
        <w:t>如下：</w:t>
      </w:r>
    </w:p>
    <w:p w14:paraId="4DA77DB9" w14:textId="62EAB961" w:rsidR="00CD477C" w:rsidRDefault="00CD477C" w:rsidP="00870FCA">
      <w:pPr>
        <w:pStyle w:val="a3"/>
        <w:ind w:left="780" w:firstLineChars="0" w:firstLine="0"/>
        <w:rPr>
          <w:rFonts w:hint="eastAsia"/>
        </w:rPr>
      </w:pPr>
      <w:r w:rsidRPr="00CD477C">
        <w:rPr>
          <w:noProof/>
        </w:rPr>
        <w:drawing>
          <wp:inline distT="0" distB="0" distL="0" distR="0" wp14:anchorId="74280528" wp14:editId="3E1C68BC">
            <wp:extent cx="4210685" cy="2649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685" cy="2649220"/>
                    </a:xfrm>
                    <a:prstGeom prst="rect">
                      <a:avLst/>
                    </a:prstGeom>
                    <a:noFill/>
                    <a:ln>
                      <a:noFill/>
                    </a:ln>
                  </pic:spPr>
                </pic:pic>
              </a:graphicData>
            </a:graphic>
          </wp:inline>
        </w:drawing>
      </w:r>
    </w:p>
    <w:p w14:paraId="6BB219E9" w14:textId="7836EF3D" w:rsidR="005178D5" w:rsidRDefault="00CD477C" w:rsidP="00870FCA">
      <w:pPr>
        <w:pStyle w:val="a3"/>
        <w:ind w:left="780" w:firstLineChars="0" w:firstLine="0"/>
        <w:rPr>
          <w:rFonts w:hint="eastAsia"/>
        </w:rPr>
      </w:pPr>
      <w:r>
        <w:rPr>
          <w:rFonts w:hint="eastAsia"/>
        </w:rPr>
        <w:t>如图可见，低溢价率并低价格转债策略总体来讲能为组合带来比较稳定的超额收益，若叠加对转债正股的主观选择以及定价研究，则可以获得更为稳定的超额收益。</w:t>
      </w:r>
    </w:p>
    <w:p w14:paraId="471B21EE" w14:textId="76F1753C" w:rsidR="005178D5" w:rsidRDefault="005178D5" w:rsidP="00870FCA">
      <w:pPr>
        <w:pStyle w:val="a3"/>
        <w:ind w:left="780" w:firstLineChars="0" w:firstLine="0"/>
      </w:pPr>
    </w:p>
    <w:p w14:paraId="282B6D78" w14:textId="733D3E96" w:rsidR="005178D5" w:rsidRDefault="005178D5" w:rsidP="005178D5">
      <w:pPr>
        <w:pStyle w:val="a3"/>
        <w:numPr>
          <w:ilvl w:val="0"/>
          <w:numId w:val="2"/>
        </w:numPr>
        <w:ind w:firstLineChars="0"/>
      </w:pPr>
      <w:r>
        <w:rPr>
          <w:rFonts w:hint="eastAsia"/>
        </w:rPr>
        <w:t>其他策略</w:t>
      </w:r>
    </w:p>
    <w:p w14:paraId="70F99919" w14:textId="77777777" w:rsidR="005178D5" w:rsidRDefault="005178D5" w:rsidP="005178D5">
      <w:pPr>
        <w:pStyle w:val="a3"/>
        <w:ind w:left="780" w:firstLineChars="0" w:firstLine="0"/>
      </w:pPr>
      <w:r>
        <w:rPr>
          <w:rFonts w:hint="eastAsia"/>
        </w:rPr>
        <w:t>另外，转债网下打新、溢价套利、条款博弈等子策略也是转债投资的阶段性盈利方式。</w:t>
      </w:r>
    </w:p>
    <w:p w14:paraId="0E249E4E" w14:textId="77777777" w:rsidR="005178D5" w:rsidRDefault="005178D5" w:rsidP="005178D5">
      <w:pPr>
        <w:pStyle w:val="a3"/>
        <w:ind w:left="780" w:firstLineChars="0" w:firstLine="0"/>
      </w:pPr>
    </w:p>
    <w:p w14:paraId="19A10566" w14:textId="3A625135" w:rsidR="005178D5" w:rsidRDefault="005178D5" w:rsidP="005178D5">
      <w:pPr>
        <w:pStyle w:val="a3"/>
        <w:ind w:left="780" w:firstLineChars="0" w:firstLine="0"/>
      </w:pPr>
      <w:r>
        <w:rPr>
          <w:rFonts w:hint="eastAsia"/>
        </w:rPr>
        <w:t>网下打新策略：</w:t>
      </w:r>
      <w:proofErr w:type="gramStart"/>
      <w:r>
        <w:rPr>
          <w:rFonts w:hint="eastAsia"/>
        </w:rPr>
        <w:t>当转债</w:t>
      </w:r>
      <w:proofErr w:type="gramEnd"/>
      <w:r>
        <w:rPr>
          <w:rFonts w:hint="eastAsia"/>
        </w:rPr>
        <w:t>市场走势较弱时，发行企业经常会设置网下打新的方式来保证发行成功，而市场合作机构由于在股票和转</w:t>
      </w:r>
      <w:proofErr w:type="gramStart"/>
      <w:r>
        <w:rPr>
          <w:rFonts w:hint="eastAsia"/>
        </w:rPr>
        <w:t>债打新操作</w:t>
      </w:r>
      <w:proofErr w:type="gramEnd"/>
      <w:r>
        <w:rPr>
          <w:rFonts w:hint="eastAsia"/>
        </w:rPr>
        <w:t>中承销商关系较好，通常在网下打新方面有优势。</w:t>
      </w:r>
    </w:p>
    <w:p w14:paraId="570289E1" w14:textId="77777777" w:rsidR="005178D5" w:rsidRDefault="005178D5" w:rsidP="005178D5">
      <w:pPr>
        <w:pStyle w:val="a3"/>
        <w:ind w:left="780" w:firstLineChars="0" w:firstLine="0"/>
      </w:pPr>
    </w:p>
    <w:p w14:paraId="0F96FD1A" w14:textId="4D4EFADA" w:rsidR="005178D5" w:rsidRDefault="005178D5" w:rsidP="005178D5">
      <w:pPr>
        <w:pStyle w:val="a3"/>
        <w:ind w:left="780" w:firstLineChars="0" w:firstLine="0"/>
      </w:pPr>
      <w:r>
        <w:rPr>
          <w:rFonts w:hint="eastAsia"/>
        </w:rPr>
        <w:t>溢价套利策略：为在转</w:t>
      </w:r>
      <w:proofErr w:type="gramStart"/>
      <w:r>
        <w:rPr>
          <w:rFonts w:hint="eastAsia"/>
        </w:rPr>
        <w:t>债价格</w:t>
      </w:r>
      <w:proofErr w:type="gramEnd"/>
      <w:r>
        <w:rPr>
          <w:rFonts w:hint="eastAsia"/>
        </w:rPr>
        <w:t>低于其转股价值时</w:t>
      </w:r>
      <w:proofErr w:type="gramStart"/>
      <w:r>
        <w:rPr>
          <w:rFonts w:hint="eastAsia"/>
        </w:rPr>
        <w:t>买入转</w:t>
      </w:r>
      <w:proofErr w:type="gramEnd"/>
      <w:r>
        <w:rPr>
          <w:rFonts w:hint="eastAsia"/>
        </w:rPr>
        <w:t>债，进行转股并卖出的交易。当溢价套利机会存在时可以获得相对</w:t>
      </w:r>
      <w:proofErr w:type="gramStart"/>
      <w:r>
        <w:rPr>
          <w:rFonts w:hint="eastAsia"/>
        </w:rPr>
        <w:t>较确定</w:t>
      </w:r>
      <w:proofErr w:type="gramEnd"/>
      <w:r>
        <w:rPr>
          <w:rFonts w:hint="eastAsia"/>
        </w:rPr>
        <w:t>的收益。委外合作机构可以利用交易资源和系统的优势时效性更好的实现套利交易。</w:t>
      </w:r>
    </w:p>
    <w:p w14:paraId="3AEA7645" w14:textId="4FC81B0B" w:rsidR="005178D5" w:rsidRDefault="005178D5" w:rsidP="005178D5">
      <w:pPr>
        <w:pStyle w:val="a3"/>
        <w:ind w:left="780" w:firstLineChars="0" w:firstLine="0"/>
      </w:pPr>
    </w:p>
    <w:p w14:paraId="4AC25701" w14:textId="6D63B06C" w:rsidR="005178D5" w:rsidRDefault="005178D5" w:rsidP="005178D5">
      <w:pPr>
        <w:pStyle w:val="a3"/>
        <w:ind w:left="780" w:firstLineChars="0" w:firstLine="0"/>
      </w:pPr>
      <w:r>
        <w:rPr>
          <w:rFonts w:hint="eastAsia"/>
        </w:rPr>
        <w:t>条款博弈策略：在转债接近触发下修条款时可以根据对发行人的研究和市场沟通来进行条款博弈交易，若发行人选择</w:t>
      </w:r>
      <w:proofErr w:type="gramStart"/>
      <w:r>
        <w:rPr>
          <w:rFonts w:hint="eastAsia"/>
        </w:rPr>
        <w:t>下修转股价</w:t>
      </w:r>
      <w:proofErr w:type="gramEnd"/>
      <w:r>
        <w:rPr>
          <w:rFonts w:hint="eastAsia"/>
        </w:rPr>
        <w:t>则</w:t>
      </w:r>
      <w:proofErr w:type="gramStart"/>
      <w:r>
        <w:rPr>
          <w:rFonts w:hint="eastAsia"/>
        </w:rPr>
        <w:t>转债会有</w:t>
      </w:r>
      <w:proofErr w:type="gramEnd"/>
      <w:r>
        <w:rPr>
          <w:rFonts w:hint="eastAsia"/>
        </w:rPr>
        <w:t>较大涨幅。</w:t>
      </w:r>
      <w:r w:rsidR="00CD477C">
        <w:rPr>
          <w:rFonts w:hint="eastAsia"/>
        </w:rPr>
        <w:t>下图为董事会提议</w:t>
      </w:r>
      <w:proofErr w:type="gramStart"/>
      <w:r w:rsidR="00CD477C">
        <w:rPr>
          <w:rFonts w:hint="eastAsia"/>
        </w:rPr>
        <w:t>下修转股价</w:t>
      </w:r>
      <w:proofErr w:type="gramEnd"/>
      <w:r w:rsidR="00CD477C">
        <w:rPr>
          <w:rFonts w:hint="eastAsia"/>
        </w:rPr>
        <w:t>后转</w:t>
      </w:r>
      <w:proofErr w:type="gramStart"/>
      <w:r w:rsidR="00CD477C">
        <w:rPr>
          <w:rFonts w:hint="eastAsia"/>
        </w:rPr>
        <w:t>债走势</w:t>
      </w:r>
      <w:proofErr w:type="gramEnd"/>
      <w:r w:rsidR="00CD477C">
        <w:rPr>
          <w:rFonts w:hint="eastAsia"/>
        </w:rPr>
        <w:t>统计图：</w:t>
      </w:r>
    </w:p>
    <w:p w14:paraId="4C8BE9DA" w14:textId="64DE6F62" w:rsidR="00CD477C" w:rsidRDefault="00CD477C" w:rsidP="005178D5">
      <w:pPr>
        <w:pStyle w:val="a3"/>
        <w:ind w:left="780" w:firstLineChars="0" w:firstLine="0"/>
      </w:pPr>
      <w:r w:rsidRPr="00CD477C">
        <w:rPr>
          <w:noProof/>
        </w:rPr>
        <w:drawing>
          <wp:inline distT="0" distB="0" distL="0" distR="0" wp14:anchorId="0E0EBC03" wp14:editId="1F20E44D">
            <wp:extent cx="4731385" cy="24149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85" cy="2414905"/>
                    </a:xfrm>
                    <a:prstGeom prst="rect">
                      <a:avLst/>
                    </a:prstGeom>
                    <a:noFill/>
                    <a:ln>
                      <a:noFill/>
                    </a:ln>
                  </pic:spPr>
                </pic:pic>
              </a:graphicData>
            </a:graphic>
          </wp:inline>
        </w:drawing>
      </w:r>
    </w:p>
    <w:p w14:paraId="4463E4C2" w14:textId="77BC15BE" w:rsidR="00CD477C" w:rsidRDefault="00CD477C" w:rsidP="005178D5">
      <w:pPr>
        <w:pStyle w:val="a3"/>
        <w:ind w:left="780" w:firstLineChars="0" w:firstLine="0"/>
        <w:rPr>
          <w:rFonts w:hint="eastAsia"/>
        </w:rPr>
      </w:pPr>
      <w:r>
        <w:rPr>
          <w:rFonts w:hint="eastAsia"/>
        </w:rPr>
        <w:t>如图可见，</w:t>
      </w:r>
      <w:r w:rsidR="00C14EDF">
        <w:rPr>
          <w:rFonts w:hint="eastAsia"/>
        </w:rPr>
        <w:t>转债转股价格下修前后有比较确定的超额收益。而</w:t>
      </w:r>
      <w:r>
        <w:rPr>
          <w:rFonts w:hint="eastAsia"/>
        </w:rPr>
        <w:t>委外合作机构由于研究平台建设时间长</w:t>
      </w:r>
      <w:r w:rsidR="00C14EDF">
        <w:rPr>
          <w:rFonts w:hint="eastAsia"/>
        </w:rPr>
        <w:t>，</w:t>
      </w:r>
      <w:r>
        <w:rPr>
          <w:rFonts w:hint="eastAsia"/>
        </w:rPr>
        <w:t>通常在这方面有一定的信息优势</w:t>
      </w:r>
      <w:r w:rsidR="00C14EDF">
        <w:rPr>
          <w:rFonts w:hint="eastAsia"/>
        </w:rPr>
        <w:t>，可以作为辅助策略提高组合的超额收益。</w:t>
      </w:r>
    </w:p>
    <w:sectPr w:rsidR="00CD4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692ED" w14:textId="77777777" w:rsidR="006C3167" w:rsidRDefault="006C3167" w:rsidP="00BC5CC1">
      <w:r>
        <w:separator/>
      </w:r>
    </w:p>
  </w:endnote>
  <w:endnote w:type="continuationSeparator" w:id="0">
    <w:p w14:paraId="3EF55709" w14:textId="77777777" w:rsidR="006C3167" w:rsidRDefault="006C3167" w:rsidP="00BC5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6D726" w14:textId="77777777" w:rsidR="006C3167" w:rsidRDefault="006C3167" w:rsidP="00BC5CC1">
      <w:r>
        <w:separator/>
      </w:r>
    </w:p>
  </w:footnote>
  <w:footnote w:type="continuationSeparator" w:id="0">
    <w:p w14:paraId="7D27A3A4" w14:textId="77777777" w:rsidR="006C3167" w:rsidRDefault="006C3167" w:rsidP="00BC5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EEC"/>
    <w:multiLevelType w:val="hybridMultilevel"/>
    <w:tmpl w:val="4EC8D160"/>
    <w:lvl w:ilvl="0" w:tplc="B1664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5B6E18"/>
    <w:multiLevelType w:val="hybridMultilevel"/>
    <w:tmpl w:val="AD505D4C"/>
    <w:lvl w:ilvl="0" w:tplc="68364168">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71"/>
    <w:rsid w:val="001C1571"/>
    <w:rsid w:val="00392E9A"/>
    <w:rsid w:val="00447AE2"/>
    <w:rsid w:val="005178D5"/>
    <w:rsid w:val="006C3167"/>
    <w:rsid w:val="007333D7"/>
    <w:rsid w:val="008450AC"/>
    <w:rsid w:val="00870FCA"/>
    <w:rsid w:val="00892F50"/>
    <w:rsid w:val="00994C25"/>
    <w:rsid w:val="00A411AC"/>
    <w:rsid w:val="00B049D7"/>
    <w:rsid w:val="00BC5CC1"/>
    <w:rsid w:val="00C14EDF"/>
    <w:rsid w:val="00CD477C"/>
    <w:rsid w:val="00DD6841"/>
    <w:rsid w:val="00E66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463B5"/>
  <w15:chartTrackingRefBased/>
  <w15:docId w15:val="{515F8EAD-F169-45B6-BB72-438D277D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3D7"/>
    <w:pPr>
      <w:ind w:firstLineChars="200" w:firstLine="420"/>
    </w:pPr>
  </w:style>
  <w:style w:type="paragraph" w:styleId="a4">
    <w:name w:val="header"/>
    <w:basedOn w:val="a"/>
    <w:link w:val="a5"/>
    <w:uiPriority w:val="99"/>
    <w:unhideWhenUsed/>
    <w:rsid w:val="00BC5C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5CC1"/>
    <w:rPr>
      <w:sz w:val="18"/>
      <w:szCs w:val="18"/>
    </w:rPr>
  </w:style>
  <w:style w:type="paragraph" w:styleId="a6">
    <w:name w:val="footer"/>
    <w:basedOn w:val="a"/>
    <w:link w:val="a7"/>
    <w:uiPriority w:val="99"/>
    <w:unhideWhenUsed/>
    <w:rsid w:val="00BC5CC1"/>
    <w:pPr>
      <w:tabs>
        <w:tab w:val="center" w:pos="4153"/>
        <w:tab w:val="right" w:pos="8306"/>
      </w:tabs>
      <w:snapToGrid w:val="0"/>
      <w:jc w:val="left"/>
    </w:pPr>
    <w:rPr>
      <w:sz w:val="18"/>
      <w:szCs w:val="18"/>
    </w:rPr>
  </w:style>
  <w:style w:type="character" w:customStyle="1" w:styleId="a7">
    <w:name w:val="页脚 字符"/>
    <w:basedOn w:val="a0"/>
    <w:link w:val="a6"/>
    <w:uiPriority w:val="99"/>
    <w:rsid w:val="00BC5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8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4332</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Zhou</dc:creator>
  <cp:keywords/>
  <dc:description/>
  <cp:lastModifiedBy>Xinyu Zhou</cp:lastModifiedBy>
  <cp:revision>5</cp:revision>
  <dcterms:created xsi:type="dcterms:W3CDTF">2021-10-21T05:41:00Z</dcterms:created>
  <dcterms:modified xsi:type="dcterms:W3CDTF">2021-10-26T06:30:00Z</dcterms:modified>
</cp:coreProperties>
</file>