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1E0C" w14:textId="2FAD050D" w:rsidR="00372FDA" w:rsidRDefault="00372FDA" w:rsidP="00372FDA">
      <w:pPr>
        <w:spacing w:beforeLines="50" w:before="156" w:line="560" w:lineRule="exact"/>
        <w:jc w:val="center"/>
        <w:rPr>
          <w:rFonts w:ascii="黑体" w:eastAsia="黑体" w:hAnsi="黑体" w:cs="方正小标宋简体"/>
          <w:sz w:val="42"/>
          <w:szCs w:val="42"/>
        </w:rPr>
      </w:pPr>
      <w:r>
        <w:rPr>
          <w:rFonts w:ascii="黑体" w:eastAsia="黑体" w:hAnsi="黑体" w:cs="方正小标宋简体" w:hint="eastAsia"/>
          <w:sz w:val="42"/>
          <w:szCs w:val="42"/>
        </w:rPr>
        <w:t>关于阳光</w:t>
      </w:r>
      <w:proofErr w:type="gramStart"/>
      <w:r>
        <w:rPr>
          <w:rFonts w:ascii="黑体" w:eastAsia="黑体" w:hAnsi="黑体" w:cs="方正小标宋简体" w:hint="eastAsia"/>
          <w:sz w:val="42"/>
          <w:szCs w:val="42"/>
        </w:rPr>
        <w:t>橙</w:t>
      </w:r>
      <w:proofErr w:type="gramEnd"/>
      <w:r>
        <w:rPr>
          <w:rFonts w:ascii="黑体" w:eastAsia="黑体" w:hAnsi="黑体" w:cs="方正小标宋简体" w:hint="eastAsia"/>
          <w:sz w:val="42"/>
          <w:szCs w:val="42"/>
        </w:rPr>
        <w:t>增盈抗通胀1号成立</w:t>
      </w:r>
      <w:proofErr w:type="gramStart"/>
      <w:r>
        <w:rPr>
          <w:rFonts w:ascii="黑体" w:eastAsia="黑体" w:hAnsi="黑体" w:cs="方正小标宋简体" w:hint="eastAsia"/>
          <w:sz w:val="42"/>
          <w:szCs w:val="42"/>
        </w:rPr>
        <w:t>资管计划</w:t>
      </w:r>
      <w:proofErr w:type="gramEnd"/>
      <w:r>
        <w:rPr>
          <w:rFonts w:ascii="黑体" w:eastAsia="黑体" w:hAnsi="黑体" w:cs="方正小标宋简体" w:hint="eastAsia"/>
          <w:sz w:val="42"/>
          <w:szCs w:val="42"/>
        </w:rPr>
        <w:t>进行投资的申请</w:t>
      </w:r>
    </w:p>
    <w:p w14:paraId="2BE0B3C3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</w:p>
    <w:p w14:paraId="665D0DFD" w14:textId="4717184D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阳光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橙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增盈抗通胀1号预计于2021年</w:t>
      </w:r>
      <w:r>
        <w:rPr>
          <w:rFonts w:ascii="仿宋" w:hAnsi="仿宋" w:cs="仿宋"/>
          <w:color w:val="000000" w:themeColor="text1"/>
          <w:szCs w:val="32"/>
        </w:rPr>
        <w:t>10</w:t>
      </w:r>
      <w:r>
        <w:rPr>
          <w:rFonts w:ascii="仿宋" w:hAnsi="仿宋" w:cs="仿宋" w:hint="eastAsia"/>
          <w:color w:val="000000" w:themeColor="text1"/>
          <w:szCs w:val="32"/>
        </w:rPr>
        <w:t>月</w:t>
      </w:r>
      <w:r w:rsidR="00014DD6">
        <w:rPr>
          <w:rFonts w:ascii="仿宋" w:hAnsi="仿宋" w:cs="仿宋" w:hint="eastAsia"/>
          <w:color w:val="000000" w:themeColor="text1"/>
          <w:szCs w:val="32"/>
        </w:rPr>
        <w:t>1</w:t>
      </w:r>
      <w:r w:rsidR="00014DD6">
        <w:rPr>
          <w:rFonts w:ascii="仿宋" w:hAnsi="仿宋" w:cs="仿宋"/>
          <w:color w:val="000000" w:themeColor="text1"/>
          <w:szCs w:val="32"/>
        </w:rPr>
        <w:t>3</w:t>
      </w:r>
      <w:r w:rsidR="00014DD6">
        <w:rPr>
          <w:rFonts w:ascii="仿宋" w:hAnsi="仿宋" w:cs="仿宋" w:hint="eastAsia"/>
          <w:color w:val="000000" w:themeColor="text1"/>
          <w:szCs w:val="32"/>
        </w:rPr>
        <w:t>日</w:t>
      </w:r>
      <w:r>
        <w:rPr>
          <w:rFonts w:ascii="仿宋" w:hAnsi="仿宋" w:cs="仿宋" w:hint="eastAsia"/>
          <w:color w:val="000000" w:themeColor="text1"/>
          <w:szCs w:val="32"/>
        </w:rPr>
        <w:t>正式成立。根据产品投资策略安排和目标收益水平测算，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权益类净多头仓位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约在15%左右区间，自主管理的商品及衍生品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约在10%左右区间（具体建仓安排另行汇报）。为了更好利用股票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价值、统筹管理权益敞口、提升衍生品交易灵活性，拟申请成立</w:t>
      </w:r>
      <w:r w:rsidR="00014DD6">
        <w:rPr>
          <w:rFonts w:ascii="仿宋" w:hAnsi="仿宋" w:cs="仿宋"/>
          <w:color w:val="000000" w:themeColor="text1"/>
          <w:szCs w:val="32"/>
        </w:rPr>
        <w:t>3</w:t>
      </w:r>
      <w:r>
        <w:rPr>
          <w:rFonts w:ascii="仿宋" w:hAnsi="仿宋" w:cs="仿宋" w:hint="eastAsia"/>
          <w:color w:val="000000" w:themeColor="text1"/>
          <w:szCs w:val="32"/>
        </w:rPr>
        <w:t>个资产管理计划进行股票和权益类基金投资、股票打新、衍生品交易等相关操作。相关投资策略由我司提供，并由资产计划管理人在我司授权范围内执行投资操作。具体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安排汇报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如下：</w:t>
      </w:r>
    </w:p>
    <w:p w14:paraId="1AEE8E0F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仿宋" w:hAnsi="仿宋" w:cs="仿宋"/>
          <w:color w:val="000000" w:themeColor="text1"/>
          <w:szCs w:val="32"/>
        </w:rPr>
      </w:pPr>
      <w:r>
        <w:rPr>
          <w:rFonts w:ascii="黑体" w:eastAsia="黑体" w:hAnsi="黑体"/>
          <w:szCs w:val="32"/>
        </w:rPr>
        <w:t>申请理由</w:t>
      </w:r>
    </w:p>
    <w:p w14:paraId="4CCCA58C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（一）便于股票资产参与打新</w:t>
      </w:r>
    </w:p>
    <w:p w14:paraId="61F7CC5E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目前我司能够使用产品自己的交易所账户参与打新，但相较于通过券商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进行线下打新，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网上打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新在中签率、打新获配比例、分配规则方面不具备优势。</w:t>
      </w:r>
    </w:p>
    <w:p w14:paraId="7A680A30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根据目前新股发行制度，网下打新对资产规模有上限要求。因此，通过多个规模适中的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进行打新，能够进一步增厚投资收益。按照目前的市场情况中性测算，预计单一账户2亿资产规模能够增厚收益率5%，单一账户10亿资产规模能够增厚整体收益率1%；如果将10亿资产规模拆成</w:t>
      </w:r>
      <w:r>
        <w:rPr>
          <w:rFonts w:ascii="仿宋" w:hAnsi="仿宋" w:cs="仿宋" w:hint="eastAsia"/>
          <w:color w:val="000000" w:themeColor="text1"/>
          <w:szCs w:val="32"/>
        </w:rPr>
        <w:lastRenderedPageBreak/>
        <w:t>5个2亿的专户，能够将10亿资产规模每年增厚5%的收益率，相对于单一专户提高4%的收益率。因此，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拟适当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分散股票专户，提升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投收益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水平。</w:t>
      </w:r>
    </w:p>
    <w:p w14:paraId="045BBDB1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（二）便于衍生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品投资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交易</w:t>
      </w:r>
    </w:p>
    <w:p w14:paraId="4E88D24B" w14:textId="0EC1F7A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为符合监管部门对投资衍生品的相关要求同时更好地整合券商、外资银行和期货子公司等交易对手资源，申请</w:t>
      </w:r>
      <w:r w:rsidR="001313DD">
        <w:rPr>
          <w:rFonts w:ascii="仿宋" w:hAnsi="仿宋" w:cs="仿宋" w:hint="eastAsia"/>
          <w:color w:val="000000" w:themeColor="text1"/>
          <w:szCs w:val="32"/>
        </w:rPr>
        <w:t>在券商和期货</w:t>
      </w:r>
      <w:r>
        <w:rPr>
          <w:rFonts w:ascii="仿宋" w:hAnsi="仿宋" w:cs="仿宋" w:hint="eastAsia"/>
          <w:color w:val="000000" w:themeColor="text1"/>
          <w:szCs w:val="32"/>
        </w:rPr>
        <w:t>公司设立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作为中介代理机构，全面执行我司的衍生品交易指令、基础资产买卖指令等交易工作，并协助我司进行资产估值、风险监控等工作。</w:t>
      </w:r>
    </w:p>
    <w:p w14:paraId="71F85A6A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投资策略安排</w:t>
      </w:r>
    </w:p>
    <w:p w14:paraId="5FB1862C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股票投资部分：股票投资由我司根据投资策略和授权提供。同时，委托券商管理人进行打新操作。中签股票根据监管规定和相关打新规则在二级市场卖出。原则上，若非限售，主板股票开板后5个交易日内卖出、创业板、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科创板股票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上市5个交易日内卖出。</w:t>
      </w:r>
    </w:p>
    <w:p w14:paraId="387534F4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基金投资部分：基金投资由我司根据投资策略和授权提供。</w:t>
      </w:r>
    </w:p>
    <w:p w14:paraId="037D4EDC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衍生投资部分：衍生投资由我司根据投资策略和授权提供。</w:t>
      </w:r>
    </w:p>
    <w:p w14:paraId="2FFD2DE5" w14:textId="77777777" w:rsidR="0084473C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投资比例安排：</w:t>
      </w:r>
    </w:p>
    <w:p w14:paraId="7946F5B5" w14:textId="0131F3A8" w:rsidR="00372FDA" w:rsidRDefault="0084473C" w:rsidP="0084473C">
      <w:pPr>
        <w:pStyle w:val="a7"/>
        <w:numPr>
          <w:ilvl w:val="0"/>
          <w:numId w:val="3"/>
        </w:numPr>
        <w:spacing w:line="600" w:lineRule="exact"/>
        <w:ind w:firstLineChars="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混合类专户：</w:t>
      </w:r>
      <w:r w:rsidR="00372FDA" w:rsidRPr="0084473C">
        <w:rPr>
          <w:rFonts w:ascii="仿宋" w:hAnsi="仿宋" w:cs="仿宋" w:hint="eastAsia"/>
          <w:color w:val="000000" w:themeColor="text1"/>
          <w:szCs w:val="32"/>
        </w:rPr>
        <w:t>投资于固定收益类金融产品的比例不超过80%；投资于权益类金融产品的比例不超过80%；</w:t>
      </w:r>
      <w:r w:rsidR="00372FDA" w:rsidRPr="0084473C">
        <w:rPr>
          <w:rFonts w:ascii="仿宋" w:hAnsi="仿宋" w:cs="仿宋" w:hint="eastAsia"/>
          <w:color w:val="000000" w:themeColor="text1"/>
          <w:szCs w:val="32"/>
        </w:rPr>
        <w:lastRenderedPageBreak/>
        <w:t>投资于商品及金融衍生品类金融产品的比例不超过80%。</w:t>
      </w:r>
    </w:p>
    <w:p w14:paraId="745D1393" w14:textId="694DCDD0" w:rsidR="0084473C" w:rsidRPr="0084473C" w:rsidRDefault="0084473C" w:rsidP="0084473C">
      <w:pPr>
        <w:pStyle w:val="a7"/>
        <w:numPr>
          <w:ilvl w:val="0"/>
          <w:numId w:val="3"/>
        </w:numPr>
        <w:spacing w:line="600" w:lineRule="exact"/>
        <w:ind w:firstLineChars="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权益类专户：投资于权益类资产的比例为8</w:t>
      </w:r>
      <w:r>
        <w:rPr>
          <w:rFonts w:ascii="仿宋" w:hAnsi="仿宋" w:cs="仿宋"/>
          <w:color w:val="000000" w:themeColor="text1"/>
          <w:szCs w:val="32"/>
        </w:rPr>
        <w:t>0%-100%</w:t>
      </w:r>
      <w:r>
        <w:rPr>
          <w:rFonts w:ascii="仿宋" w:hAnsi="仿宋" w:cs="仿宋" w:hint="eastAsia"/>
          <w:color w:val="000000" w:themeColor="text1"/>
          <w:szCs w:val="32"/>
        </w:rPr>
        <w:t>；投资于固定收益类金融产品的比例为</w:t>
      </w:r>
      <w:r>
        <w:rPr>
          <w:rFonts w:ascii="仿宋" w:hAnsi="仿宋" w:cs="仿宋"/>
          <w:color w:val="000000" w:themeColor="text1"/>
          <w:szCs w:val="32"/>
        </w:rPr>
        <w:t>0%-20%</w:t>
      </w:r>
      <w:r>
        <w:rPr>
          <w:rFonts w:ascii="仿宋" w:hAnsi="仿宋" w:cs="仿宋" w:hint="eastAsia"/>
          <w:color w:val="000000" w:themeColor="text1"/>
          <w:szCs w:val="32"/>
        </w:rPr>
        <w:t>；投资于商品及其他衍生品类资产比例不超过2</w:t>
      </w:r>
      <w:r>
        <w:rPr>
          <w:rFonts w:ascii="仿宋" w:hAnsi="仿宋" w:cs="仿宋"/>
          <w:color w:val="000000" w:themeColor="text1"/>
          <w:szCs w:val="32"/>
        </w:rPr>
        <w:t>0%</w:t>
      </w:r>
      <w:r>
        <w:rPr>
          <w:rFonts w:ascii="仿宋" w:hAnsi="仿宋" w:cs="仿宋" w:hint="eastAsia"/>
          <w:color w:val="000000" w:themeColor="text1"/>
          <w:szCs w:val="32"/>
        </w:rPr>
        <w:t>。</w:t>
      </w:r>
    </w:p>
    <w:p w14:paraId="324D0BE7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业务结构</w:t>
      </w:r>
    </w:p>
    <w:p w14:paraId="50CE6D2A" w14:textId="5A654BC6" w:rsidR="00372FDA" w:rsidRDefault="00372FDA" w:rsidP="00372FDA">
      <w:pPr>
        <w:spacing w:line="600" w:lineRule="exact"/>
        <w:ind w:firstLine="636"/>
        <w:rPr>
          <w:rFonts w:ascii="仿宋" w:hAnsi="仿宋" w:cs="仿宋"/>
          <w:bCs/>
          <w:color w:val="000000" w:themeColor="text1"/>
          <w:szCs w:val="32"/>
        </w:rPr>
      </w:pPr>
      <w:r>
        <w:rPr>
          <w:rFonts w:ascii="仿宋" w:hAnsi="仿宋" w:cs="仿宋" w:hint="eastAsia"/>
          <w:bCs/>
          <w:color w:val="000000" w:themeColor="text1"/>
          <w:szCs w:val="32"/>
        </w:rPr>
        <w:t>新增</w:t>
      </w:r>
      <w:r w:rsidR="00014DD6">
        <w:rPr>
          <w:rFonts w:ascii="仿宋" w:hAnsi="仿宋" w:cs="仿宋"/>
          <w:bCs/>
          <w:color w:val="000000" w:themeColor="text1"/>
          <w:szCs w:val="32"/>
        </w:rPr>
        <w:t>3</w:t>
      </w:r>
      <w:r>
        <w:rPr>
          <w:rFonts w:ascii="仿宋" w:hAnsi="仿宋" w:cs="仿宋" w:hint="eastAsia"/>
          <w:bCs/>
          <w:color w:val="000000" w:themeColor="text1"/>
          <w:szCs w:val="32"/>
        </w:rPr>
        <w:t>个资产管理计划用于理财产品的权益资产和衍生品投资（每个</w:t>
      </w:r>
      <w:proofErr w:type="gramStart"/>
      <w:r>
        <w:rPr>
          <w:rFonts w:ascii="仿宋" w:hAnsi="仿宋" w:cs="仿宋" w:hint="eastAsia"/>
          <w:bCs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bCs/>
          <w:color w:val="000000" w:themeColor="text1"/>
          <w:szCs w:val="32"/>
        </w:rPr>
        <w:t>根据建仓节奏需要陆续启用），业务结构如下：</w:t>
      </w:r>
    </w:p>
    <w:p w14:paraId="1A3ED2B4" w14:textId="77777777" w:rsidR="00372FDA" w:rsidRDefault="00372FDA" w:rsidP="00372FDA">
      <w:pPr>
        <w:spacing w:line="600" w:lineRule="exact"/>
        <w:jc w:val="center"/>
        <w:rPr>
          <w:rFonts w:ascii="仿宋" w:hAnsi="仿宋" w:cs="仿宋"/>
          <w:color w:val="000000" w:themeColor="text1"/>
          <w:sz w:val="22"/>
          <w:szCs w:val="32"/>
        </w:rPr>
      </w:pPr>
      <w:r>
        <w:rPr>
          <w:rFonts w:ascii="仿宋" w:hAnsi="仿宋" w:cs="仿宋"/>
          <w:color w:val="000000" w:themeColor="text1"/>
          <w:sz w:val="22"/>
          <w:szCs w:val="32"/>
        </w:rPr>
        <w:t>图表1</w:t>
      </w:r>
      <w:r>
        <w:rPr>
          <w:rFonts w:ascii="仿宋" w:hAnsi="仿宋" w:cs="仿宋" w:hint="eastAsia"/>
          <w:color w:val="000000" w:themeColor="text1"/>
          <w:sz w:val="22"/>
          <w:szCs w:val="32"/>
        </w:rPr>
        <w:t>：理财</w:t>
      </w:r>
      <w:r>
        <w:rPr>
          <w:rFonts w:ascii="仿宋" w:hAnsi="仿宋" w:cs="仿宋"/>
          <w:color w:val="000000" w:themeColor="text1"/>
          <w:sz w:val="22"/>
          <w:szCs w:val="32"/>
        </w:rPr>
        <w:t>产品</w:t>
      </w:r>
      <w:r>
        <w:rPr>
          <w:rFonts w:ascii="仿宋" w:hAnsi="仿宋" w:cs="仿宋" w:hint="eastAsia"/>
          <w:color w:val="000000" w:themeColor="text1"/>
          <w:sz w:val="22"/>
          <w:szCs w:val="32"/>
        </w:rPr>
        <w:t>投资集合资产管理计划的投资架构</w:t>
      </w:r>
    </w:p>
    <w:p w14:paraId="77261330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19858" wp14:editId="4EBE6121">
                <wp:simplePos x="0" y="0"/>
                <wp:positionH relativeFrom="column">
                  <wp:posOffset>1282065</wp:posOffset>
                </wp:positionH>
                <wp:positionV relativeFrom="paragraph">
                  <wp:posOffset>9525</wp:posOffset>
                </wp:positionV>
                <wp:extent cx="3456940" cy="463550"/>
                <wp:effectExtent l="6350" t="6350" r="2286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10" cy="46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71F694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理财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9858" id="矩形 5" o:spid="_x0000_s1026" style="position:absolute;left:0;text-align:left;margin-left:100.95pt;margin-top:.75pt;width:272.2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" filled="f" strokeweight="1pt">
                <v:textbox>
                  <w:txbxContent>
                    <w:p w14:paraId="0971F694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理财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14:paraId="0ABB0370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FDCF" wp14:editId="5335F1B3">
                <wp:simplePos x="0" y="0"/>
                <wp:positionH relativeFrom="column">
                  <wp:posOffset>2898140</wp:posOffset>
                </wp:positionH>
                <wp:positionV relativeFrom="paragraph">
                  <wp:posOffset>106680</wp:posOffset>
                </wp:positionV>
                <wp:extent cx="242570" cy="332740"/>
                <wp:effectExtent l="15240" t="6350" r="27940" b="2286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332509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807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7" o:spid="_x0000_s1026" type="#_x0000_t67" style="position:absolute;left:0;text-align:left;margin-left:228.2pt;margin-top:8.4pt;width:19.1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" adj="13725" filled="f" strokeweight="1pt"/>
            </w:pict>
          </mc:Fallback>
        </mc:AlternateContent>
      </w:r>
    </w:p>
    <w:p w14:paraId="437FA1D9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3179" wp14:editId="5224D9CE">
                <wp:simplePos x="0" y="0"/>
                <wp:positionH relativeFrom="column">
                  <wp:posOffset>989330</wp:posOffset>
                </wp:positionH>
                <wp:positionV relativeFrom="paragraph">
                  <wp:posOffset>100965</wp:posOffset>
                </wp:positionV>
                <wp:extent cx="4017645" cy="512445"/>
                <wp:effectExtent l="6350" t="635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8" cy="5126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9F0670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集合资产管理计划（混合类一对一专户或一对多专户）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63179" id="矩形 6" o:spid="_x0000_s1027" style="position:absolute;left:0;text-align:left;margin-left:77.9pt;margin-top:7.95pt;width:316.35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" filled="f" strokeweight="1pt">
                <v:textbox>
                  <w:txbxContent>
                    <w:p w14:paraId="3A9F0670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集合资产管理计划（混合类一对一专户或一对多专户）</w:t>
                      </w:r>
                    </w:p>
                  </w:txbxContent>
                </v:textbox>
              </v:rect>
            </w:pict>
          </mc:Fallback>
        </mc:AlternateContent>
      </w:r>
    </w:p>
    <w:p w14:paraId="1270EA96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48E6C" wp14:editId="1198B63B">
                <wp:simplePos x="0" y="0"/>
                <wp:positionH relativeFrom="column">
                  <wp:posOffset>2874645</wp:posOffset>
                </wp:positionH>
                <wp:positionV relativeFrom="paragraph">
                  <wp:posOffset>245110</wp:posOffset>
                </wp:positionV>
                <wp:extent cx="283210" cy="339725"/>
                <wp:effectExtent l="15240" t="6350" r="25400" b="1587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41" cy="339437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47B1" id="下箭头 28" o:spid="_x0000_s1026" type="#_x0000_t67" style="position:absolute;left:0;text-align:left;margin-left:226.35pt;margin-top:19.3pt;width:22.3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" adj="12582" filled="f" strokeweight="1pt"/>
            </w:pict>
          </mc:Fallback>
        </mc:AlternateContent>
      </w:r>
    </w:p>
    <w:p w14:paraId="10E42D6C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3A59D" wp14:editId="7D454A01">
                <wp:simplePos x="0" y="0"/>
                <wp:positionH relativeFrom="column">
                  <wp:posOffset>2080895</wp:posOffset>
                </wp:positionH>
                <wp:positionV relativeFrom="paragraph">
                  <wp:posOffset>217170</wp:posOffset>
                </wp:positionV>
                <wp:extent cx="1821815" cy="422275"/>
                <wp:effectExtent l="6350" t="6350" r="1968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42256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61C33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股票和衍生品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投资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3A59D" id="矩形 23" o:spid="_x0000_s1028" style="position:absolute;left:0;text-align:left;margin-left:163.85pt;margin-top:17.1pt;width:143.45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" filled="f" strokeweight="1pt">
                <v:textbox>
                  <w:txbxContent>
                    <w:p w14:paraId="43461C33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股票和衍生品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投资</w:t>
                      </w:r>
                    </w:p>
                  </w:txbxContent>
                </v:textbox>
              </v:rect>
            </w:pict>
          </mc:Fallback>
        </mc:AlternateContent>
      </w:r>
    </w:p>
    <w:p w14:paraId="1CAF532A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</w:p>
    <w:p w14:paraId="0D163E50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b/>
          <w:color w:val="000000" w:themeColor="text1"/>
          <w:szCs w:val="32"/>
        </w:rPr>
      </w:pPr>
      <w:r>
        <w:rPr>
          <w:rFonts w:ascii="仿宋" w:hAnsi="仿宋" w:cs="仿宋" w:hint="eastAsia"/>
          <w:b/>
          <w:color w:val="000000" w:themeColor="text1"/>
          <w:szCs w:val="32"/>
        </w:rPr>
        <w:t>四、合作机构</w:t>
      </w:r>
    </w:p>
    <w:p w14:paraId="2961448D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proofErr w:type="gramStart"/>
      <w:r>
        <w:rPr>
          <w:rFonts w:ascii="仿宋" w:hAnsi="仿宋" w:cs="仿宋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管理人</w:t>
      </w:r>
      <w:r>
        <w:rPr>
          <w:rFonts w:ascii="仿宋" w:hAnsi="仿宋" w:cs="仿宋"/>
          <w:color w:val="000000" w:themeColor="text1"/>
          <w:szCs w:val="32"/>
        </w:rPr>
        <w:t>选取</w:t>
      </w:r>
      <w:r>
        <w:rPr>
          <w:rFonts w:ascii="仿宋" w:hAnsi="仿宋" w:cs="仿宋" w:hint="eastAsia"/>
          <w:color w:val="000000" w:themeColor="text1"/>
          <w:szCs w:val="32"/>
        </w:rPr>
        <w:t>经我司批准的</w:t>
      </w:r>
      <w:r>
        <w:rPr>
          <w:rFonts w:ascii="仿宋" w:hAnsi="仿宋" w:cs="仿宋"/>
          <w:color w:val="000000" w:themeColor="text1"/>
          <w:szCs w:val="32"/>
        </w:rPr>
        <w:t>合作机构白名单内的证券公司</w:t>
      </w:r>
      <w:r>
        <w:rPr>
          <w:rFonts w:ascii="仿宋" w:hAnsi="仿宋" w:cs="仿宋" w:hint="eastAsia"/>
          <w:color w:val="000000" w:themeColor="text1"/>
          <w:szCs w:val="32"/>
        </w:rPr>
        <w:t>和基金子公司，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管理费率原则上不超过0.1%。</w:t>
      </w:r>
    </w:p>
    <w:p w14:paraId="138FA5A0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</w:p>
    <w:p w14:paraId="08D19AC8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color w:val="000000" w:themeColor="text1"/>
          <w:szCs w:val="32"/>
        </w:rPr>
        <w:t>特此汇报</w:t>
      </w:r>
    </w:p>
    <w:p w14:paraId="6C2BB236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</w:p>
    <w:p w14:paraId="6360AD5D" w14:textId="77777777" w:rsidR="00372FDA" w:rsidRDefault="00372FDA" w:rsidP="00372FDA">
      <w:pPr>
        <w:spacing w:beforeLines="50" w:before="156" w:line="600" w:lineRule="exact"/>
        <w:ind w:right="298" w:firstLine="641"/>
        <w:jc w:val="right"/>
        <w:rPr>
          <w:rFonts w:ascii="仿宋" w:hAnsi="仿宋" w:cs="仿宋_GB2312"/>
          <w:szCs w:val="32"/>
        </w:rPr>
      </w:pPr>
      <w:r>
        <w:rPr>
          <w:rFonts w:ascii="仿宋" w:hAnsi="仿宋" w:cs="仿宋_GB2312" w:hint="eastAsia"/>
          <w:szCs w:val="32"/>
        </w:rPr>
        <w:t>股票投资部</w:t>
      </w:r>
    </w:p>
    <w:p w14:paraId="712D7003" w14:textId="00AACA08" w:rsidR="00BA06ED" w:rsidRDefault="00372FDA" w:rsidP="003E4AA2">
      <w:pPr>
        <w:ind w:left="5040" w:firstLine="420"/>
      </w:pPr>
      <w:bookmarkStart w:id="0" w:name="body"/>
      <w:bookmarkEnd w:id="0"/>
      <w:r>
        <w:rPr>
          <w:szCs w:val="32"/>
        </w:rPr>
        <w:t>202</w:t>
      </w:r>
      <w:r>
        <w:rPr>
          <w:rFonts w:hint="eastAsia"/>
          <w:szCs w:val="32"/>
        </w:rPr>
        <w:t>1</w:t>
      </w:r>
      <w:r>
        <w:rPr>
          <w:szCs w:val="32"/>
        </w:rPr>
        <w:t>年</w:t>
      </w:r>
      <w:r w:rsidR="003E4AA2">
        <w:rPr>
          <w:szCs w:val="32"/>
        </w:rPr>
        <w:t>10</w:t>
      </w:r>
      <w:r w:rsidR="00DC3FFC">
        <w:rPr>
          <w:rFonts w:hint="eastAsia"/>
          <w:szCs w:val="32"/>
        </w:rPr>
        <w:t>月</w:t>
      </w:r>
      <w:r w:rsidR="003E4AA2">
        <w:rPr>
          <w:szCs w:val="32"/>
        </w:rPr>
        <w:t>19</w:t>
      </w:r>
      <w:r w:rsidR="00DC3FFC">
        <w:rPr>
          <w:rFonts w:hint="eastAsia"/>
          <w:szCs w:val="32"/>
        </w:rPr>
        <w:t>日</w:t>
      </w:r>
    </w:p>
    <w:sectPr w:rsidR="00BA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5DC8" w14:textId="77777777" w:rsidR="002651C4" w:rsidRDefault="002651C4" w:rsidP="001313DD">
      <w:r>
        <w:separator/>
      </w:r>
    </w:p>
  </w:endnote>
  <w:endnote w:type="continuationSeparator" w:id="0">
    <w:p w14:paraId="5F838C30" w14:textId="77777777" w:rsidR="002651C4" w:rsidRDefault="002651C4" w:rsidP="0013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5ABD" w14:textId="77777777" w:rsidR="002651C4" w:rsidRDefault="002651C4" w:rsidP="001313DD">
      <w:r>
        <w:separator/>
      </w:r>
    </w:p>
  </w:footnote>
  <w:footnote w:type="continuationSeparator" w:id="0">
    <w:p w14:paraId="69485E9D" w14:textId="77777777" w:rsidR="002651C4" w:rsidRDefault="002651C4" w:rsidP="0013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2AE4C"/>
    <w:multiLevelType w:val="singleLevel"/>
    <w:tmpl w:val="52A2AE4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5338F76F"/>
    <w:multiLevelType w:val="singleLevel"/>
    <w:tmpl w:val="5338F76F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7F2743C7"/>
    <w:multiLevelType w:val="hybridMultilevel"/>
    <w:tmpl w:val="EA3CB3A8"/>
    <w:lvl w:ilvl="0" w:tplc="2542B4D6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A"/>
    <w:rsid w:val="00014DD6"/>
    <w:rsid w:val="001313DD"/>
    <w:rsid w:val="002651C4"/>
    <w:rsid w:val="00372FDA"/>
    <w:rsid w:val="003E4AA2"/>
    <w:rsid w:val="00813E53"/>
    <w:rsid w:val="0084473C"/>
    <w:rsid w:val="00BA06ED"/>
    <w:rsid w:val="00DC3FFC"/>
    <w:rsid w:val="00E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0C4F5"/>
  <w15:chartTrackingRefBased/>
  <w15:docId w15:val="{4F6365F9-08C2-4DC0-8503-ED43539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DA"/>
    <w:pPr>
      <w:widowControl w:val="0"/>
      <w:jc w:val="both"/>
    </w:pPr>
    <w:rPr>
      <w:rFonts w:ascii="Times New Roman" w:eastAsia="仿宋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3DD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3DD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44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4</cp:revision>
  <dcterms:created xsi:type="dcterms:W3CDTF">2021-09-23T02:10:00Z</dcterms:created>
  <dcterms:modified xsi:type="dcterms:W3CDTF">2021-10-19T08:44:00Z</dcterms:modified>
</cp:coreProperties>
</file>