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EB2A9" w14:textId="357A3178" w:rsidR="00BC6B66" w:rsidRDefault="00D97C3E">
      <w:r>
        <w:rPr>
          <w:rFonts w:hint="eastAsia"/>
        </w:rPr>
        <w:t>期货</w:t>
      </w:r>
      <w:r w:rsidR="009D2FE3">
        <w:rPr>
          <w:rFonts w:hint="eastAsia"/>
        </w:rPr>
        <w:t>投资方案</w:t>
      </w:r>
    </w:p>
    <w:p w14:paraId="0DFC024A" w14:textId="2711189A" w:rsidR="00D97C3E" w:rsidRDefault="00D97C3E"/>
    <w:p w14:paraId="55E9832B" w14:textId="7ADAF3CA" w:rsidR="00D97C3E" w:rsidRDefault="00D97C3E" w:rsidP="00D97C3E">
      <w:pPr>
        <w:pStyle w:val="a3"/>
        <w:numPr>
          <w:ilvl w:val="0"/>
          <w:numId w:val="1"/>
        </w:numPr>
        <w:ind w:firstLineChars="0"/>
      </w:pPr>
      <w:r>
        <w:rPr>
          <w:rFonts w:hint="eastAsia"/>
        </w:rPr>
        <w:t>期货市场现状</w:t>
      </w:r>
    </w:p>
    <w:p w14:paraId="3CC7944E" w14:textId="32AEEE43" w:rsidR="00D97C3E" w:rsidRDefault="00D97C3E" w:rsidP="00D97C3E">
      <w:pPr>
        <w:pStyle w:val="a3"/>
        <w:ind w:left="429" w:firstLineChars="0" w:firstLine="0"/>
      </w:pPr>
    </w:p>
    <w:p w14:paraId="7BF75F6C" w14:textId="1856EF93" w:rsidR="00D97C3E" w:rsidRDefault="00E72105" w:rsidP="00D97C3E">
      <w:pPr>
        <w:pStyle w:val="a3"/>
        <w:ind w:left="429" w:firstLineChars="0" w:firstLine="0"/>
      </w:pPr>
      <w:r>
        <w:rPr>
          <w:rFonts w:hint="eastAsia"/>
        </w:rPr>
        <w:t>国内期货市场主要交易场所为上海期货交易所、郑州商品交易所、大连商品交易所，和中国金融期货交易所。其中上述前三个交易所主要交易商品期货、期权，而中金所为金融期货、期权交易场所。</w:t>
      </w:r>
    </w:p>
    <w:p w14:paraId="5A319FAC" w14:textId="3CC773B2" w:rsidR="00E72105" w:rsidRDefault="00E72105" w:rsidP="00D97C3E">
      <w:pPr>
        <w:pStyle w:val="a3"/>
        <w:ind w:left="429" w:firstLineChars="0" w:firstLine="0"/>
      </w:pPr>
    </w:p>
    <w:p w14:paraId="461A11CF" w14:textId="04230317" w:rsidR="00796426" w:rsidRDefault="00796426" w:rsidP="00796426">
      <w:pPr>
        <w:pStyle w:val="a3"/>
        <w:ind w:left="429" w:firstLineChars="0" w:firstLine="0"/>
      </w:pPr>
      <w:r>
        <w:rPr>
          <w:rFonts w:hint="eastAsia"/>
        </w:rPr>
        <w:t>其中，大商所和</w:t>
      </w:r>
      <w:proofErr w:type="gramStart"/>
      <w:r>
        <w:rPr>
          <w:rFonts w:hint="eastAsia"/>
        </w:rPr>
        <w:t>郑商</w:t>
      </w:r>
      <w:proofErr w:type="gramEnd"/>
      <w:r>
        <w:rPr>
          <w:rFonts w:hint="eastAsia"/>
        </w:rPr>
        <w:t>所的主要交易品种为农产品和上游资源品（铁矿石、焦煤、焦炭、动力煤、原油</w:t>
      </w:r>
      <w:r w:rsidR="00C83CEE">
        <w:rPr>
          <w:rFonts w:hint="eastAsia"/>
        </w:rPr>
        <w:t>等</w:t>
      </w:r>
      <w:r>
        <w:rPr>
          <w:rFonts w:hint="eastAsia"/>
        </w:rPr>
        <w:t>），上海交易所的主要交易品种为有色金属、贵金属和钢材（螺纹钢、热轧卷板）。</w:t>
      </w:r>
      <w:r w:rsidR="00B75E22">
        <w:rPr>
          <w:rFonts w:hint="eastAsia"/>
        </w:rPr>
        <w:t>其中，交易黑色品种（铁矿石、焦煤焦炭、螺纹钢、热轧卷板）的交易主要由国内供需定价</w:t>
      </w:r>
      <w:r w:rsidR="00584293">
        <w:rPr>
          <w:rFonts w:hint="eastAsia"/>
        </w:rPr>
        <w:t>（见下图）</w:t>
      </w:r>
      <w:r w:rsidR="00B75E22">
        <w:rPr>
          <w:rFonts w:hint="eastAsia"/>
        </w:rPr>
        <w:t>，是非常有效并且流动性极好的品种；而有色金属、原油等品种受全球供需影响较大，为全球定价品种，这类品种</w:t>
      </w:r>
      <w:proofErr w:type="gramStart"/>
      <w:r w:rsidR="00B75E22">
        <w:rPr>
          <w:rFonts w:hint="eastAsia"/>
        </w:rPr>
        <w:t>的夜盘交易</w:t>
      </w:r>
      <w:proofErr w:type="gramEnd"/>
      <w:r w:rsidR="00B75E22">
        <w:rPr>
          <w:rFonts w:hint="eastAsia"/>
        </w:rPr>
        <w:t>通常波动较大。</w:t>
      </w:r>
      <w:r w:rsidR="00C83CEE">
        <w:rPr>
          <w:rFonts w:hint="eastAsia"/>
        </w:rPr>
        <w:t>农产品由于其供需因素相对变化较慢（除受极端天气、疫病影响外），通常较少作为宏观交易的标的。</w:t>
      </w:r>
    </w:p>
    <w:p w14:paraId="13E07FBA" w14:textId="405DA732" w:rsidR="00C83CEE" w:rsidRDefault="00C83CEE" w:rsidP="00796426">
      <w:pPr>
        <w:pStyle w:val="a3"/>
        <w:ind w:left="429" w:firstLineChars="0" w:firstLine="0"/>
      </w:pPr>
    </w:p>
    <w:p w14:paraId="63E3F9DC" w14:textId="46675896" w:rsidR="00584293" w:rsidRDefault="00584293" w:rsidP="00796426">
      <w:pPr>
        <w:pStyle w:val="a3"/>
        <w:ind w:left="429" w:firstLineChars="0" w:firstLine="0"/>
      </w:pPr>
      <w:r>
        <w:rPr>
          <w:rFonts w:hint="eastAsia"/>
        </w:rPr>
        <w:t>国内商品市场掌握黑色系商品主要定价权</w:t>
      </w:r>
    </w:p>
    <w:p w14:paraId="183780F3" w14:textId="5CC2385B" w:rsidR="00C83CEE" w:rsidRDefault="00584293" w:rsidP="00796426">
      <w:pPr>
        <w:pStyle w:val="a3"/>
        <w:ind w:left="429" w:firstLineChars="0" w:firstLine="0"/>
        <w:rPr>
          <w:rFonts w:hint="eastAsia"/>
        </w:rPr>
      </w:pPr>
      <w:r w:rsidRPr="00584293">
        <w:rPr>
          <w:noProof/>
        </w:rPr>
        <w:drawing>
          <wp:inline distT="0" distB="0" distL="0" distR="0" wp14:anchorId="2D3CD4D5" wp14:editId="40032783">
            <wp:extent cx="5274310" cy="25647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564765"/>
                    </a:xfrm>
                    <a:prstGeom prst="rect">
                      <a:avLst/>
                    </a:prstGeom>
                    <a:noFill/>
                    <a:ln>
                      <a:noFill/>
                    </a:ln>
                  </pic:spPr>
                </pic:pic>
              </a:graphicData>
            </a:graphic>
          </wp:inline>
        </w:drawing>
      </w:r>
    </w:p>
    <w:p w14:paraId="1E314557" w14:textId="05BE4B5C" w:rsidR="00D97C3E" w:rsidRDefault="00D97C3E" w:rsidP="00D97C3E">
      <w:pPr>
        <w:pStyle w:val="a3"/>
        <w:ind w:left="429" w:firstLineChars="0" w:firstLine="0"/>
      </w:pPr>
    </w:p>
    <w:p w14:paraId="705DCC3B" w14:textId="77777777" w:rsidR="00584293" w:rsidRDefault="00584293" w:rsidP="00D97C3E">
      <w:pPr>
        <w:pStyle w:val="a3"/>
        <w:ind w:left="429" w:firstLineChars="0" w:firstLine="0"/>
        <w:rPr>
          <w:rFonts w:hint="eastAsia"/>
        </w:rPr>
      </w:pPr>
    </w:p>
    <w:p w14:paraId="5A7425EA" w14:textId="4F913AFE" w:rsidR="00D97C3E" w:rsidRDefault="00D97C3E" w:rsidP="00D97C3E">
      <w:pPr>
        <w:pStyle w:val="a3"/>
        <w:numPr>
          <w:ilvl w:val="0"/>
          <w:numId w:val="1"/>
        </w:numPr>
        <w:ind w:firstLineChars="0"/>
      </w:pPr>
      <w:r>
        <w:rPr>
          <w:rFonts w:hint="eastAsia"/>
        </w:rPr>
        <w:t>主要品类和主力品种</w:t>
      </w:r>
    </w:p>
    <w:p w14:paraId="03CB4333" w14:textId="77777777" w:rsidR="00D97C3E" w:rsidRDefault="00D97C3E" w:rsidP="00D97C3E">
      <w:pPr>
        <w:pStyle w:val="a3"/>
        <w:rPr>
          <w:rFonts w:hint="eastAsia"/>
        </w:rPr>
      </w:pPr>
    </w:p>
    <w:p w14:paraId="68903DE7" w14:textId="4E2D3AF4" w:rsidR="005B382B" w:rsidRDefault="00C83CEE" w:rsidP="00D97C3E">
      <w:pPr>
        <w:pStyle w:val="a3"/>
        <w:ind w:left="429" w:firstLineChars="0" w:firstLine="0"/>
      </w:pPr>
      <w:r>
        <w:rPr>
          <w:rFonts w:hint="eastAsia"/>
        </w:rPr>
        <w:t>从商品期货的品类划分上看，主要分为能源化工、黑色系、农产品、软商品、有色贵金属。</w:t>
      </w:r>
      <w:r w:rsidR="005B382B">
        <w:rPr>
          <w:rFonts w:hint="eastAsia"/>
        </w:rPr>
        <w:t>其中，</w:t>
      </w:r>
      <w:r w:rsidR="00BF393E">
        <w:rPr>
          <w:rFonts w:hint="eastAsia"/>
        </w:rPr>
        <w:t>黑色系中螺纹钢、铁矿石，农产品中豆</w:t>
      </w:r>
      <w:proofErr w:type="gramStart"/>
      <w:r w:rsidR="00BF393E">
        <w:rPr>
          <w:rFonts w:hint="eastAsia"/>
        </w:rPr>
        <w:t>粕</w:t>
      </w:r>
      <w:proofErr w:type="gramEnd"/>
      <w:r w:rsidR="00BF393E">
        <w:rPr>
          <w:rFonts w:hint="eastAsia"/>
        </w:rPr>
        <w:t>，能化中甲醇等流动性最佳。而国际定价品种例如铜铝等由于定价权主要在国外期货市场而国内主要为</w:t>
      </w:r>
      <w:proofErr w:type="gramStart"/>
      <w:r w:rsidR="00BF393E">
        <w:rPr>
          <w:rFonts w:hint="eastAsia"/>
        </w:rPr>
        <w:t>夜盘交易故相对</w:t>
      </w:r>
      <w:proofErr w:type="gramEnd"/>
      <w:r w:rsidR="00BF393E">
        <w:rPr>
          <w:rFonts w:hint="eastAsia"/>
        </w:rPr>
        <w:t>交易量较小。</w:t>
      </w:r>
    </w:p>
    <w:p w14:paraId="383B7C7B" w14:textId="5D234C5B" w:rsidR="00BF393E" w:rsidRDefault="00BF393E" w:rsidP="00D97C3E">
      <w:pPr>
        <w:pStyle w:val="a3"/>
        <w:ind w:left="429" w:firstLineChars="0" w:firstLine="0"/>
      </w:pPr>
    </w:p>
    <w:p w14:paraId="2E351873" w14:textId="45F7C201" w:rsidR="00BF393E" w:rsidRDefault="00BF393E" w:rsidP="00D97C3E">
      <w:pPr>
        <w:pStyle w:val="a3"/>
        <w:ind w:left="429" w:firstLineChars="0" w:firstLine="0"/>
      </w:pPr>
    </w:p>
    <w:p w14:paraId="4CDA6C1E" w14:textId="77777777" w:rsidR="00BF393E" w:rsidRDefault="00BF393E" w:rsidP="00D97C3E">
      <w:pPr>
        <w:pStyle w:val="a3"/>
        <w:ind w:left="429" w:firstLineChars="0" w:firstLine="0"/>
        <w:rPr>
          <w:rFonts w:hint="eastAsia"/>
        </w:rPr>
      </w:pPr>
    </w:p>
    <w:p w14:paraId="20E21E13" w14:textId="1DA8700F" w:rsidR="005B382B" w:rsidRDefault="005B382B" w:rsidP="00D97C3E">
      <w:pPr>
        <w:pStyle w:val="a3"/>
        <w:ind w:left="429" w:firstLineChars="0" w:firstLine="0"/>
      </w:pPr>
    </w:p>
    <w:p w14:paraId="61DFB46B" w14:textId="5E196192" w:rsidR="005B382B" w:rsidRDefault="005B382B" w:rsidP="00D97C3E">
      <w:pPr>
        <w:pStyle w:val="a3"/>
        <w:ind w:left="429" w:firstLineChars="0" w:firstLine="0"/>
      </w:pPr>
    </w:p>
    <w:p w14:paraId="0EC10764" w14:textId="1E4549A4" w:rsidR="005B382B" w:rsidRDefault="005B382B" w:rsidP="00D97C3E">
      <w:pPr>
        <w:pStyle w:val="a3"/>
        <w:ind w:left="429" w:firstLineChars="0" w:firstLine="0"/>
      </w:pPr>
    </w:p>
    <w:p w14:paraId="6326E8E6" w14:textId="07246B04" w:rsidR="005B382B" w:rsidRDefault="005B382B" w:rsidP="00D97C3E">
      <w:pPr>
        <w:pStyle w:val="a3"/>
        <w:ind w:left="429" w:firstLineChars="0" w:firstLine="0"/>
        <w:rPr>
          <w:rFonts w:hint="eastAsia"/>
        </w:rPr>
      </w:pPr>
      <w:r>
        <w:rPr>
          <w:rFonts w:hint="eastAsia"/>
        </w:rPr>
        <w:lastRenderedPageBreak/>
        <w:t>国内期货市场</w:t>
      </w:r>
      <w:r w:rsidR="00BF393E">
        <w:rPr>
          <w:rFonts w:hint="eastAsia"/>
        </w:rPr>
        <w:t>品种流动性</w:t>
      </w:r>
    </w:p>
    <w:p w14:paraId="1B9C8FDF" w14:textId="2544DDEC" w:rsidR="005B382B" w:rsidRDefault="00BF393E" w:rsidP="00D97C3E">
      <w:pPr>
        <w:pStyle w:val="a3"/>
        <w:ind w:left="429" w:firstLineChars="0" w:firstLine="0"/>
        <w:rPr>
          <w:rFonts w:hint="eastAsia"/>
        </w:rPr>
      </w:pPr>
      <w:r>
        <w:rPr>
          <w:noProof/>
        </w:rPr>
        <w:drawing>
          <wp:inline distT="0" distB="0" distL="0" distR="0" wp14:anchorId="43F67B3B" wp14:editId="337728E9">
            <wp:extent cx="4785710" cy="2469022"/>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92648" cy="2472601"/>
                    </a:xfrm>
                    <a:prstGeom prst="rect">
                      <a:avLst/>
                    </a:prstGeom>
                    <a:noFill/>
                  </pic:spPr>
                </pic:pic>
              </a:graphicData>
            </a:graphic>
          </wp:inline>
        </w:drawing>
      </w:r>
    </w:p>
    <w:p w14:paraId="2D45D549" w14:textId="6B140EBC" w:rsidR="00C83CEE" w:rsidRDefault="00C83CEE" w:rsidP="00D97C3E">
      <w:pPr>
        <w:pStyle w:val="a3"/>
        <w:ind w:left="429" w:firstLineChars="0" w:firstLine="0"/>
      </w:pPr>
    </w:p>
    <w:p w14:paraId="7B862B7E" w14:textId="1C006DC2" w:rsidR="00C83CEE" w:rsidRDefault="00C83CEE" w:rsidP="00D97C3E">
      <w:pPr>
        <w:pStyle w:val="a3"/>
        <w:ind w:left="429" w:firstLineChars="0" w:firstLine="0"/>
      </w:pPr>
      <w:r>
        <w:rPr>
          <w:rFonts w:hint="eastAsia"/>
        </w:rPr>
        <w:t>其中，能源化工主要覆盖了能源和化工产业链的一些中下游产品，主要包含原油、</w:t>
      </w:r>
      <w:r w:rsidR="00C54FCC">
        <w:rPr>
          <w:rFonts w:hint="eastAsia"/>
        </w:rPr>
        <w:t>原料油、燃料油、</w:t>
      </w:r>
      <w:r w:rsidR="006529C0">
        <w:rPr>
          <w:rFonts w:hint="eastAsia"/>
        </w:rPr>
        <w:t>甲醇、聚丙烯、纯碱、</w:t>
      </w:r>
      <w:r w:rsidR="00C54FCC">
        <w:rPr>
          <w:rFonts w:hint="eastAsia"/>
        </w:rPr>
        <w:t>尿素、</w:t>
      </w:r>
      <w:r w:rsidR="006529C0">
        <w:rPr>
          <w:rFonts w:hint="eastAsia"/>
        </w:rPr>
        <w:t>沥青、</w:t>
      </w:r>
      <w:r w:rsidR="00C54FCC">
        <w:rPr>
          <w:rFonts w:hint="eastAsia"/>
        </w:rPr>
        <w:t>短</w:t>
      </w:r>
      <w:proofErr w:type="gramStart"/>
      <w:r w:rsidR="00C54FCC">
        <w:rPr>
          <w:rFonts w:hint="eastAsia"/>
        </w:rPr>
        <w:t>纤</w:t>
      </w:r>
      <w:proofErr w:type="gramEnd"/>
      <w:r w:rsidR="00C54FCC">
        <w:rPr>
          <w:rFonts w:hint="eastAsia"/>
        </w:rPr>
        <w:t>、纸浆等。这一类商品品类覆盖了能化产业链中的上下游产品，从能源来源（原油），到工业重要中间产品（如化工产业重要产品</w:t>
      </w:r>
      <w:r w:rsidR="006529C0">
        <w:rPr>
          <w:rFonts w:hint="eastAsia"/>
        </w:rPr>
        <w:t>甲醇、聚丙烯，用于生产涤纶长丝的P</w:t>
      </w:r>
      <w:r w:rsidR="006529C0">
        <w:t>TA</w:t>
      </w:r>
      <w:r w:rsidR="006529C0">
        <w:rPr>
          <w:rFonts w:hint="eastAsia"/>
        </w:rPr>
        <w:t>等</w:t>
      </w:r>
      <w:r w:rsidR="00C54FCC">
        <w:rPr>
          <w:rFonts w:hint="eastAsia"/>
        </w:rPr>
        <w:t>），再到下游产品（用于造纸的纸浆、用于</w:t>
      </w:r>
      <w:proofErr w:type="gramStart"/>
      <w:r w:rsidR="00C54FCC">
        <w:rPr>
          <w:rFonts w:hint="eastAsia"/>
        </w:rPr>
        <w:t>纺服产业</w:t>
      </w:r>
      <w:proofErr w:type="gramEnd"/>
      <w:r w:rsidR="00C54FCC">
        <w:rPr>
          <w:rFonts w:hint="eastAsia"/>
        </w:rPr>
        <w:t>的短</w:t>
      </w:r>
      <w:proofErr w:type="gramStart"/>
      <w:r w:rsidR="00C54FCC">
        <w:rPr>
          <w:rFonts w:hint="eastAsia"/>
        </w:rPr>
        <w:t>纤</w:t>
      </w:r>
      <w:proofErr w:type="gramEnd"/>
      <w:r w:rsidR="00C54FCC">
        <w:rPr>
          <w:rFonts w:hint="eastAsia"/>
        </w:rPr>
        <w:t>、用于种植业的尿素等）。</w:t>
      </w:r>
      <w:r w:rsidR="00C13476">
        <w:rPr>
          <w:rFonts w:hint="eastAsia"/>
        </w:rPr>
        <w:t>能</w:t>
      </w:r>
      <w:proofErr w:type="gramStart"/>
      <w:r w:rsidR="00C13476">
        <w:rPr>
          <w:rFonts w:hint="eastAsia"/>
        </w:rPr>
        <w:t>化板块</w:t>
      </w:r>
      <w:proofErr w:type="gramEnd"/>
      <w:r w:rsidR="00C13476">
        <w:rPr>
          <w:rFonts w:hint="eastAsia"/>
        </w:rPr>
        <w:t>的供需和涨跌对于观测工业企业上下游供需的情况非常重要，也会通过尿素、</w:t>
      </w:r>
      <w:r w:rsidR="00C13476">
        <w:t>PVC</w:t>
      </w:r>
      <w:r w:rsidR="00C13476">
        <w:rPr>
          <w:rFonts w:hint="eastAsia"/>
        </w:rPr>
        <w:t>、纯碱等中间品对下游农产品、玻璃、和建材等价格进行传导，相对而言属于</w:t>
      </w:r>
      <w:proofErr w:type="gramStart"/>
      <w:r w:rsidR="00C13476">
        <w:rPr>
          <w:rFonts w:hint="eastAsia"/>
        </w:rPr>
        <w:t>通胀中期</w:t>
      </w:r>
      <w:proofErr w:type="gramEnd"/>
      <w:r w:rsidR="00C13476">
        <w:rPr>
          <w:rFonts w:hint="eastAsia"/>
        </w:rPr>
        <w:t>的博弈品种。</w:t>
      </w:r>
    </w:p>
    <w:p w14:paraId="086E31C4" w14:textId="77777777" w:rsidR="00584293" w:rsidRDefault="00584293" w:rsidP="00D97C3E">
      <w:pPr>
        <w:pStyle w:val="a3"/>
        <w:ind w:left="429" w:firstLineChars="0" w:firstLine="0"/>
        <w:rPr>
          <w:rFonts w:hint="eastAsia"/>
        </w:rPr>
      </w:pPr>
    </w:p>
    <w:p w14:paraId="1A63964F" w14:textId="16CCC7A4" w:rsidR="00C13476" w:rsidRDefault="00C13476" w:rsidP="00D97C3E">
      <w:pPr>
        <w:pStyle w:val="a3"/>
        <w:ind w:left="429" w:firstLineChars="0" w:firstLine="0"/>
      </w:pPr>
      <w:r>
        <w:rPr>
          <w:rFonts w:hint="eastAsia"/>
        </w:rPr>
        <w:t>黑色系大宗商品为炼钢环节中的重要原料、中间品、和最终产品。由于我国的基建建设需求非常大，这一类产品的主要由国内供需定价。例如当房地产和基建建设投资较快时，通常黑色系下游的螺纹钢需求较好，而会使得钢厂利润上涨从而传导到铁矿石、焦煤焦炭等品种价格。</w:t>
      </w:r>
      <w:r w:rsidR="00A40BC0">
        <w:rPr>
          <w:rFonts w:hint="eastAsia"/>
        </w:rPr>
        <w:t>因而，在对国内市场的宏观投资中，黑色系投资是非常重要的策略补充。</w:t>
      </w:r>
    </w:p>
    <w:p w14:paraId="4913A383" w14:textId="1174B6A1" w:rsidR="00A40BC0" w:rsidRDefault="00A40BC0" w:rsidP="00D97C3E">
      <w:pPr>
        <w:pStyle w:val="a3"/>
        <w:ind w:left="429" w:firstLineChars="0" w:firstLine="0"/>
      </w:pPr>
    </w:p>
    <w:p w14:paraId="458EF064" w14:textId="3161FEA8" w:rsidR="00A40BC0" w:rsidRDefault="00A40BC0" w:rsidP="00D97C3E">
      <w:pPr>
        <w:pStyle w:val="a3"/>
        <w:ind w:left="429" w:firstLineChars="0" w:firstLine="0"/>
      </w:pPr>
      <w:r>
        <w:rPr>
          <w:rFonts w:hint="eastAsia"/>
        </w:rPr>
        <w:t>农产品、软商品，主要为玉米、大豆、豆</w:t>
      </w:r>
      <w:proofErr w:type="gramStart"/>
      <w:r>
        <w:rPr>
          <w:rFonts w:hint="eastAsia"/>
        </w:rPr>
        <w:t>粕</w:t>
      </w:r>
      <w:proofErr w:type="gramEnd"/>
      <w:r>
        <w:rPr>
          <w:rFonts w:hint="eastAsia"/>
        </w:rPr>
        <w:t>、生猪、油脂（豆油、菜油、棕榈油）、棉花、白糖等下游消费大宗商品。这一类商品大多是晚期通胀博弈品种，通过尿素和电价等价格增长传导至下游消费价格，因而波动相对较小。此类品种需要对天气、种植面积、生长状况、运输条件、疫病情况等方面有深入研究和信息优势，在宏观投资中主要用作对冲头寸使用。</w:t>
      </w:r>
    </w:p>
    <w:p w14:paraId="17732F0D" w14:textId="38E0CC28" w:rsidR="00A40BC0" w:rsidRDefault="00A40BC0" w:rsidP="00D97C3E">
      <w:pPr>
        <w:pStyle w:val="a3"/>
        <w:ind w:left="429" w:firstLineChars="0" w:firstLine="0"/>
      </w:pPr>
    </w:p>
    <w:p w14:paraId="2304EA7B" w14:textId="1019FF5B" w:rsidR="00A40BC0" w:rsidRDefault="00236E22" w:rsidP="00D97C3E">
      <w:pPr>
        <w:pStyle w:val="a3"/>
        <w:ind w:left="429" w:firstLineChars="0" w:firstLine="0"/>
        <w:rPr>
          <w:rFonts w:hint="eastAsia"/>
        </w:rPr>
      </w:pPr>
      <w:r>
        <w:rPr>
          <w:rFonts w:hint="eastAsia"/>
        </w:rPr>
        <w:t>有色金属、贵金属，包含铜、铝、、铅、锡、锌、金、银，是国际流通国际定价的品类，通常这一类品种属于通胀早期博弈工具。例如在2</w:t>
      </w:r>
      <w:r>
        <w:t>020</w:t>
      </w:r>
      <w:r>
        <w:rPr>
          <w:rFonts w:hint="eastAsia"/>
        </w:rPr>
        <w:t>年疫情期间，智利铜矿供给和运输受限等因素，以及工业和可选消费（家电、房屋建筑等）的需求提前复苏，导致了铜价大幅上涨，而黄金受全球放水政策的刺激也创出了新高。这一类品种是宏观交易中的重要工具，</w:t>
      </w:r>
      <w:r w:rsidR="00D5675B">
        <w:rPr>
          <w:rFonts w:hint="eastAsia"/>
        </w:rPr>
        <w:t>并且由于全球定价信息透明，投资</w:t>
      </w:r>
      <w:proofErr w:type="gramStart"/>
      <w:r w:rsidR="00D5675B">
        <w:rPr>
          <w:rFonts w:hint="eastAsia"/>
        </w:rPr>
        <w:t>户相对</w:t>
      </w:r>
      <w:proofErr w:type="gramEnd"/>
      <w:r w:rsidR="00D5675B">
        <w:rPr>
          <w:rFonts w:hint="eastAsia"/>
        </w:rPr>
        <w:t>产业资本的信息劣势较小。</w:t>
      </w:r>
    </w:p>
    <w:p w14:paraId="57485415" w14:textId="580563A0" w:rsidR="00D97C3E" w:rsidRDefault="00D97C3E" w:rsidP="00D97C3E">
      <w:pPr>
        <w:pStyle w:val="a3"/>
        <w:ind w:left="429" w:firstLineChars="0" w:firstLine="0"/>
      </w:pPr>
    </w:p>
    <w:p w14:paraId="5A9CE42E" w14:textId="2B70355C" w:rsidR="006529C0" w:rsidRDefault="00E30BA8" w:rsidP="00E30BA8">
      <w:pPr>
        <w:pStyle w:val="a3"/>
        <w:ind w:left="429" w:firstLineChars="0" w:firstLine="0"/>
      </w:pPr>
      <w:r>
        <w:rPr>
          <w:rFonts w:hint="eastAsia"/>
        </w:rPr>
        <w:t>综上所述，在各类商品期货品种中，</w:t>
      </w:r>
      <w:r w:rsidR="00FF6C42">
        <w:rPr>
          <w:rFonts w:hint="eastAsia"/>
        </w:rPr>
        <w:t>我们申请交易的代表性</w:t>
      </w:r>
      <w:r>
        <w:rPr>
          <w:rFonts w:hint="eastAsia"/>
        </w:rPr>
        <w:t>品种为</w:t>
      </w:r>
    </w:p>
    <w:p w14:paraId="7951EB5C" w14:textId="146B56A8" w:rsidR="006529C0" w:rsidRDefault="00E30BA8" w:rsidP="00E30BA8">
      <w:pPr>
        <w:pStyle w:val="a3"/>
        <w:ind w:left="429" w:firstLineChars="0" w:firstLine="0"/>
      </w:pPr>
      <w:r>
        <w:rPr>
          <w:rFonts w:hint="eastAsia"/>
        </w:rPr>
        <w:t>1</w:t>
      </w:r>
      <w:r>
        <w:t>.</w:t>
      </w:r>
      <w:r w:rsidR="00971DA8">
        <w:t xml:space="preserve"> </w:t>
      </w:r>
      <w:r>
        <w:rPr>
          <w:rFonts w:hint="eastAsia"/>
        </w:rPr>
        <w:t>黑色系品种</w:t>
      </w:r>
      <w:r w:rsidR="006529C0">
        <w:rPr>
          <w:rFonts w:hint="eastAsia"/>
        </w:rPr>
        <w:t>：</w:t>
      </w:r>
      <w:r>
        <w:rPr>
          <w:rFonts w:hint="eastAsia"/>
        </w:rPr>
        <w:t>螺纹钢</w:t>
      </w:r>
      <w:r w:rsidR="00D760FE">
        <w:rPr>
          <w:rFonts w:hint="eastAsia"/>
        </w:rPr>
        <w:t>（重要建材）</w:t>
      </w:r>
      <w:r>
        <w:rPr>
          <w:rFonts w:hint="eastAsia"/>
        </w:rPr>
        <w:t>、热轧卷板</w:t>
      </w:r>
      <w:r w:rsidR="00D760FE">
        <w:rPr>
          <w:rFonts w:hint="eastAsia"/>
        </w:rPr>
        <w:t>（用于汽车等）</w:t>
      </w:r>
      <w:r w:rsidR="006529C0">
        <w:rPr>
          <w:rFonts w:hint="eastAsia"/>
        </w:rPr>
        <w:t>、铁矿石、焦煤</w:t>
      </w:r>
      <w:r w:rsidR="00D760FE">
        <w:rPr>
          <w:rFonts w:hint="eastAsia"/>
        </w:rPr>
        <w:t>（用于制造焦炭）</w:t>
      </w:r>
      <w:r w:rsidR="006529C0">
        <w:rPr>
          <w:rFonts w:hint="eastAsia"/>
        </w:rPr>
        <w:t>、焦炭</w:t>
      </w:r>
      <w:r w:rsidR="00D760FE">
        <w:rPr>
          <w:rFonts w:hint="eastAsia"/>
        </w:rPr>
        <w:t>（炼钢重要原料）</w:t>
      </w:r>
    </w:p>
    <w:p w14:paraId="3E78A660" w14:textId="06F13C4A" w:rsidR="00E30BA8" w:rsidRDefault="006529C0" w:rsidP="00E30BA8">
      <w:pPr>
        <w:pStyle w:val="a3"/>
        <w:ind w:left="429" w:firstLineChars="0" w:firstLine="0"/>
        <w:rPr>
          <w:rFonts w:hint="eastAsia"/>
        </w:rPr>
      </w:pPr>
      <w:r>
        <w:rPr>
          <w:rFonts w:hint="eastAsia"/>
        </w:rPr>
        <w:t>2</w:t>
      </w:r>
      <w:r>
        <w:t>.</w:t>
      </w:r>
      <w:r w:rsidR="00971DA8">
        <w:t xml:space="preserve"> </w:t>
      </w:r>
      <w:r>
        <w:rPr>
          <w:rFonts w:hint="eastAsia"/>
        </w:rPr>
        <w:t>能</w:t>
      </w:r>
      <w:proofErr w:type="gramStart"/>
      <w:r>
        <w:rPr>
          <w:rFonts w:hint="eastAsia"/>
        </w:rPr>
        <w:t>化板块</w:t>
      </w:r>
      <w:proofErr w:type="gramEnd"/>
      <w:r>
        <w:rPr>
          <w:rFonts w:hint="eastAsia"/>
        </w:rPr>
        <w:t>品种：动力煤</w:t>
      </w:r>
      <w:r w:rsidR="00D760FE">
        <w:rPr>
          <w:rFonts w:hint="eastAsia"/>
        </w:rPr>
        <w:t>（电、热能源；煤化</w:t>
      </w:r>
      <w:proofErr w:type="gramStart"/>
      <w:r w:rsidR="00D760FE">
        <w:rPr>
          <w:rFonts w:hint="eastAsia"/>
        </w:rPr>
        <w:t>工重要</w:t>
      </w:r>
      <w:proofErr w:type="gramEnd"/>
      <w:r w:rsidR="00D760FE">
        <w:rPr>
          <w:rFonts w:hint="eastAsia"/>
        </w:rPr>
        <w:t>原料）</w:t>
      </w:r>
      <w:r>
        <w:rPr>
          <w:rFonts w:hint="eastAsia"/>
        </w:rPr>
        <w:t>、原油</w:t>
      </w:r>
      <w:r w:rsidR="00D760FE">
        <w:rPr>
          <w:rFonts w:hint="eastAsia"/>
        </w:rPr>
        <w:t>（</w:t>
      </w:r>
      <w:r w:rsidR="001B0F70">
        <w:rPr>
          <w:rFonts w:hint="eastAsia"/>
        </w:rPr>
        <w:t>提炼汽油柴油</w:t>
      </w:r>
      <w:r w:rsidR="00D760FE">
        <w:rPr>
          <w:rFonts w:hint="eastAsia"/>
        </w:rPr>
        <w:t>等、</w:t>
      </w:r>
      <w:r w:rsidR="00D760FE">
        <w:rPr>
          <w:rFonts w:hint="eastAsia"/>
        </w:rPr>
        <w:lastRenderedPageBreak/>
        <w:t>化工</w:t>
      </w:r>
      <w:proofErr w:type="gramStart"/>
      <w:r w:rsidR="00C211A4">
        <w:rPr>
          <w:rFonts w:hint="eastAsia"/>
        </w:rPr>
        <w:t>最</w:t>
      </w:r>
      <w:proofErr w:type="gramEnd"/>
      <w:r w:rsidR="00C211A4">
        <w:rPr>
          <w:rFonts w:hint="eastAsia"/>
        </w:rPr>
        <w:t>基础原料</w:t>
      </w:r>
      <w:r w:rsidR="00D760FE">
        <w:rPr>
          <w:rFonts w:hint="eastAsia"/>
        </w:rPr>
        <w:t>）</w:t>
      </w:r>
      <w:r>
        <w:rPr>
          <w:rFonts w:hint="eastAsia"/>
        </w:rPr>
        <w:t>、甲醇</w:t>
      </w:r>
      <w:r w:rsidR="00FF6C42">
        <w:rPr>
          <w:rFonts w:hint="eastAsia"/>
        </w:rPr>
        <w:t>（重要化工原料）</w:t>
      </w:r>
      <w:r>
        <w:rPr>
          <w:rFonts w:hint="eastAsia"/>
        </w:rPr>
        <w:t>、</w:t>
      </w:r>
      <w:r>
        <w:t>PTA</w:t>
      </w:r>
      <w:r w:rsidR="00FF6C42">
        <w:rPr>
          <w:rFonts w:hint="eastAsia"/>
        </w:rPr>
        <w:t>（涤纶长丝原料）</w:t>
      </w:r>
      <w:r w:rsidR="00971DA8">
        <w:rPr>
          <w:rFonts w:hint="eastAsia"/>
        </w:rPr>
        <w:t>、P</w:t>
      </w:r>
      <w:r w:rsidR="00971DA8">
        <w:t>VC</w:t>
      </w:r>
      <w:r w:rsidR="00971DA8">
        <w:rPr>
          <w:rFonts w:hint="eastAsia"/>
        </w:rPr>
        <w:t>（重要建材</w:t>
      </w:r>
      <w:r w:rsidR="009377C7">
        <w:rPr>
          <w:rFonts w:hint="eastAsia"/>
        </w:rPr>
        <w:t>）、玻璃（重要建材）</w:t>
      </w:r>
    </w:p>
    <w:p w14:paraId="5EB3BF19" w14:textId="0A722207" w:rsidR="006529C0" w:rsidRDefault="006529C0" w:rsidP="00E30BA8">
      <w:pPr>
        <w:pStyle w:val="a3"/>
        <w:ind w:left="429" w:firstLineChars="0" w:firstLine="0"/>
      </w:pPr>
      <w:r>
        <w:rPr>
          <w:rFonts w:hint="eastAsia"/>
        </w:rPr>
        <w:t>3</w:t>
      </w:r>
      <w:r>
        <w:t>.</w:t>
      </w:r>
      <w:r w:rsidR="00971DA8">
        <w:t xml:space="preserve"> </w:t>
      </w:r>
      <w:r>
        <w:rPr>
          <w:rFonts w:hint="eastAsia"/>
        </w:rPr>
        <w:t>有色贵金属：沪铜、沪铝、</w:t>
      </w:r>
      <w:r w:rsidR="00FF6C42">
        <w:rPr>
          <w:rFonts w:hint="eastAsia"/>
        </w:rPr>
        <w:t>沪金、沪银</w:t>
      </w:r>
    </w:p>
    <w:p w14:paraId="248CF398" w14:textId="5790282E" w:rsidR="00FF6C42" w:rsidRDefault="00FF6C42" w:rsidP="00E30BA8">
      <w:pPr>
        <w:pStyle w:val="a3"/>
        <w:ind w:left="429" w:firstLineChars="0" w:firstLine="0"/>
        <w:rPr>
          <w:rFonts w:hint="eastAsia"/>
        </w:rPr>
      </w:pPr>
      <w:r>
        <w:rPr>
          <w:rFonts w:hint="eastAsia"/>
        </w:rPr>
        <w:t>4</w:t>
      </w:r>
      <w:r>
        <w:t>.</w:t>
      </w:r>
      <w:r w:rsidR="00971DA8">
        <w:t xml:space="preserve"> </w:t>
      </w:r>
      <w:r>
        <w:rPr>
          <w:rFonts w:hint="eastAsia"/>
        </w:rPr>
        <w:t>农产品：生猪、豆</w:t>
      </w:r>
      <w:proofErr w:type="gramStart"/>
      <w:r>
        <w:rPr>
          <w:rFonts w:hint="eastAsia"/>
        </w:rPr>
        <w:t>粕</w:t>
      </w:r>
      <w:proofErr w:type="gramEnd"/>
      <w:r>
        <w:rPr>
          <w:rFonts w:hint="eastAsia"/>
        </w:rPr>
        <w:t>、豆油、玉米</w:t>
      </w:r>
    </w:p>
    <w:p w14:paraId="6ABDDC42" w14:textId="77777777" w:rsidR="00E30BA8" w:rsidRDefault="00E30BA8" w:rsidP="00D97C3E">
      <w:pPr>
        <w:pStyle w:val="a3"/>
        <w:ind w:left="429" w:firstLineChars="0" w:firstLine="0"/>
        <w:rPr>
          <w:rFonts w:hint="eastAsia"/>
        </w:rPr>
      </w:pPr>
    </w:p>
    <w:p w14:paraId="4A94A042" w14:textId="7C6104E7" w:rsidR="00D97C3E" w:rsidRDefault="00D97C3E" w:rsidP="00D97C3E">
      <w:pPr>
        <w:pStyle w:val="a3"/>
        <w:numPr>
          <w:ilvl w:val="0"/>
          <w:numId w:val="1"/>
        </w:numPr>
        <w:ind w:firstLineChars="0"/>
      </w:pPr>
      <w:r>
        <w:rPr>
          <w:rFonts w:hint="eastAsia"/>
        </w:rPr>
        <w:t>运用投资策略</w:t>
      </w:r>
    </w:p>
    <w:p w14:paraId="310612F2" w14:textId="43EB5D40" w:rsidR="00FF6C42" w:rsidRDefault="00FF6C42" w:rsidP="00FF6C42">
      <w:pPr>
        <w:pStyle w:val="a3"/>
        <w:ind w:left="429" w:firstLineChars="0" w:firstLine="0"/>
      </w:pPr>
    </w:p>
    <w:p w14:paraId="376533DF" w14:textId="35847CE9" w:rsidR="00971DA8" w:rsidRDefault="00971DA8" w:rsidP="00FF6C42">
      <w:pPr>
        <w:pStyle w:val="a3"/>
        <w:ind w:left="429" w:firstLineChars="0" w:firstLine="0"/>
      </w:pPr>
      <w:r>
        <w:rPr>
          <w:rFonts w:hint="eastAsia"/>
        </w:rPr>
        <w:t>商品期货投资中主要的交易模式分为：套保交易、套利交易、投机交易、和量化交易，其中我们能采用的交易模式主要为套利交易和投机交易。</w:t>
      </w:r>
    </w:p>
    <w:p w14:paraId="1986CF03" w14:textId="77777777" w:rsidR="00971DA8" w:rsidRDefault="00971DA8" w:rsidP="00FF6C42">
      <w:pPr>
        <w:pStyle w:val="a3"/>
        <w:ind w:left="429" w:firstLineChars="0" w:firstLine="0"/>
        <w:rPr>
          <w:rFonts w:hint="eastAsia"/>
        </w:rPr>
      </w:pPr>
    </w:p>
    <w:p w14:paraId="1C95BE34" w14:textId="51119FA9" w:rsidR="00417BE1" w:rsidRDefault="00417BE1" w:rsidP="00417BE1">
      <w:pPr>
        <w:pStyle w:val="a3"/>
        <w:numPr>
          <w:ilvl w:val="0"/>
          <w:numId w:val="2"/>
        </w:numPr>
        <w:ind w:firstLineChars="0"/>
      </w:pPr>
      <w:r>
        <w:rPr>
          <w:rFonts w:hint="eastAsia"/>
        </w:rPr>
        <w:t>套利策略</w:t>
      </w:r>
    </w:p>
    <w:p w14:paraId="2C26F6C1" w14:textId="6DD51437" w:rsidR="00FF6C42" w:rsidRDefault="00FF6C42" w:rsidP="00FF6C42">
      <w:pPr>
        <w:pStyle w:val="a3"/>
        <w:ind w:left="789" w:firstLineChars="0" w:firstLine="0"/>
      </w:pPr>
    </w:p>
    <w:p w14:paraId="22757479" w14:textId="2B34C38A" w:rsidR="00FF6C42" w:rsidRDefault="00971DA8" w:rsidP="00FF6C42">
      <w:pPr>
        <w:pStyle w:val="a3"/>
        <w:ind w:left="789" w:firstLineChars="0" w:firstLine="0"/>
      </w:pPr>
      <w:r>
        <w:rPr>
          <w:rFonts w:hint="eastAsia"/>
        </w:rPr>
        <w:t>套利策略主要分为跨期套利和</w:t>
      </w:r>
      <w:proofErr w:type="gramStart"/>
      <w:r>
        <w:rPr>
          <w:rFonts w:hint="eastAsia"/>
        </w:rPr>
        <w:t>跨品种</w:t>
      </w:r>
      <w:proofErr w:type="gramEnd"/>
      <w:r>
        <w:rPr>
          <w:rFonts w:hint="eastAsia"/>
        </w:rPr>
        <w:t>套利</w:t>
      </w:r>
      <w:r w:rsidR="00195EDA">
        <w:rPr>
          <w:rFonts w:hint="eastAsia"/>
        </w:rPr>
        <w:t>。</w:t>
      </w:r>
    </w:p>
    <w:p w14:paraId="223E5DDA" w14:textId="4DA32A11" w:rsidR="00195EDA" w:rsidRDefault="00195EDA" w:rsidP="00FF6C42">
      <w:pPr>
        <w:pStyle w:val="a3"/>
        <w:ind w:left="789" w:firstLineChars="0" w:firstLine="0"/>
      </w:pPr>
    </w:p>
    <w:p w14:paraId="0791BF06" w14:textId="21C802E6" w:rsidR="00195EDA" w:rsidRDefault="00195EDA" w:rsidP="00FC104F">
      <w:pPr>
        <w:pStyle w:val="a3"/>
        <w:numPr>
          <w:ilvl w:val="0"/>
          <w:numId w:val="3"/>
        </w:numPr>
        <w:ind w:firstLineChars="0"/>
      </w:pPr>
      <w:r>
        <w:rPr>
          <w:rFonts w:hint="eastAsia"/>
        </w:rPr>
        <w:t>跨期套利主要用于当期货市场期限价</w:t>
      </w:r>
      <w:proofErr w:type="gramStart"/>
      <w:r>
        <w:rPr>
          <w:rFonts w:hint="eastAsia"/>
        </w:rPr>
        <w:t>差水平</w:t>
      </w:r>
      <w:proofErr w:type="gramEnd"/>
      <w:r>
        <w:rPr>
          <w:rFonts w:hint="eastAsia"/>
        </w:rPr>
        <w:t>过高或过低时进行的均值回复操作。例如，2</w:t>
      </w:r>
      <w:r>
        <w:t>021</w:t>
      </w:r>
      <w:r>
        <w:rPr>
          <w:rFonts w:hint="eastAsia"/>
        </w:rPr>
        <w:t>年</w:t>
      </w:r>
      <w:r w:rsidR="007E2036">
        <w:rPr>
          <w:rFonts w:hint="eastAsia"/>
        </w:rPr>
        <w:t>年</w:t>
      </w:r>
      <w:proofErr w:type="gramStart"/>
      <w:r w:rsidR="007E2036">
        <w:rPr>
          <w:rFonts w:hint="eastAsia"/>
        </w:rPr>
        <w:t>初</w:t>
      </w:r>
      <w:r>
        <w:rPr>
          <w:rFonts w:hint="eastAsia"/>
        </w:rPr>
        <w:t>市场</w:t>
      </w:r>
      <w:proofErr w:type="gramEnd"/>
      <w:r>
        <w:rPr>
          <w:rFonts w:hint="eastAsia"/>
        </w:rPr>
        <w:t>交易钢厂后期会面临严重限产的预期时，远期螺纹钢大幅度升水，而此时我们如果希望在投资组合中交易后续限产政策会放松的可能性，就可以建立做多当季活跃合约</w:t>
      </w:r>
      <w:r w:rsidR="007E2036">
        <w:rPr>
          <w:rFonts w:hint="eastAsia"/>
        </w:rPr>
        <w:t>R</w:t>
      </w:r>
      <w:r w:rsidR="007E2036">
        <w:t>B2105</w:t>
      </w:r>
      <w:r w:rsidR="007E2036">
        <w:rPr>
          <w:rFonts w:hint="eastAsia"/>
        </w:rPr>
        <w:t>而做空远期合约RB</w:t>
      </w:r>
      <w:r w:rsidR="007E2036">
        <w:t>2110</w:t>
      </w:r>
      <w:r w:rsidR="007E2036">
        <w:rPr>
          <w:rFonts w:hint="eastAsia"/>
        </w:rPr>
        <w:t>的方式进行跨期套利交易。</w:t>
      </w:r>
    </w:p>
    <w:p w14:paraId="07AA5F8B" w14:textId="2E200C79" w:rsidR="007E2036" w:rsidRDefault="007E2036" w:rsidP="00FF6C42">
      <w:pPr>
        <w:pStyle w:val="a3"/>
        <w:ind w:left="789" w:firstLineChars="0" w:firstLine="0"/>
      </w:pPr>
    </w:p>
    <w:p w14:paraId="1E8B418B" w14:textId="04A38091" w:rsidR="007E2036" w:rsidRDefault="007E2036" w:rsidP="00FC104F">
      <w:pPr>
        <w:pStyle w:val="a3"/>
        <w:numPr>
          <w:ilvl w:val="0"/>
          <w:numId w:val="3"/>
        </w:numPr>
        <w:ind w:firstLineChars="0"/>
        <w:rPr>
          <w:rFonts w:hint="eastAsia"/>
        </w:rPr>
      </w:pPr>
      <w:proofErr w:type="gramStart"/>
      <w:r>
        <w:rPr>
          <w:rFonts w:hint="eastAsia"/>
        </w:rPr>
        <w:t>跨品种</w:t>
      </w:r>
      <w:proofErr w:type="gramEnd"/>
      <w:r>
        <w:rPr>
          <w:rFonts w:hint="eastAsia"/>
        </w:rPr>
        <w:t>套利，主要是相关品种间的套利交易、以及原料与成本间的套利交易。例如，</w:t>
      </w:r>
      <w:proofErr w:type="gramStart"/>
      <w:r>
        <w:rPr>
          <w:rFonts w:hint="eastAsia"/>
        </w:rPr>
        <w:t>铜金比和油金比</w:t>
      </w:r>
      <w:proofErr w:type="gramEnd"/>
      <w:r>
        <w:rPr>
          <w:rFonts w:hint="eastAsia"/>
        </w:rPr>
        <w:t>，是衡量基础工业</w:t>
      </w:r>
      <w:r w:rsidR="00FC104F">
        <w:rPr>
          <w:rFonts w:hint="eastAsia"/>
        </w:rPr>
        <w:t>和能源原料相对货币价值的优秀指标，当比价过高或过低时，可以进行反转操作。另一个常见交易例子是，当我们</w:t>
      </w:r>
      <w:proofErr w:type="gramStart"/>
      <w:r w:rsidR="00FC104F">
        <w:rPr>
          <w:rFonts w:hint="eastAsia"/>
        </w:rPr>
        <w:t>看到盘</w:t>
      </w:r>
      <w:proofErr w:type="gramEnd"/>
      <w:r w:rsidR="00FC104F">
        <w:rPr>
          <w:rFonts w:hint="eastAsia"/>
        </w:rPr>
        <w:t>面价格隐含的钢厂利润过高或过低时，可能会有隐藏产能或进口的介入导致盘</w:t>
      </w:r>
      <w:proofErr w:type="gramStart"/>
      <w:r w:rsidR="00FC104F">
        <w:rPr>
          <w:rFonts w:hint="eastAsia"/>
        </w:rPr>
        <w:t>面利润</w:t>
      </w:r>
      <w:proofErr w:type="gramEnd"/>
      <w:r w:rsidR="00FC104F">
        <w:rPr>
          <w:rFonts w:hint="eastAsia"/>
        </w:rPr>
        <w:t>均值回复，此时可以进行螺纹钢（热轧卷板）与铁矿石、焦煤焦炭间的钢厂利润套利交易。</w:t>
      </w:r>
    </w:p>
    <w:p w14:paraId="5CEFC4C9" w14:textId="77777777" w:rsidR="00FF6C42" w:rsidRDefault="00FF6C42" w:rsidP="00FF6C42">
      <w:pPr>
        <w:pStyle w:val="a3"/>
        <w:ind w:left="789" w:firstLineChars="0" w:firstLine="0"/>
        <w:rPr>
          <w:rFonts w:hint="eastAsia"/>
        </w:rPr>
      </w:pPr>
    </w:p>
    <w:p w14:paraId="1023800F" w14:textId="35C78D77" w:rsidR="00417BE1" w:rsidRDefault="00417BE1" w:rsidP="00417BE1">
      <w:pPr>
        <w:pStyle w:val="a3"/>
        <w:numPr>
          <w:ilvl w:val="0"/>
          <w:numId w:val="2"/>
        </w:numPr>
        <w:ind w:firstLineChars="0"/>
      </w:pPr>
      <w:r>
        <w:rPr>
          <w:rFonts w:hint="eastAsia"/>
        </w:rPr>
        <w:t>投机策略</w:t>
      </w:r>
    </w:p>
    <w:p w14:paraId="19DBD3B3" w14:textId="670BBF55" w:rsidR="00D97C3E" w:rsidRDefault="00D97C3E" w:rsidP="00971DA8">
      <w:pPr>
        <w:ind w:left="789"/>
        <w:rPr>
          <w:rFonts w:hint="eastAsia"/>
        </w:rPr>
      </w:pPr>
    </w:p>
    <w:p w14:paraId="48B806FB" w14:textId="2024043D" w:rsidR="00971DA8" w:rsidRDefault="00FC104F" w:rsidP="00971DA8">
      <w:pPr>
        <w:pStyle w:val="a3"/>
        <w:ind w:left="789" w:firstLineChars="0" w:firstLine="0"/>
        <w:rPr>
          <w:rFonts w:hint="eastAsia"/>
        </w:rPr>
      </w:pPr>
      <w:r>
        <w:rPr>
          <w:rFonts w:hint="eastAsia"/>
        </w:rPr>
        <w:t>商品期货的投机策略时最为常见的交易方式。我们可以根据宏观判断选择相应的品种进行做多（空）交易用于平衡组合的风险敞口，例如当我们担心C</w:t>
      </w:r>
      <w:r>
        <w:t>PI</w:t>
      </w:r>
      <w:r>
        <w:rPr>
          <w:rFonts w:hint="eastAsia"/>
        </w:rPr>
        <w:t>水平提高会导致货币政策收紧从而伤害组合持有</w:t>
      </w:r>
      <w:proofErr w:type="gramStart"/>
      <w:r>
        <w:rPr>
          <w:rFonts w:hint="eastAsia"/>
        </w:rPr>
        <w:t>的久期资产</w:t>
      </w:r>
      <w:proofErr w:type="gramEnd"/>
      <w:r>
        <w:rPr>
          <w:rFonts w:hint="eastAsia"/>
        </w:rPr>
        <w:t>（股票债券）时，可以选择做</w:t>
      </w:r>
      <w:proofErr w:type="gramStart"/>
      <w:r>
        <w:rPr>
          <w:rFonts w:hint="eastAsia"/>
        </w:rPr>
        <w:t>多相应</w:t>
      </w:r>
      <w:proofErr w:type="gramEnd"/>
      <w:r>
        <w:rPr>
          <w:rFonts w:hint="eastAsia"/>
        </w:rPr>
        <w:t>品种的大宗商品期货，此时油、铜、金、和农产品是最常见选择，根据市场状况和定价水平的不同可以选择其他品种进行交易。另外，我们也可能通过调研了解产业供给和需求状况，进行一定程度的</w:t>
      </w:r>
      <w:r w:rsidR="00624EF6">
        <w:rPr>
          <w:rFonts w:hint="eastAsia"/>
        </w:rPr>
        <w:t>基本面主观交易。</w:t>
      </w:r>
    </w:p>
    <w:p w14:paraId="689BACFD" w14:textId="77777777" w:rsidR="00971DA8" w:rsidRDefault="00971DA8" w:rsidP="00971DA8">
      <w:pPr>
        <w:pStyle w:val="a3"/>
        <w:ind w:left="789" w:firstLineChars="0" w:firstLine="0"/>
        <w:rPr>
          <w:rFonts w:hint="eastAsia"/>
        </w:rPr>
      </w:pPr>
    </w:p>
    <w:p w14:paraId="288C732F" w14:textId="2155446F" w:rsidR="00D97C3E" w:rsidRDefault="00D97C3E" w:rsidP="00D97C3E">
      <w:pPr>
        <w:pStyle w:val="a3"/>
        <w:numPr>
          <w:ilvl w:val="0"/>
          <w:numId w:val="1"/>
        </w:numPr>
        <w:ind w:firstLineChars="0"/>
      </w:pPr>
      <w:r>
        <w:rPr>
          <w:rFonts w:hint="eastAsia"/>
        </w:rPr>
        <w:t>交易风险和风险控制</w:t>
      </w:r>
    </w:p>
    <w:p w14:paraId="5F2F17F6" w14:textId="2CB716B4" w:rsidR="00D97C3E" w:rsidRDefault="00D97C3E" w:rsidP="00D97C3E">
      <w:pPr>
        <w:pStyle w:val="a3"/>
        <w:ind w:left="429" w:firstLineChars="0" w:firstLine="0"/>
      </w:pPr>
    </w:p>
    <w:p w14:paraId="06EEC52C" w14:textId="29A2B265" w:rsidR="00D97C3E" w:rsidRDefault="00624EF6" w:rsidP="00D97C3E">
      <w:pPr>
        <w:pStyle w:val="a3"/>
        <w:ind w:left="429" w:firstLineChars="0" w:firstLine="0"/>
      </w:pPr>
      <w:r>
        <w:rPr>
          <w:rFonts w:hint="eastAsia"/>
        </w:rPr>
        <w:t>在商品投资中，控制交易风险，和</w:t>
      </w:r>
      <w:proofErr w:type="gramStart"/>
      <w:r>
        <w:rPr>
          <w:rFonts w:hint="eastAsia"/>
        </w:rPr>
        <w:t>明确止</w:t>
      </w:r>
      <w:proofErr w:type="gramEnd"/>
      <w:r>
        <w:rPr>
          <w:rFonts w:hint="eastAsia"/>
        </w:rPr>
        <w:t>盈止损纪律是非常重要的。</w:t>
      </w:r>
      <w:r w:rsidR="00C211A4">
        <w:rPr>
          <w:rFonts w:hint="eastAsia"/>
        </w:rPr>
        <w:t>本次申请的投资策略计划主要利用控制敞口的方式来进行风险控制。另外，由于理财产品无法进行现货交割，还需要</w:t>
      </w:r>
      <w:proofErr w:type="gramStart"/>
      <w:r w:rsidR="00C211A4">
        <w:rPr>
          <w:rFonts w:hint="eastAsia"/>
        </w:rPr>
        <w:t>明确移</w:t>
      </w:r>
      <w:proofErr w:type="gramEnd"/>
      <w:r w:rsidR="00C211A4">
        <w:rPr>
          <w:rFonts w:hint="eastAsia"/>
        </w:rPr>
        <w:t>仓时间。</w:t>
      </w:r>
      <w:proofErr w:type="gramStart"/>
      <w:r w:rsidR="00C211A4">
        <w:rPr>
          <w:rFonts w:hint="eastAsia"/>
        </w:rPr>
        <w:t>在止损标准</w:t>
      </w:r>
      <w:proofErr w:type="gramEnd"/>
      <w:r w:rsidR="00C211A4">
        <w:rPr>
          <w:rFonts w:hint="eastAsia"/>
        </w:rPr>
        <w:t>上</w:t>
      </w:r>
      <w:r w:rsidR="001B0F70">
        <w:rPr>
          <w:rFonts w:hint="eastAsia"/>
        </w:rPr>
        <w:t>，以单策略绝对亏损</w:t>
      </w:r>
      <w:r w:rsidR="00A85391">
        <w:rPr>
          <w:rFonts w:hint="eastAsia"/>
        </w:rPr>
        <w:t>占净资产比例为限。</w:t>
      </w:r>
    </w:p>
    <w:p w14:paraId="61A29F7C" w14:textId="36CD4D3C" w:rsidR="00A85391" w:rsidRDefault="00A85391" w:rsidP="00D97C3E">
      <w:pPr>
        <w:pStyle w:val="a3"/>
        <w:ind w:left="429" w:firstLineChars="0" w:firstLine="0"/>
      </w:pPr>
    </w:p>
    <w:p w14:paraId="7D18D3EE" w14:textId="65A6613C" w:rsidR="00A85391" w:rsidRDefault="00A85391" w:rsidP="00D97C3E">
      <w:pPr>
        <w:pStyle w:val="a3"/>
        <w:ind w:left="429" w:firstLineChars="0" w:firstLine="0"/>
      </w:pPr>
      <w:proofErr w:type="gramStart"/>
      <w:r>
        <w:rPr>
          <w:rFonts w:hint="eastAsia"/>
        </w:rPr>
        <w:t>建议风控标准</w:t>
      </w:r>
      <w:proofErr w:type="gramEnd"/>
      <w:r>
        <w:rPr>
          <w:rFonts w:hint="eastAsia"/>
        </w:rPr>
        <w:t>：</w:t>
      </w:r>
    </w:p>
    <w:p w14:paraId="3AED23B2" w14:textId="4B039841" w:rsidR="00A85391" w:rsidRDefault="00A85391" w:rsidP="00A85391">
      <w:pPr>
        <w:pStyle w:val="a3"/>
        <w:numPr>
          <w:ilvl w:val="0"/>
          <w:numId w:val="4"/>
        </w:numPr>
        <w:ind w:firstLineChars="0"/>
      </w:pPr>
      <w:r>
        <w:rPr>
          <w:rFonts w:hint="eastAsia"/>
        </w:rPr>
        <w:t>产品</w:t>
      </w:r>
      <w:proofErr w:type="gramStart"/>
      <w:r>
        <w:rPr>
          <w:rFonts w:hint="eastAsia"/>
        </w:rPr>
        <w:t>总商品</w:t>
      </w:r>
      <w:proofErr w:type="gramEnd"/>
      <w:r>
        <w:rPr>
          <w:rFonts w:hint="eastAsia"/>
        </w:rPr>
        <w:t>持仓的名义本金之和不超</w:t>
      </w:r>
      <w:r w:rsidR="007D5F40">
        <w:rPr>
          <w:rFonts w:hint="eastAsia"/>
        </w:rPr>
        <w:t>净资产的1</w:t>
      </w:r>
      <w:r w:rsidR="007D5F40">
        <w:t>0%</w:t>
      </w:r>
      <w:r w:rsidR="007D5F40">
        <w:rPr>
          <w:rFonts w:hint="eastAsia"/>
        </w:rPr>
        <w:t>（多头、空头名义本金相加）</w:t>
      </w:r>
    </w:p>
    <w:p w14:paraId="63F4C08A" w14:textId="352608C0" w:rsidR="007D5F40" w:rsidRDefault="007D5F40" w:rsidP="00A85391">
      <w:pPr>
        <w:pStyle w:val="a3"/>
        <w:numPr>
          <w:ilvl w:val="0"/>
          <w:numId w:val="4"/>
        </w:numPr>
        <w:ind w:firstLineChars="0"/>
      </w:pPr>
      <w:r>
        <w:rPr>
          <w:rFonts w:hint="eastAsia"/>
        </w:rPr>
        <w:lastRenderedPageBreak/>
        <w:t>保持期货账户可用保证金在保证金占用的</w:t>
      </w:r>
      <w:r>
        <w:t>3</w:t>
      </w:r>
      <w:r>
        <w:rPr>
          <w:rFonts w:hint="eastAsia"/>
        </w:rPr>
        <w:t>倍以上（此处包含国债保证金冲抵）</w:t>
      </w:r>
    </w:p>
    <w:p w14:paraId="70D79D44" w14:textId="7D0651E1" w:rsidR="007D5F40" w:rsidRDefault="00756038" w:rsidP="00A85391">
      <w:pPr>
        <w:pStyle w:val="a3"/>
        <w:numPr>
          <w:ilvl w:val="0"/>
          <w:numId w:val="4"/>
        </w:numPr>
        <w:ind w:firstLineChars="0"/>
        <w:rPr>
          <w:rFonts w:hint="eastAsia"/>
        </w:rPr>
      </w:pPr>
      <w:r>
        <w:rPr>
          <w:rFonts w:hint="eastAsia"/>
        </w:rPr>
        <w:t>单</w:t>
      </w:r>
      <w:r w:rsidR="007D5F40">
        <w:rPr>
          <w:rFonts w:hint="eastAsia"/>
        </w:rPr>
        <w:t>策略亏损超过净资产的5</w:t>
      </w:r>
      <w:r w:rsidR="007D5F40">
        <w:t>0bps</w:t>
      </w:r>
      <w:r w:rsidR="007D5F40">
        <w:rPr>
          <w:rFonts w:hint="eastAsia"/>
        </w:rPr>
        <w:t>严格将该策略止损</w:t>
      </w:r>
    </w:p>
    <w:p w14:paraId="7F8BCACC" w14:textId="77777777" w:rsidR="00D97C3E" w:rsidRPr="00756038" w:rsidRDefault="00D97C3E" w:rsidP="00D97C3E">
      <w:pPr>
        <w:pStyle w:val="a3"/>
        <w:ind w:left="429" w:firstLineChars="0" w:firstLine="0"/>
        <w:rPr>
          <w:rFonts w:hint="eastAsia"/>
        </w:rPr>
      </w:pPr>
    </w:p>
    <w:sectPr w:rsidR="00D97C3E" w:rsidRPr="007560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BF990" w14:textId="77777777" w:rsidR="00943AFF" w:rsidRDefault="00943AFF" w:rsidP="00756038">
      <w:r>
        <w:separator/>
      </w:r>
    </w:p>
  </w:endnote>
  <w:endnote w:type="continuationSeparator" w:id="0">
    <w:p w14:paraId="491FB707" w14:textId="77777777" w:rsidR="00943AFF" w:rsidRDefault="00943AFF" w:rsidP="00756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81D32" w14:textId="77777777" w:rsidR="00943AFF" w:rsidRDefault="00943AFF" w:rsidP="00756038">
      <w:r>
        <w:separator/>
      </w:r>
    </w:p>
  </w:footnote>
  <w:footnote w:type="continuationSeparator" w:id="0">
    <w:p w14:paraId="344ABD42" w14:textId="77777777" w:rsidR="00943AFF" w:rsidRDefault="00943AFF" w:rsidP="00756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7379"/>
    <w:multiLevelType w:val="hybridMultilevel"/>
    <w:tmpl w:val="5C8E187A"/>
    <w:lvl w:ilvl="0" w:tplc="0150B048">
      <w:start w:val="1"/>
      <w:numFmt w:val="japaneseCounting"/>
      <w:lvlText w:val="%1、"/>
      <w:lvlJc w:val="left"/>
      <w:pPr>
        <w:ind w:left="429" w:hanging="42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114D8C"/>
    <w:multiLevelType w:val="hybridMultilevel"/>
    <w:tmpl w:val="0A42CEB0"/>
    <w:lvl w:ilvl="0" w:tplc="13087286">
      <w:start w:val="1"/>
      <w:numFmt w:val="decimal"/>
      <w:lvlText w:val="%1."/>
      <w:lvlJc w:val="left"/>
      <w:pPr>
        <w:ind w:left="789" w:hanging="360"/>
      </w:pPr>
      <w:rPr>
        <w:rFonts w:hint="default"/>
      </w:rPr>
    </w:lvl>
    <w:lvl w:ilvl="1" w:tplc="04090019" w:tentative="1">
      <w:start w:val="1"/>
      <w:numFmt w:val="lowerLetter"/>
      <w:lvlText w:val="%2)"/>
      <w:lvlJc w:val="left"/>
      <w:pPr>
        <w:ind w:left="1269" w:hanging="420"/>
      </w:pPr>
    </w:lvl>
    <w:lvl w:ilvl="2" w:tplc="0409001B" w:tentative="1">
      <w:start w:val="1"/>
      <w:numFmt w:val="lowerRoman"/>
      <w:lvlText w:val="%3."/>
      <w:lvlJc w:val="right"/>
      <w:pPr>
        <w:ind w:left="1689" w:hanging="420"/>
      </w:pPr>
    </w:lvl>
    <w:lvl w:ilvl="3" w:tplc="0409000F" w:tentative="1">
      <w:start w:val="1"/>
      <w:numFmt w:val="decimal"/>
      <w:lvlText w:val="%4."/>
      <w:lvlJc w:val="left"/>
      <w:pPr>
        <w:ind w:left="2109" w:hanging="420"/>
      </w:pPr>
    </w:lvl>
    <w:lvl w:ilvl="4" w:tplc="04090019" w:tentative="1">
      <w:start w:val="1"/>
      <w:numFmt w:val="lowerLetter"/>
      <w:lvlText w:val="%5)"/>
      <w:lvlJc w:val="left"/>
      <w:pPr>
        <w:ind w:left="2529" w:hanging="420"/>
      </w:pPr>
    </w:lvl>
    <w:lvl w:ilvl="5" w:tplc="0409001B" w:tentative="1">
      <w:start w:val="1"/>
      <w:numFmt w:val="lowerRoman"/>
      <w:lvlText w:val="%6."/>
      <w:lvlJc w:val="right"/>
      <w:pPr>
        <w:ind w:left="2949" w:hanging="420"/>
      </w:pPr>
    </w:lvl>
    <w:lvl w:ilvl="6" w:tplc="0409000F" w:tentative="1">
      <w:start w:val="1"/>
      <w:numFmt w:val="decimal"/>
      <w:lvlText w:val="%7."/>
      <w:lvlJc w:val="left"/>
      <w:pPr>
        <w:ind w:left="3369" w:hanging="420"/>
      </w:pPr>
    </w:lvl>
    <w:lvl w:ilvl="7" w:tplc="04090019" w:tentative="1">
      <w:start w:val="1"/>
      <w:numFmt w:val="lowerLetter"/>
      <w:lvlText w:val="%8)"/>
      <w:lvlJc w:val="left"/>
      <w:pPr>
        <w:ind w:left="3789" w:hanging="420"/>
      </w:pPr>
    </w:lvl>
    <w:lvl w:ilvl="8" w:tplc="0409001B" w:tentative="1">
      <w:start w:val="1"/>
      <w:numFmt w:val="lowerRoman"/>
      <w:lvlText w:val="%9."/>
      <w:lvlJc w:val="right"/>
      <w:pPr>
        <w:ind w:left="4209" w:hanging="420"/>
      </w:pPr>
    </w:lvl>
  </w:abstractNum>
  <w:abstractNum w:abstractNumId="2" w15:restartNumberingAfterBreak="0">
    <w:nsid w:val="1123298B"/>
    <w:multiLevelType w:val="hybridMultilevel"/>
    <w:tmpl w:val="085854BC"/>
    <w:lvl w:ilvl="0" w:tplc="0914C736">
      <w:start w:val="2"/>
      <w:numFmt w:val="bullet"/>
      <w:lvlText w:val=""/>
      <w:lvlJc w:val="left"/>
      <w:pPr>
        <w:ind w:left="1149" w:hanging="360"/>
      </w:pPr>
      <w:rPr>
        <w:rFonts w:ascii="Wingdings" w:eastAsiaTheme="minorEastAsia" w:hAnsi="Wingdings" w:cstheme="minorBidi" w:hint="default"/>
      </w:rPr>
    </w:lvl>
    <w:lvl w:ilvl="1" w:tplc="04090003" w:tentative="1">
      <w:start w:val="1"/>
      <w:numFmt w:val="bullet"/>
      <w:lvlText w:val=""/>
      <w:lvlJc w:val="left"/>
      <w:pPr>
        <w:ind w:left="1629" w:hanging="420"/>
      </w:pPr>
      <w:rPr>
        <w:rFonts w:ascii="Wingdings" w:hAnsi="Wingdings" w:hint="default"/>
      </w:rPr>
    </w:lvl>
    <w:lvl w:ilvl="2" w:tplc="04090005" w:tentative="1">
      <w:start w:val="1"/>
      <w:numFmt w:val="bullet"/>
      <w:lvlText w:val=""/>
      <w:lvlJc w:val="left"/>
      <w:pPr>
        <w:ind w:left="2049" w:hanging="420"/>
      </w:pPr>
      <w:rPr>
        <w:rFonts w:ascii="Wingdings" w:hAnsi="Wingdings" w:hint="default"/>
      </w:rPr>
    </w:lvl>
    <w:lvl w:ilvl="3" w:tplc="04090001" w:tentative="1">
      <w:start w:val="1"/>
      <w:numFmt w:val="bullet"/>
      <w:lvlText w:val=""/>
      <w:lvlJc w:val="left"/>
      <w:pPr>
        <w:ind w:left="2469" w:hanging="420"/>
      </w:pPr>
      <w:rPr>
        <w:rFonts w:ascii="Wingdings" w:hAnsi="Wingdings" w:hint="default"/>
      </w:rPr>
    </w:lvl>
    <w:lvl w:ilvl="4" w:tplc="04090003" w:tentative="1">
      <w:start w:val="1"/>
      <w:numFmt w:val="bullet"/>
      <w:lvlText w:val=""/>
      <w:lvlJc w:val="left"/>
      <w:pPr>
        <w:ind w:left="2889" w:hanging="420"/>
      </w:pPr>
      <w:rPr>
        <w:rFonts w:ascii="Wingdings" w:hAnsi="Wingdings" w:hint="default"/>
      </w:rPr>
    </w:lvl>
    <w:lvl w:ilvl="5" w:tplc="04090005" w:tentative="1">
      <w:start w:val="1"/>
      <w:numFmt w:val="bullet"/>
      <w:lvlText w:val=""/>
      <w:lvlJc w:val="left"/>
      <w:pPr>
        <w:ind w:left="3309" w:hanging="420"/>
      </w:pPr>
      <w:rPr>
        <w:rFonts w:ascii="Wingdings" w:hAnsi="Wingdings" w:hint="default"/>
      </w:rPr>
    </w:lvl>
    <w:lvl w:ilvl="6" w:tplc="04090001" w:tentative="1">
      <w:start w:val="1"/>
      <w:numFmt w:val="bullet"/>
      <w:lvlText w:val=""/>
      <w:lvlJc w:val="left"/>
      <w:pPr>
        <w:ind w:left="3729" w:hanging="420"/>
      </w:pPr>
      <w:rPr>
        <w:rFonts w:ascii="Wingdings" w:hAnsi="Wingdings" w:hint="default"/>
      </w:rPr>
    </w:lvl>
    <w:lvl w:ilvl="7" w:tplc="04090003" w:tentative="1">
      <w:start w:val="1"/>
      <w:numFmt w:val="bullet"/>
      <w:lvlText w:val=""/>
      <w:lvlJc w:val="left"/>
      <w:pPr>
        <w:ind w:left="4149" w:hanging="420"/>
      </w:pPr>
      <w:rPr>
        <w:rFonts w:ascii="Wingdings" w:hAnsi="Wingdings" w:hint="default"/>
      </w:rPr>
    </w:lvl>
    <w:lvl w:ilvl="8" w:tplc="04090005" w:tentative="1">
      <w:start w:val="1"/>
      <w:numFmt w:val="bullet"/>
      <w:lvlText w:val=""/>
      <w:lvlJc w:val="left"/>
      <w:pPr>
        <w:ind w:left="4569" w:hanging="420"/>
      </w:pPr>
      <w:rPr>
        <w:rFonts w:ascii="Wingdings" w:hAnsi="Wingdings" w:hint="default"/>
      </w:rPr>
    </w:lvl>
  </w:abstractNum>
  <w:abstractNum w:abstractNumId="3" w15:restartNumberingAfterBreak="0">
    <w:nsid w:val="48134DB7"/>
    <w:multiLevelType w:val="hybridMultilevel"/>
    <w:tmpl w:val="ECD2DFEE"/>
    <w:lvl w:ilvl="0" w:tplc="E0163058">
      <w:start w:val="1"/>
      <w:numFmt w:val="decimal"/>
      <w:lvlText w:val="%1."/>
      <w:lvlJc w:val="left"/>
      <w:pPr>
        <w:ind w:left="789" w:hanging="360"/>
      </w:pPr>
      <w:rPr>
        <w:rFonts w:hint="default"/>
      </w:rPr>
    </w:lvl>
    <w:lvl w:ilvl="1" w:tplc="04090019" w:tentative="1">
      <w:start w:val="1"/>
      <w:numFmt w:val="lowerLetter"/>
      <w:lvlText w:val="%2)"/>
      <w:lvlJc w:val="left"/>
      <w:pPr>
        <w:ind w:left="1269" w:hanging="420"/>
      </w:pPr>
    </w:lvl>
    <w:lvl w:ilvl="2" w:tplc="0409001B" w:tentative="1">
      <w:start w:val="1"/>
      <w:numFmt w:val="lowerRoman"/>
      <w:lvlText w:val="%3."/>
      <w:lvlJc w:val="right"/>
      <w:pPr>
        <w:ind w:left="1689" w:hanging="420"/>
      </w:pPr>
    </w:lvl>
    <w:lvl w:ilvl="3" w:tplc="0409000F" w:tentative="1">
      <w:start w:val="1"/>
      <w:numFmt w:val="decimal"/>
      <w:lvlText w:val="%4."/>
      <w:lvlJc w:val="left"/>
      <w:pPr>
        <w:ind w:left="2109" w:hanging="420"/>
      </w:pPr>
    </w:lvl>
    <w:lvl w:ilvl="4" w:tplc="04090019" w:tentative="1">
      <w:start w:val="1"/>
      <w:numFmt w:val="lowerLetter"/>
      <w:lvlText w:val="%5)"/>
      <w:lvlJc w:val="left"/>
      <w:pPr>
        <w:ind w:left="2529" w:hanging="420"/>
      </w:pPr>
    </w:lvl>
    <w:lvl w:ilvl="5" w:tplc="0409001B" w:tentative="1">
      <w:start w:val="1"/>
      <w:numFmt w:val="lowerRoman"/>
      <w:lvlText w:val="%6."/>
      <w:lvlJc w:val="right"/>
      <w:pPr>
        <w:ind w:left="2949" w:hanging="420"/>
      </w:pPr>
    </w:lvl>
    <w:lvl w:ilvl="6" w:tplc="0409000F" w:tentative="1">
      <w:start w:val="1"/>
      <w:numFmt w:val="decimal"/>
      <w:lvlText w:val="%7."/>
      <w:lvlJc w:val="left"/>
      <w:pPr>
        <w:ind w:left="3369" w:hanging="420"/>
      </w:pPr>
    </w:lvl>
    <w:lvl w:ilvl="7" w:tplc="04090019" w:tentative="1">
      <w:start w:val="1"/>
      <w:numFmt w:val="lowerLetter"/>
      <w:lvlText w:val="%8)"/>
      <w:lvlJc w:val="left"/>
      <w:pPr>
        <w:ind w:left="3789" w:hanging="420"/>
      </w:pPr>
    </w:lvl>
    <w:lvl w:ilvl="8" w:tplc="0409001B" w:tentative="1">
      <w:start w:val="1"/>
      <w:numFmt w:val="lowerRoman"/>
      <w:lvlText w:val="%9."/>
      <w:lvlJc w:val="right"/>
      <w:pPr>
        <w:ind w:left="4209"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FE3"/>
    <w:rsid w:val="00195EDA"/>
    <w:rsid w:val="001B0F70"/>
    <w:rsid w:val="00236E22"/>
    <w:rsid w:val="00417BE1"/>
    <w:rsid w:val="00584293"/>
    <w:rsid w:val="005B382B"/>
    <w:rsid w:val="00624EF6"/>
    <w:rsid w:val="006529C0"/>
    <w:rsid w:val="00756038"/>
    <w:rsid w:val="00796426"/>
    <w:rsid w:val="007D5F40"/>
    <w:rsid w:val="007E2036"/>
    <w:rsid w:val="009377C7"/>
    <w:rsid w:val="00943AFF"/>
    <w:rsid w:val="00971DA8"/>
    <w:rsid w:val="009D2FE3"/>
    <w:rsid w:val="00A40BC0"/>
    <w:rsid w:val="00A85391"/>
    <w:rsid w:val="00B75E22"/>
    <w:rsid w:val="00BC6B66"/>
    <w:rsid w:val="00BF393E"/>
    <w:rsid w:val="00C13476"/>
    <w:rsid w:val="00C211A4"/>
    <w:rsid w:val="00C54FCC"/>
    <w:rsid w:val="00C83CEE"/>
    <w:rsid w:val="00D5675B"/>
    <w:rsid w:val="00D760FE"/>
    <w:rsid w:val="00D97C3E"/>
    <w:rsid w:val="00E30BA8"/>
    <w:rsid w:val="00E72105"/>
    <w:rsid w:val="00FC104F"/>
    <w:rsid w:val="00FF6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5526"/>
  <w15:chartTrackingRefBased/>
  <w15:docId w15:val="{4C561C66-97AB-43AC-A0D9-E74CF96F0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7C3E"/>
    <w:pPr>
      <w:ind w:firstLineChars="200" w:firstLine="420"/>
    </w:pPr>
  </w:style>
  <w:style w:type="paragraph" w:styleId="a4">
    <w:name w:val="header"/>
    <w:basedOn w:val="a"/>
    <w:link w:val="a5"/>
    <w:uiPriority w:val="99"/>
    <w:unhideWhenUsed/>
    <w:rsid w:val="0075603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56038"/>
    <w:rPr>
      <w:sz w:val="18"/>
      <w:szCs w:val="18"/>
    </w:rPr>
  </w:style>
  <w:style w:type="paragraph" w:styleId="a6">
    <w:name w:val="footer"/>
    <w:basedOn w:val="a"/>
    <w:link w:val="a7"/>
    <w:uiPriority w:val="99"/>
    <w:unhideWhenUsed/>
    <w:rsid w:val="00756038"/>
    <w:pPr>
      <w:tabs>
        <w:tab w:val="center" w:pos="4153"/>
        <w:tab w:val="right" w:pos="8306"/>
      </w:tabs>
      <w:snapToGrid w:val="0"/>
      <w:jc w:val="left"/>
    </w:pPr>
    <w:rPr>
      <w:sz w:val="18"/>
      <w:szCs w:val="18"/>
    </w:rPr>
  </w:style>
  <w:style w:type="character" w:customStyle="1" w:styleId="a7">
    <w:name w:val="页脚 字符"/>
    <w:basedOn w:val="a0"/>
    <w:link w:val="a6"/>
    <w:uiPriority w:val="99"/>
    <w:rsid w:val="007560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4</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Zhou</dc:creator>
  <cp:keywords/>
  <dc:description/>
  <cp:lastModifiedBy>Xinyu Zhou</cp:lastModifiedBy>
  <cp:revision>2</cp:revision>
  <dcterms:created xsi:type="dcterms:W3CDTF">2021-11-15T01:55:00Z</dcterms:created>
  <dcterms:modified xsi:type="dcterms:W3CDTF">2021-11-15T06:54:00Z</dcterms:modified>
</cp:coreProperties>
</file>