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A93AC" w14:textId="77777777" w:rsidR="006157D6" w:rsidRDefault="00C42D36">
      <w:pPr>
        <w:jc w:val="center"/>
        <w:rPr>
          <w:rFonts w:ascii="仿宋_GB2312" w:eastAsia="仿宋_GB2312" w:hAnsi="仿宋" w:cs="仿宋"/>
          <w:b/>
          <w:bCs/>
          <w:sz w:val="30"/>
          <w:szCs w:val="30"/>
        </w:rPr>
      </w:pPr>
      <w:r>
        <w:rPr>
          <w:rFonts w:ascii="仿宋_GB2312" w:eastAsia="仿宋_GB2312" w:hAnsi="仿宋" w:cs="仿宋" w:hint="eastAsia"/>
          <w:b/>
          <w:bCs/>
          <w:sz w:val="30"/>
          <w:szCs w:val="30"/>
        </w:rPr>
        <w:t>标准化属性业务入池审批单</w:t>
      </w:r>
    </w:p>
    <w:p w14:paraId="2F3FF1BF" w14:textId="77777777" w:rsidR="006157D6" w:rsidRDefault="006157D6">
      <w:pPr>
        <w:spacing w:line="276" w:lineRule="auto"/>
        <w:ind w:leftChars="-295" w:left="3" w:right="964" w:hangingChars="258" w:hanging="622"/>
        <w:jc w:val="left"/>
        <w:rPr>
          <w:rFonts w:ascii="仿宋_GB2312" w:eastAsia="仿宋_GB2312"/>
          <w:b/>
          <w:sz w:val="24"/>
        </w:rPr>
      </w:pPr>
    </w:p>
    <w:p w14:paraId="4329FFB5" w14:textId="77777777" w:rsidR="006157D6" w:rsidRDefault="00C42D36">
      <w:pPr>
        <w:spacing w:line="276" w:lineRule="auto"/>
        <w:ind w:leftChars="-295" w:left="3" w:right="964" w:hangingChars="258" w:hanging="622"/>
        <w:jc w:val="left"/>
        <w:rPr>
          <w:rFonts w:ascii="仿宋_GB2312" w:eastAsia="仿宋_GB2312"/>
          <w:b/>
          <w:sz w:val="24"/>
        </w:rPr>
      </w:pPr>
      <w:r>
        <w:rPr>
          <w:rFonts w:ascii="仿宋_GB2312" w:eastAsia="仿宋_GB2312" w:hint="eastAsia"/>
          <w:b/>
          <w:sz w:val="24"/>
        </w:rPr>
        <w:t>批复日期：</w:t>
      </w:r>
      <w:bookmarkStart w:id="0" w:name="OLE_LINK1"/>
      <w:r>
        <w:rPr>
          <w:rFonts w:ascii="仿宋_GB2312" w:eastAsia="仿宋_GB2312" w:hint="eastAsia"/>
          <w:b/>
          <w:sz w:val="24"/>
        </w:rPr>
        <w:t>20</w:t>
      </w:r>
      <w:r>
        <w:rPr>
          <w:rFonts w:ascii="仿宋_GB2312" w:eastAsia="仿宋_GB2312"/>
          <w:b/>
          <w:sz w:val="24"/>
        </w:rPr>
        <w:t>20</w:t>
      </w:r>
      <w:r>
        <w:rPr>
          <w:rFonts w:ascii="仿宋_GB2312" w:eastAsia="仿宋_GB2312" w:hint="eastAsia"/>
          <w:b/>
          <w:sz w:val="24"/>
        </w:rPr>
        <w:t>年</w:t>
      </w:r>
      <w:r w:rsidR="005A54F4">
        <w:rPr>
          <w:rFonts w:ascii="仿宋_GB2312" w:eastAsia="仿宋_GB2312"/>
          <w:b/>
          <w:sz w:val="24"/>
        </w:rPr>
        <w:t>10</w:t>
      </w:r>
      <w:r>
        <w:rPr>
          <w:rFonts w:ascii="仿宋_GB2312" w:eastAsia="仿宋_GB2312" w:hint="eastAsia"/>
          <w:b/>
          <w:sz w:val="24"/>
        </w:rPr>
        <w:t>月</w:t>
      </w:r>
      <w:r w:rsidR="005A54F4">
        <w:rPr>
          <w:rFonts w:ascii="仿宋_GB2312" w:eastAsia="仿宋_GB2312"/>
          <w:b/>
          <w:sz w:val="24"/>
        </w:rPr>
        <w:t>13</w:t>
      </w:r>
      <w:r>
        <w:rPr>
          <w:rFonts w:ascii="仿宋_GB2312" w:eastAsia="仿宋_GB2312" w:hint="eastAsia"/>
          <w:b/>
          <w:sz w:val="24"/>
        </w:rPr>
        <w:t xml:space="preserve">日 </w:t>
      </w:r>
      <w:bookmarkEnd w:id="0"/>
    </w:p>
    <w:tbl>
      <w:tblPr>
        <w:tblW w:w="10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9"/>
        <w:gridCol w:w="489"/>
        <w:gridCol w:w="3663"/>
        <w:gridCol w:w="1697"/>
        <w:gridCol w:w="2932"/>
      </w:tblGrid>
      <w:tr w:rsidR="006157D6" w14:paraId="65C445EC" w14:textId="77777777">
        <w:trPr>
          <w:trHeight w:val="670"/>
          <w:jc w:val="center"/>
        </w:trPr>
        <w:tc>
          <w:tcPr>
            <w:tcW w:w="10720" w:type="dxa"/>
            <w:gridSpan w:val="5"/>
            <w:shd w:val="clear" w:color="auto" w:fill="F2F2F2"/>
            <w:vAlign w:val="center"/>
          </w:tcPr>
          <w:p w14:paraId="3D439BFE" w14:textId="77777777" w:rsidR="006157D6" w:rsidRDefault="00C42D36">
            <w:pPr>
              <w:spacing w:line="276" w:lineRule="auto"/>
              <w:jc w:val="center"/>
              <w:rPr>
                <w:rFonts w:ascii="仿宋_GB2312" w:eastAsia="仿宋_GB2312" w:hAnsi="仿宋" w:cs="仿宋"/>
                <w:sz w:val="24"/>
              </w:rPr>
            </w:pPr>
            <w:r>
              <w:rPr>
                <w:rFonts w:ascii="仿宋_GB2312" w:eastAsia="仿宋_GB2312" w:hAnsi="仿宋" w:cs="仿宋" w:hint="eastAsia"/>
                <w:b/>
                <w:bCs/>
                <w:sz w:val="30"/>
                <w:szCs w:val="30"/>
              </w:rPr>
              <w:t>入池申请信息</w:t>
            </w:r>
          </w:p>
        </w:tc>
      </w:tr>
      <w:tr w:rsidR="006157D6" w14:paraId="38FDB1BA" w14:textId="77777777" w:rsidTr="005A54F4">
        <w:trPr>
          <w:trHeight w:val="406"/>
          <w:jc w:val="center"/>
        </w:trPr>
        <w:tc>
          <w:tcPr>
            <w:tcW w:w="1939" w:type="dxa"/>
            <w:vAlign w:val="center"/>
          </w:tcPr>
          <w:p w14:paraId="35BB6918" w14:textId="77777777" w:rsidR="006157D6" w:rsidRDefault="00C42D36">
            <w:pPr>
              <w:spacing w:line="276" w:lineRule="auto"/>
              <w:jc w:val="center"/>
              <w:rPr>
                <w:rFonts w:ascii="仿宋_GB2312" w:eastAsia="仿宋_GB2312" w:hAnsi="仿宋" w:cs="仿宋"/>
                <w:b/>
                <w:sz w:val="24"/>
              </w:rPr>
            </w:pPr>
            <w:r>
              <w:rPr>
                <w:rFonts w:ascii="仿宋_GB2312" w:eastAsia="仿宋_GB2312" w:hAnsi="仿宋" w:cs="仿宋" w:hint="eastAsia"/>
                <w:b/>
                <w:sz w:val="24"/>
              </w:rPr>
              <w:t>标的名称</w:t>
            </w:r>
          </w:p>
        </w:tc>
        <w:tc>
          <w:tcPr>
            <w:tcW w:w="4152" w:type="dxa"/>
            <w:gridSpan w:val="2"/>
            <w:vAlign w:val="center"/>
          </w:tcPr>
          <w:p w14:paraId="71BB88F2" w14:textId="3E51265B" w:rsidR="006157D6" w:rsidRPr="005A54F4" w:rsidRDefault="00343E5C">
            <w:pPr>
              <w:spacing w:line="288" w:lineRule="auto"/>
              <w:rPr>
                <w:rFonts w:ascii="仿宋_GB2312" w:eastAsia="仿宋_GB2312" w:hAnsi="仿宋" w:cs="仿宋"/>
                <w:sz w:val="24"/>
              </w:rPr>
            </w:pPr>
            <w:r w:rsidRPr="00343E5C">
              <w:rPr>
                <w:rFonts w:ascii="仿宋_GB2312" w:eastAsia="仿宋_GB2312" w:hAnsi="仿宋" w:cs="仿宋" w:hint="eastAsia"/>
                <w:sz w:val="24"/>
              </w:rPr>
              <w:t>原油期货、沪铜期货、沪铝期货、沪银期货、豆粕期货、玉米期货，以及黄金现货、黄金期货入库</w:t>
            </w:r>
          </w:p>
        </w:tc>
        <w:tc>
          <w:tcPr>
            <w:tcW w:w="1697" w:type="dxa"/>
            <w:vAlign w:val="center"/>
          </w:tcPr>
          <w:p w14:paraId="428193D7" w14:textId="77777777" w:rsidR="006157D6" w:rsidRDefault="00C42D36">
            <w:pPr>
              <w:spacing w:line="288" w:lineRule="auto"/>
              <w:jc w:val="center"/>
              <w:rPr>
                <w:rFonts w:ascii="仿宋_GB2312" w:eastAsia="仿宋_GB2312" w:hAnsi="仿宋" w:cs="仿宋"/>
                <w:sz w:val="24"/>
              </w:rPr>
            </w:pPr>
            <w:r>
              <w:rPr>
                <w:rFonts w:ascii="仿宋_GB2312" w:eastAsia="仿宋_GB2312" w:hAnsi="仿宋" w:cs="仿宋" w:hint="eastAsia"/>
                <w:b/>
                <w:sz w:val="24"/>
              </w:rPr>
              <w:t>内评等级</w:t>
            </w:r>
          </w:p>
        </w:tc>
        <w:tc>
          <w:tcPr>
            <w:tcW w:w="2932" w:type="dxa"/>
            <w:vAlign w:val="center"/>
          </w:tcPr>
          <w:p w14:paraId="0011768D" w14:textId="77777777" w:rsidR="006157D6" w:rsidRDefault="00C42D36">
            <w:pPr>
              <w:spacing w:line="288" w:lineRule="auto"/>
              <w:rPr>
                <w:rFonts w:ascii="仿宋_GB2312" w:eastAsia="仿宋_GB2312" w:hAnsi="仿宋" w:cs="仿宋"/>
                <w:sz w:val="24"/>
              </w:rPr>
            </w:pPr>
            <w:r>
              <w:rPr>
                <w:rFonts w:ascii="仿宋_GB2312" w:eastAsia="仿宋_GB2312" w:hAnsi="仿宋" w:cs="仿宋"/>
                <w:sz w:val="24"/>
              </w:rPr>
              <w:t>中等</w:t>
            </w:r>
          </w:p>
        </w:tc>
      </w:tr>
      <w:tr w:rsidR="006157D6" w14:paraId="5FBC4B9E" w14:textId="77777777" w:rsidTr="005A54F4">
        <w:trPr>
          <w:trHeight w:val="406"/>
          <w:jc w:val="center"/>
        </w:trPr>
        <w:tc>
          <w:tcPr>
            <w:tcW w:w="1939" w:type="dxa"/>
            <w:vAlign w:val="center"/>
          </w:tcPr>
          <w:p w14:paraId="7797F061" w14:textId="77777777" w:rsidR="006157D6" w:rsidRDefault="00C42D36">
            <w:pPr>
              <w:spacing w:line="276" w:lineRule="auto"/>
              <w:jc w:val="center"/>
              <w:rPr>
                <w:rFonts w:ascii="仿宋_GB2312" w:eastAsia="仿宋_GB2312" w:hAnsi="仿宋" w:cs="仿宋"/>
                <w:b/>
                <w:sz w:val="24"/>
              </w:rPr>
            </w:pPr>
            <w:r>
              <w:rPr>
                <w:rFonts w:ascii="仿宋_GB2312" w:eastAsia="仿宋_GB2312" w:hAnsi="仿宋" w:cs="仿宋" w:hint="eastAsia"/>
                <w:b/>
                <w:sz w:val="24"/>
              </w:rPr>
              <w:t>发起部门</w:t>
            </w:r>
          </w:p>
        </w:tc>
        <w:tc>
          <w:tcPr>
            <w:tcW w:w="4152" w:type="dxa"/>
            <w:gridSpan w:val="2"/>
            <w:vAlign w:val="center"/>
          </w:tcPr>
          <w:p w14:paraId="1AEDAF7A" w14:textId="77777777" w:rsidR="006157D6" w:rsidRDefault="00C42D36">
            <w:pPr>
              <w:spacing w:line="288" w:lineRule="auto"/>
              <w:rPr>
                <w:rFonts w:ascii="仿宋_GB2312" w:eastAsia="仿宋_GB2312" w:hAnsi="仿宋" w:cs="仿宋"/>
                <w:sz w:val="24"/>
              </w:rPr>
            </w:pPr>
            <w:r>
              <w:rPr>
                <w:rFonts w:ascii="仿宋_GB2312" w:eastAsia="仿宋_GB2312" w:hAnsi="仿宋" w:cs="仿宋" w:hint="eastAsia"/>
                <w:sz w:val="24"/>
              </w:rPr>
              <w:t>股票投资部</w:t>
            </w:r>
          </w:p>
        </w:tc>
        <w:tc>
          <w:tcPr>
            <w:tcW w:w="1697" w:type="dxa"/>
            <w:vAlign w:val="center"/>
          </w:tcPr>
          <w:p w14:paraId="2B71A713" w14:textId="77777777" w:rsidR="006157D6" w:rsidRDefault="00C42D36">
            <w:pPr>
              <w:spacing w:line="288" w:lineRule="auto"/>
              <w:jc w:val="center"/>
              <w:rPr>
                <w:rFonts w:ascii="仿宋_GB2312" w:eastAsia="仿宋_GB2312" w:hAnsi="仿宋" w:cs="仿宋"/>
                <w:sz w:val="24"/>
              </w:rPr>
            </w:pPr>
            <w:r>
              <w:rPr>
                <w:rFonts w:ascii="仿宋_GB2312" w:eastAsia="仿宋_GB2312" w:hAnsi="仿宋" w:cs="仿宋" w:hint="eastAsia"/>
                <w:b/>
                <w:sz w:val="24"/>
              </w:rPr>
              <w:t>发起经办意见</w:t>
            </w:r>
          </w:p>
        </w:tc>
        <w:tc>
          <w:tcPr>
            <w:tcW w:w="2932" w:type="dxa"/>
            <w:vAlign w:val="center"/>
          </w:tcPr>
          <w:p w14:paraId="42234FE1" w14:textId="77777777" w:rsidR="006157D6" w:rsidRDefault="00C42D36">
            <w:pPr>
              <w:spacing w:line="288" w:lineRule="auto"/>
              <w:rPr>
                <w:rFonts w:ascii="仿宋_GB2312" w:eastAsia="仿宋_GB2312" w:hAnsi="仿宋" w:cs="仿宋"/>
                <w:sz w:val="24"/>
              </w:rPr>
            </w:pPr>
            <w:r>
              <w:rPr>
                <w:rFonts w:ascii="仿宋_GB2312" w:eastAsia="仿宋_GB2312" w:hAnsi="仿宋" w:cs="仿宋"/>
                <w:sz w:val="24"/>
              </w:rPr>
              <w:t>同意</w:t>
            </w:r>
          </w:p>
        </w:tc>
      </w:tr>
      <w:tr w:rsidR="006157D6" w14:paraId="342EEC36" w14:textId="77777777" w:rsidTr="005A54F4">
        <w:trPr>
          <w:trHeight w:val="406"/>
          <w:jc w:val="center"/>
        </w:trPr>
        <w:tc>
          <w:tcPr>
            <w:tcW w:w="1939" w:type="dxa"/>
            <w:vMerge w:val="restart"/>
            <w:vAlign w:val="center"/>
          </w:tcPr>
          <w:p w14:paraId="55ADE748" w14:textId="77777777" w:rsidR="006157D6" w:rsidRDefault="00C42D36">
            <w:pPr>
              <w:jc w:val="left"/>
              <w:rPr>
                <w:rFonts w:ascii="华文细黑" w:eastAsia="华文细黑" w:hAnsi="华文细黑" w:cs="华文细黑"/>
              </w:rPr>
            </w:pPr>
            <w:r>
              <w:rPr>
                <w:rFonts w:ascii="华文细黑" w:eastAsia="华文细黑" w:hAnsi="华文细黑" w:cs="华文细黑" w:hint="eastAsia"/>
              </w:rPr>
              <w:t>是否已申领占用单一法人客户信用限额（A、B类业务适用）</w:t>
            </w:r>
          </w:p>
        </w:tc>
        <w:tc>
          <w:tcPr>
            <w:tcW w:w="4152" w:type="dxa"/>
            <w:gridSpan w:val="2"/>
            <w:vAlign w:val="center"/>
          </w:tcPr>
          <w:p w14:paraId="0B8E8ACE" w14:textId="77777777" w:rsidR="006157D6" w:rsidRDefault="00C42D36">
            <w:pPr>
              <w:jc w:val="center"/>
              <w:rPr>
                <w:rFonts w:ascii="华文细黑" w:eastAsia="华文细黑" w:hAnsi="华文细黑" w:cs="华文细黑"/>
              </w:rPr>
            </w:pPr>
            <w:r>
              <w:rPr>
                <w:rFonts w:ascii="华文细黑" w:eastAsia="华文细黑" w:hAnsi="华文细黑" w:cs="华文细黑" w:hint="eastAsia"/>
              </w:rPr>
              <w:t>是</w:t>
            </w:r>
            <w:r>
              <w:rPr>
                <w:rFonts w:ascii="仿宋_GB2312" w:eastAsia="仿宋_GB2312" w:hAnsi="仿宋" w:cs="仿宋" w:hint="eastAsia"/>
                <w:sz w:val="32"/>
                <w:szCs w:val="32"/>
              </w:rPr>
              <w:sym w:font="Wingdings" w:char="F0A8"/>
            </w:r>
          </w:p>
        </w:tc>
        <w:tc>
          <w:tcPr>
            <w:tcW w:w="4629" w:type="dxa"/>
            <w:gridSpan w:val="2"/>
            <w:vAlign w:val="center"/>
          </w:tcPr>
          <w:p w14:paraId="766FA58C" w14:textId="77777777" w:rsidR="006157D6" w:rsidRDefault="00C42D36">
            <w:pPr>
              <w:jc w:val="center"/>
              <w:rPr>
                <w:rFonts w:ascii="华文细黑" w:eastAsia="华文细黑" w:hAnsi="华文细黑" w:cs="华文细黑"/>
              </w:rPr>
            </w:pPr>
            <w:r>
              <w:rPr>
                <w:rFonts w:ascii="华文细黑" w:eastAsia="华文细黑" w:hAnsi="华文细黑" w:cs="华文细黑" w:hint="eastAsia"/>
              </w:rPr>
              <w:t>否</w:t>
            </w:r>
            <w:r>
              <w:rPr>
                <w:rFonts w:ascii="仿宋_GB2312" w:eastAsia="仿宋_GB2312" w:hAnsi="仿宋" w:cs="仿宋" w:hint="eastAsia"/>
                <w:sz w:val="32"/>
                <w:szCs w:val="32"/>
              </w:rPr>
              <w:sym w:font="Wingdings" w:char="F0A8"/>
            </w:r>
          </w:p>
        </w:tc>
      </w:tr>
      <w:tr w:rsidR="006157D6" w14:paraId="362B76B4" w14:textId="77777777" w:rsidTr="005A54F4">
        <w:trPr>
          <w:trHeight w:val="406"/>
          <w:jc w:val="center"/>
        </w:trPr>
        <w:tc>
          <w:tcPr>
            <w:tcW w:w="1939" w:type="dxa"/>
            <w:vMerge/>
            <w:vAlign w:val="center"/>
          </w:tcPr>
          <w:p w14:paraId="0728B34E" w14:textId="77777777" w:rsidR="006157D6" w:rsidRDefault="006157D6">
            <w:pPr>
              <w:spacing w:line="276" w:lineRule="auto"/>
              <w:jc w:val="center"/>
              <w:rPr>
                <w:rFonts w:ascii="仿宋_GB2312" w:eastAsia="仿宋_GB2312" w:hAnsi="仿宋" w:cs="仿宋"/>
                <w:b/>
                <w:sz w:val="24"/>
              </w:rPr>
            </w:pPr>
          </w:p>
        </w:tc>
        <w:tc>
          <w:tcPr>
            <w:tcW w:w="4152" w:type="dxa"/>
            <w:gridSpan w:val="2"/>
          </w:tcPr>
          <w:p w14:paraId="3F736917" w14:textId="77777777" w:rsidR="006157D6" w:rsidRDefault="00C42D36">
            <w:pPr>
              <w:spacing w:line="288" w:lineRule="auto"/>
              <w:rPr>
                <w:rFonts w:ascii="仿宋_GB2312" w:eastAsia="仿宋_GB2312" w:hAnsi="仿宋" w:cs="仿宋"/>
                <w:sz w:val="24"/>
              </w:rPr>
            </w:pPr>
            <w:r>
              <w:rPr>
                <w:rFonts w:ascii="仿宋_GB2312" w:eastAsia="仿宋_GB2312" w:hAnsi="仿宋" w:cs="仿宋"/>
                <w:sz w:val="24"/>
              </w:rPr>
              <w:t>不适用</w:t>
            </w:r>
          </w:p>
        </w:tc>
        <w:tc>
          <w:tcPr>
            <w:tcW w:w="4629" w:type="dxa"/>
            <w:gridSpan w:val="2"/>
          </w:tcPr>
          <w:p w14:paraId="49936235" w14:textId="77777777" w:rsidR="006157D6" w:rsidRDefault="006157D6">
            <w:pPr>
              <w:spacing w:line="288" w:lineRule="auto"/>
              <w:rPr>
                <w:rFonts w:ascii="仿宋_GB2312" w:eastAsia="仿宋_GB2312" w:hAnsi="仿宋" w:cs="仿宋"/>
                <w:sz w:val="24"/>
              </w:rPr>
            </w:pPr>
          </w:p>
        </w:tc>
      </w:tr>
      <w:tr w:rsidR="006157D6" w14:paraId="07408B03" w14:textId="77777777">
        <w:trPr>
          <w:trHeight w:val="406"/>
          <w:jc w:val="center"/>
        </w:trPr>
        <w:tc>
          <w:tcPr>
            <w:tcW w:w="1939" w:type="dxa"/>
            <w:vAlign w:val="center"/>
          </w:tcPr>
          <w:p w14:paraId="3C759D00" w14:textId="77777777" w:rsidR="006157D6" w:rsidRDefault="00C42D36">
            <w:pPr>
              <w:jc w:val="left"/>
              <w:rPr>
                <w:rFonts w:ascii="华文细黑" w:eastAsia="华文细黑" w:hAnsi="华文细黑" w:cs="华文细黑"/>
              </w:rPr>
            </w:pPr>
            <w:r>
              <w:rPr>
                <w:rFonts w:ascii="华文细黑" w:eastAsia="华文细黑" w:hAnsi="华文细黑" w:cs="华文细黑" w:hint="eastAsia"/>
              </w:rPr>
              <w:t>申报单一法人客户信用限额情况（A、B类业务适用）</w:t>
            </w:r>
          </w:p>
        </w:tc>
        <w:tc>
          <w:tcPr>
            <w:tcW w:w="8781" w:type="dxa"/>
            <w:gridSpan w:val="4"/>
          </w:tcPr>
          <w:p w14:paraId="0714D907" w14:textId="77777777" w:rsidR="006157D6" w:rsidRDefault="00C42D36">
            <w:pPr>
              <w:spacing w:line="288" w:lineRule="auto"/>
              <w:rPr>
                <w:rFonts w:ascii="仿宋_GB2312" w:eastAsia="仿宋_GB2312" w:hAnsi="仿宋" w:cs="仿宋"/>
                <w:sz w:val="24"/>
              </w:rPr>
            </w:pPr>
            <w:r>
              <w:rPr>
                <w:rFonts w:ascii="仿宋_GB2312" w:eastAsia="仿宋_GB2312" w:hAnsi="仿宋" w:cs="仿宋" w:hint="eastAsia"/>
                <w:sz w:val="24"/>
              </w:rPr>
              <w:t>不适用</w:t>
            </w:r>
          </w:p>
          <w:p w14:paraId="45D694B8" w14:textId="77777777" w:rsidR="006157D6" w:rsidRDefault="006157D6">
            <w:pPr>
              <w:rPr>
                <w:rFonts w:ascii="楷体" w:eastAsia="楷体" w:hAnsi="楷体"/>
                <w:b/>
                <w:sz w:val="24"/>
              </w:rPr>
            </w:pPr>
          </w:p>
          <w:p w14:paraId="54143301" w14:textId="77777777" w:rsidR="006157D6" w:rsidRDefault="006157D6">
            <w:pPr>
              <w:rPr>
                <w:rFonts w:ascii="楷体" w:eastAsia="楷体" w:hAnsi="楷体"/>
                <w:b/>
                <w:sz w:val="24"/>
              </w:rPr>
            </w:pPr>
          </w:p>
          <w:p w14:paraId="25F5973D" w14:textId="77777777" w:rsidR="006157D6" w:rsidRDefault="006157D6">
            <w:pPr>
              <w:rPr>
                <w:rFonts w:ascii="楷体" w:eastAsia="楷体" w:hAnsi="楷体"/>
                <w:b/>
                <w:sz w:val="24"/>
              </w:rPr>
            </w:pPr>
          </w:p>
          <w:p w14:paraId="59B7CBE3" w14:textId="77777777" w:rsidR="006157D6" w:rsidRDefault="006157D6">
            <w:pPr>
              <w:rPr>
                <w:rFonts w:ascii="楷体" w:eastAsia="楷体" w:hAnsi="楷体"/>
                <w:b/>
                <w:sz w:val="24"/>
              </w:rPr>
            </w:pPr>
          </w:p>
          <w:p w14:paraId="7B159D4D" w14:textId="77777777" w:rsidR="006157D6" w:rsidRDefault="006157D6">
            <w:pPr>
              <w:rPr>
                <w:rFonts w:ascii="华文细黑" w:eastAsia="华文细黑" w:hAnsi="华文细黑" w:cs="华文细黑"/>
              </w:rPr>
            </w:pPr>
          </w:p>
        </w:tc>
      </w:tr>
      <w:tr w:rsidR="006157D6" w14:paraId="4C90F129" w14:textId="77777777">
        <w:trPr>
          <w:trHeight w:val="406"/>
          <w:jc w:val="center"/>
        </w:trPr>
        <w:tc>
          <w:tcPr>
            <w:tcW w:w="1939" w:type="dxa"/>
            <w:vAlign w:val="center"/>
          </w:tcPr>
          <w:p w14:paraId="5221A544" w14:textId="77777777" w:rsidR="006157D6" w:rsidRDefault="00C42D36">
            <w:pPr>
              <w:jc w:val="left"/>
              <w:rPr>
                <w:rFonts w:ascii="华文细黑" w:eastAsia="华文细黑" w:hAnsi="华文细黑" w:cs="华文细黑"/>
              </w:rPr>
            </w:pPr>
            <w:r>
              <w:rPr>
                <w:rFonts w:ascii="华文细黑" w:eastAsia="华文细黑" w:hAnsi="华文细黑" w:cs="华文细黑" w:hint="eastAsia"/>
              </w:rPr>
              <w:t>集团客户信用限额情况（A、B类业务适用）</w:t>
            </w:r>
          </w:p>
        </w:tc>
        <w:tc>
          <w:tcPr>
            <w:tcW w:w="8781" w:type="dxa"/>
            <w:gridSpan w:val="4"/>
          </w:tcPr>
          <w:p w14:paraId="6FCDFDDD" w14:textId="77777777" w:rsidR="006157D6" w:rsidRDefault="00C42D36">
            <w:pPr>
              <w:spacing w:line="288" w:lineRule="auto"/>
              <w:rPr>
                <w:rFonts w:ascii="楷体" w:eastAsia="楷体" w:hAnsi="楷体"/>
                <w:sz w:val="24"/>
              </w:rPr>
            </w:pPr>
            <w:r>
              <w:rPr>
                <w:rFonts w:ascii="仿宋_GB2312" w:eastAsia="仿宋_GB2312" w:hAnsi="仿宋" w:cs="仿宋"/>
                <w:sz w:val="24"/>
              </w:rPr>
              <w:t>不适用</w:t>
            </w:r>
          </w:p>
        </w:tc>
      </w:tr>
      <w:tr w:rsidR="006157D6" w14:paraId="2EF052FE" w14:textId="77777777">
        <w:trPr>
          <w:trHeight w:val="665"/>
          <w:jc w:val="center"/>
        </w:trPr>
        <w:tc>
          <w:tcPr>
            <w:tcW w:w="1939" w:type="dxa"/>
            <w:vAlign w:val="center"/>
          </w:tcPr>
          <w:p w14:paraId="6F807EB2" w14:textId="77777777" w:rsidR="006157D6" w:rsidRDefault="00C42D36">
            <w:pPr>
              <w:spacing w:line="276" w:lineRule="auto"/>
              <w:jc w:val="center"/>
              <w:rPr>
                <w:rFonts w:ascii="仿宋_GB2312" w:eastAsia="仿宋_GB2312" w:hAnsi="仿宋" w:cs="仿宋"/>
                <w:b/>
                <w:sz w:val="24"/>
              </w:rPr>
            </w:pPr>
            <w:r>
              <w:rPr>
                <w:rFonts w:ascii="仿宋_GB2312" w:eastAsia="仿宋_GB2312" w:hAnsi="仿宋" w:cs="仿宋" w:hint="eastAsia"/>
                <w:b/>
                <w:sz w:val="24"/>
              </w:rPr>
              <w:t>投资经理意见</w:t>
            </w:r>
          </w:p>
        </w:tc>
        <w:tc>
          <w:tcPr>
            <w:tcW w:w="8781" w:type="dxa"/>
            <w:gridSpan w:val="4"/>
            <w:vAlign w:val="center"/>
          </w:tcPr>
          <w:p w14:paraId="2F895379"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42541682"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6157D6" w14:paraId="1FF31F49" w14:textId="77777777">
        <w:trPr>
          <w:trHeight w:val="636"/>
          <w:jc w:val="center"/>
        </w:trPr>
        <w:tc>
          <w:tcPr>
            <w:tcW w:w="1939" w:type="dxa"/>
            <w:vAlign w:val="center"/>
          </w:tcPr>
          <w:p w14:paraId="54ACA4FA" w14:textId="77777777" w:rsidR="006157D6" w:rsidRDefault="00C42D36">
            <w:pPr>
              <w:spacing w:line="276" w:lineRule="auto"/>
              <w:jc w:val="center"/>
              <w:rPr>
                <w:rFonts w:ascii="仿宋_GB2312" w:eastAsia="仿宋_GB2312" w:hAnsi="仿宋" w:cs="仿宋"/>
                <w:b/>
                <w:sz w:val="24"/>
              </w:rPr>
            </w:pPr>
            <w:r>
              <w:rPr>
                <w:rFonts w:ascii="仿宋_GB2312" w:eastAsia="仿宋_GB2312" w:hAnsi="仿宋" w:cs="仿宋" w:hint="eastAsia"/>
                <w:b/>
                <w:sz w:val="24"/>
              </w:rPr>
              <w:t>投资部门负责人意见</w:t>
            </w:r>
          </w:p>
        </w:tc>
        <w:tc>
          <w:tcPr>
            <w:tcW w:w="8781" w:type="dxa"/>
            <w:gridSpan w:val="4"/>
            <w:vAlign w:val="center"/>
          </w:tcPr>
          <w:p w14:paraId="7E41E854"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417AD2BB"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6157D6" w14:paraId="17724BB1" w14:textId="77777777">
        <w:trPr>
          <w:trHeight w:val="597"/>
          <w:jc w:val="center"/>
        </w:trPr>
        <w:tc>
          <w:tcPr>
            <w:tcW w:w="1939" w:type="dxa"/>
            <w:vAlign w:val="center"/>
          </w:tcPr>
          <w:p w14:paraId="4D03F4B5" w14:textId="77777777" w:rsidR="006157D6" w:rsidRDefault="00C42D36">
            <w:pPr>
              <w:spacing w:line="276" w:lineRule="auto"/>
              <w:jc w:val="center"/>
              <w:rPr>
                <w:rFonts w:ascii="仿宋_GB2312" w:eastAsia="仿宋_GB2312" w:hAnsi="仿宋" w:cs="仿宋"/>
                <w:b/>
                <w:sz w:val="24"/>
              </w:rPr>
            </w:pPr>
            <w:r>
              <w:rPr>
                <w:rFonts w:ascii="仿宋_GB2312" w:eastAsia="仿宋_GB2312" w:hAnsi="仿宋" w:cs="仿宋" w:hint="eastAsia"/>
                <w:b/>
                <w:sz w:val="24"/>
              </w:rPr>
              <w:t>研究员意见</w:t>
            </w:r>
          </w:p>
        </w:tc>
        <w:tc>
          <w:tcPr>
            <w:tcW w:w="8781" w:type="dxa"/>
            <w:gridSpan w:val="4"/>
            <w:vAlign w:val="center"/>
          </w:tcPr>
          <w:p w14:paraId="2BCF9EA5"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5705E014"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6157D6" w14:paraId="5E3F6E40" w14:textId="77777777">
        <w:trPr>
          <w:trHeight w:val="689"/>
          <w:jc w:val="center"/>
        </w:trPr>
        <w:tc>
          <w:tcPr>
            <w:tcW w:w="1939" w:type="dxa"/>
            <w:vAlign w:val="center"/>
          </w:tcPr>
          <w:p w14:paraId="16CE7269" w14:textId="77777777" w:rsidR="006157D6" w:rsidRDefault="00C42D36">
            <w:pPr>
              <w:spacing w:line="276" w:lineRule="auto"/>
              <w:jc w:val="center"/>
              <w:rPr>
                <w:rFonts w:ascii="仿宋_GB2312" w:eastAsia="仿宋_GB2312" w:hAnsi="仿宋" w:cs="仿宋"/>
                <w:b/>
                <w:sz w:val="24"/>
              </w:rPr>
            </w:pPr>
            <w:r>
              <w:rPr>
                <w:rFonts w:ascii="仿宋_GB2312" w:eastAsia="仿宋_GB2312" w:hAnsi="仿宋" w:cs="仿宋" w:hint="eastAsia"/>
                <w:b/>
                <w:sz w:val="24"/>
              </w:rPr>
              <w:t>研究负责人意见</w:t>
            </w:r>
          </w:p>
        </w:tc>
        <w:tc>
          <w:tcPr>
            <w:tcW w:w="8781" w:type="dxa"/>
            <w:gridSpan w:val="4"/>
            <w:vAlign w:val="center"/>
          </w:tcPr>
          <w:p w14:paraId="0907E6F6"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0F34236B" w14:textId="77777777" w:rsidR="006157D6" w:rsidRDefault="00C42D36">
            <w:pPr>
              <w:spacing w:line="288" w:lineRule="auto"/>
              <w:ind w:firstLineChars="2500" w:firstLine="6000"/>
              <w:rPr>
                <w:rFonts w:ascii="仿宋_GB2312" w:eastAsia="仿宋_GB2312" w:hAnsi="仿宋" w:cs="仿宋"/>
                <w:sz w:val="24"/>
              </w:rPr>
            </w:pPr>
            <w:r>
              <w:rPr>
                <w:rFonts w:ascii="仿宋_GB2312" w:eastAsia="仿宋_GB2312" w:hAnsi="仿宋" w:cs="仿宋" w:hint="eastAsia"/>
                <w:color w:val="000000"/>
                <w:sz w:val="24"/>
                <w:shd w:val="clear" w:color="auto" w:fill="FFFFFF"/>
              </w:rPr>
              <w:t xml:space="preserve">日期： </w:t>
            </w:r>
            <w:r>
              <w:rPr>
                <w:rFonts w:ascii="仿宋_GB2312" w:eastAsia="仿宋_GB2312" w:hAnsi="仿宋" w:cs="仿宋" w:hint="eastAsia"/>
                <w:sz w:val="24"/>
              </w:rPr>
              <w:t xml:space="preserve"> </w:t>
            </w:r>
          </w:p>
        </w:tc>
      </w:tr>
      <w:tr w:rsidR="006157D6" w14:paraId="2F81B230" w14:textId="77777777">
        <w:trPr>
          <w:trHeight w:hRule="exact" w:val="662"/>
          <w:jc w:val="center"/>
        </w:trPr>
        <w:tc>
          <w:tcPr>
            <w:tcW w:w="10720" w:type="dxa"/>
            <w:gridSpan w:val="5"/>
            <w:shd w:val="clear" w:color="auto" w:fill="F2F2F2"/>
            <w:vAlign w:val="center"/>
          </w:tcPr>
          <w:p w14:paraId="427577CC" w14:textId="77777777" w:rsidR="006157D6" w:rsidRDefault="00C42D36">
            <w:pPr>
              <w:spacing w:line="276" w:lineRule="auto"/>
              <w:jc w:val="center"/>
              <w:rPr>
                <w:rFonts w:ascii="仿宋_GB2312" w:eastAsia="仿宋_GB2312" w:hAnsi="仿宋" w:cs="仿宋"/>
                <w:sz w:val="24"/>
              </w:rPr>
            </w:pPr>
            <w:r>
              <w:rPr>
                <w:rFonts w:ascii="仿宋_GB2312" w:eastAsia="仿宋_GB2312" w:hAnsi="仿宋" w:cs="仿宋" w:hint="eastAsia"/>
                <w:b/>
                <w:bCs/>
                <w:sz w:val="24"/>
              </w:rPr>
              <w:t>发起经办情况简述</w:t>
            </w:r>
          </w:p>
        </w:tc>
      </w:tr>
      <w:tr w:rsidR="006157D6" w14:paraId="15779170" w14:textId="77777777">
        <w:trPr>
          <w:trHeight w:val="2835"/>
          <w:jc w:val="center"/>
        </w:trPr>
        <w:tc>
          <w:tcPr>
            <w:tcW w:w="10720" w:type="dxa"/>
            <w:gridSpan w:val="5"/>
            <w:vAlign w:val="center"/>
          </w:tcPr>
          <w:p w14:paraId="5E5A7F69"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lastRenderedPageBreak/>
              <w:t>为满足理财产品阶段性投资需要、多样化风险收益来源、平滑净值曲线，拟申请将、原油期货、沪铜期货、沪铝期货、沪银期货、豆粕期货、玉米期货，以及黄金现货、黄金期货入库，并在标委会审批相关投资策略之后，执行相关投资策略。</w:t>
            </w:r>
          </w:p>
          <w:p w14:paraId="50D6C6EB"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t>申请入库6种商品期货为我国期货市场中主要大宗商品品种，覆盖了能源化工（原油）、有色贵金属（铜、铝、银）、农产品（豆粕、玉米），都是工业或居民生活种的重要大宗商品，可以作为对冲通胀风险的工具使用。其中，单一产品投资原油期货、沪铜期货、沪铝期货、沪银期货、豆粕期货、玉米期货，分别占用保证金不超过1亿人民币。</w:t>
            </w:r>
          </w:p>
          <w:p w14:paraId="5A9A152A"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t>申请入库的黄金合约包括：COMEX黄金、SHFE黄金、SGE黄金9995和SGE黄金9999，4类合约。单一产品黄金现货合约（不使用保证金交易）占用金额不超过5个亿人民币；单一产品黄金衍生品（含使用保证金交易的黄金现货合约）占用保证金合计不超过2个亿人民币。</w:t>
            </w:r>
          </w:p>
          <w:p w14:paraId="642AC665"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t>投资于本次入库6种商品期货和4种黄金标的主要的投资目标是套期保值、对冲套利，当商品价格有上涨动力时采用做多商品期货或组合交易的方式避免产品净值因通胀上涨而受损。投资过程中严格控制策略执行过程中的敞口暴露。并在策略执行后，设置止盈点与止损点，避免对冲类投资策略因市场风险变化锁导致的损失。具体如下：</w:t>
            </w:r>
          </w:p>
          <w:p w14:paraId="5809FE3C"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t>（1）</w:t>
            </w:r>
            <w:r w:rsidRPr="00BC4974">
              <w:rPr>
                <w:rFonts w:ascii="仿宋" w:eastAsia="仿宋" w:hAnsi="仿宋" w:hint="eastAsia"/>
                <w:sz w:val="28"/>
                <w:szCs w:val="28"/>
              </w:rPr>
              <w:tab/>
              <w:t>投资路径</w:t>
            </w:r>
          </w:p>
          <w:p w14:paraId="126B3312"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t>本次申请入库的商品期货和黄金品种均为场内交易的标准化黄金品种，包括6个商品合约、2个现货黄金合约和2个期货黄金合约。同时，鉴于监管要求及公司投资风险系统建设进程，主要采用间接投资模式，即通过证券公司、证券公司海外子公司、期货公司、基金公司、基金公司子公司、以及银行机构设立资产管理计划，由资产管理计划代为执行黄金投资指令。其中，投资COMEX黄金期货的中介机构，需要具有海外交易能力。</w:t>
            </w:r>
          </w:p>
          <w:p w14:paraId="3592E2E7"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lastRenderedPageBreak/>
              <w:t>（2）</w:t>
            </w:r>
            <w:r w:rsidRPr="00BC4974">
              <w:rPr>
                <w:rFonts w:ascii="仿宋" w:eastAsia="仿宋" w:hAnsi="仿宋" w:hint="eastAsia"/>
                <w:sz w:val="28"/>
                <w:szCs w:val="28"/>
              </w:rPr>
              <w:tab/>
              <w:t>风险控制</w:t>
            </w:r>
          </w:p>
          <w:p w14:paraId="5F177595"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t>投资于场内的标准化黄金合约需严格控制合约价值持仓比例，合理使用杠杆水平，确保投资黄金的市场风险在可控范围之内。</w:t>
            </w:r>
          </w:p>
          <w:p w14:paraId="2206C1C7"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t>具体而言，单一产品投资原油期货、沪铜期货、沪铝期货、沪银期货、豆粕期货、玉米期货，以合约价值计量分别不超过净资产的20%，同时，单一产品投资上述6种商品期货以净风险敞口计量分别不超过资产净值的10%。</w:t>
            </w:r>
          </w:p>
          <w:p w14:paraId="7844B14D"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t>单一产品以合约价值（包括黄金现货合约）计量的黄金合约不超过单一产品资产净值的40%；对于以套期保值为目的的黄金交易，可以不在市场风险限额的管理范围之内，但其市场风险净敞口占单一产品资产净值的比例不高于40%；对于以投机获利为目的的黄金交易，以黄金合约价值计量的市场风险限额不超过单一产品资产净值的30%，同时，其市场风险净敞口占单一资产净值的比例不高于20%。</w:t>
            </w:r>
          </w:p>
          <w:p w14:paraId="7E52D825"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t xml:space="preserve"> 对于商品及衍生品类的理财产品可以根据产品说明书的相关规定投资原油期货、沪铜期货、沪铝期货、沪银期货、豆粕期货、玉米期货、以及场内标准化黄金合约。</w:t>
            </w:r>
          </w:p>
          <w:p w14:paraId="4B3B0957"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t>（3）</w:t>
            </w:r>
            <w:r w:rsidRPr="00BC4974">
              <w:rPr>
                <w:rFonts w:ascii="仿宋" w:eastAsia="仿宋" w:hAnsi="仿宋" w:hint="eastAsia"/>
                <w:sz w:val="28"/>
                <w:szCs w:val="28"/>
              </w:rPr>
              <w:tab/>
              <w:t>投资性质</w:t>
            </w:r>
          </w:p>
          <w:p w14:paraId="32E218DC"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t>场内的商品期货和标准化黄金合约投资即以套期保值为目的，也可以投机获利为目的。其中，以套期保值为目的投资策略，不受市场风险敞口限额的限制；而以投机获利为目的的投资策略，需要在市场风险敞口限额之内，并在策略执行之后，设置止损点，避免市场风险变化所导致的损失。</w:t>
            </w:r>
          </w:p>
          <w:p w14:paraId="26E089FD"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t>以套期保值为目的进行的原油期货、沪铜期货、沪铝期货、沪银期货、豆粕期货、玉米期货投资合计合约价值分别不超过20亿；以投机获利为目的进行的原油期货、沪铜期货、沪铝期货、沪银期货、豆粕期货、玉米期货投资合计合约价值规模分别不超过10亿。</w:t>
            </w:r>
          </w:p>
          <w:p w14:paraId="0F1A6F21" w14:textId="77777777" w:rsidR="00BC4974" w:rsidRPr="00BC4974" w:rsidRDefault="00BC4974" w:rsidP="00BC4974">
            <w:pPr>
              <w:ind w:firstLineChars="200" w:firstLine="560"/>
              <w:rPr>
                <w:rFonts w:ascii="仿宋" w:eastAsia="仿宋" w:hAnsi="仿宋" w:hint="eastAsia"/>
                <w:sz w:val="28"/>
                <w:szCs w:val="28"/>
              </w:rPr>
            </w:pPr>
            <w:r w:rsidRPr="00BC4974">
              <w:rPr>
                <w:rFonts w:ascii="仿宋" w:eastAsia="仿宋" w:hAnsi="仿宋" w:hint="eastAsia"/>
                <w:sz w:val="28"/>
                <w:szCs w:val="28"/>
              </w:rPr>
              <w:lastRenderedPageBreak/>
              <w:t>以套期保值为目的进行的场内标准化黄金投资合计合约价值规模不超过20个亿；以投机获利为目的进行的场内标准化黄金投资合计合约价值规模不超过10个亿。</w:t>
            </w:r>
          </w:p>
          <w:p w14:paraId="7B2354C2" w14:textId="0425EBA8" w:rsidR="006157D6" w:rsidRDefault="00BC4974" w:rsidP="00BC4974">
            <w:pPr>
              <w:ind w:firstLineChars="200" w:firstLine="560"/>
              <w:rPr>
                <w:rFonts w:ascii="仿宋_GB2312" w:eastAsia="仿宋_GB2312" w:hAnsi="仿宋" w:cs="仿宋"/>
                <w:sz w:val="24"/>
              </w:rPr>
            </w:pPr>
            <w:r w:rsidRPr="00BC4974">
              <w:rPr>
                <w:rFonts w:ascii="仿宋" w:eastAsia="仿宋" w:hAnsi="仿宋" w:hint="eastAsia"/>
                <w:sz w:val="28"/>
                <w:szCs w:val="28"/>
              </w:rPr>
              <w:t>请高管层投资决策委员会审批标准化黄金现货合约及衍生品入库申请。</w:t>
            </w:r>
          </w:p>
        </w:tc>
      </w:tr>
      <w:tr w:rsidR="006157D6" w14:paraId="258C3D04" w14:textId="77777777">
        <w:trPr>
          <w:trHeight w:val="555"/>
          <w:jc w:val="center"/>
        </w:trPr>
        <w:tc>
          <w:tcPr>
            <w:tcW w:w="10720" w:type="dxa"/>
            <w:gridSpan w:val="5"/>
            <w:shd w:val="clear" w:color="auto" w:fill="F1F1F1"/>
            <w:vAlign w:val="center"/>
          </w:tcPr>
          <w:p w14:paraId="27132C03" w14:textId="77777777" w:rsidR="006157D6" w:rsidRDefault="00C42D36">
            <w:pPr>
              <w:jc w:val="center"/>
              <w:rPr>
                <w:rFonts w:ascii="仿宋_GB2312" w:eastAsia="仿宋_GB2312" w:hAnsi="仿宋" w:cs="仿宋"/>
                <w:sz w:val="24"/>
              </w:rPr>
            </w:pPr>
            <w:r>
              <w:rPr>
                <w:rFonts w:ascii="仿宋_GB2312" w:eastAsia="仿宋_GB2312" w:hAnsi="仿宋" w:cs="仿宋" w:hint="eastAsia"/>
                <w:b/>
                <w:bCs/>
                <w:sz w:val="24"/>
              </w:rPr>
              <w:lastRenderedPageBreak/>
              <w:t>研究员评级情况分析</w:t>
            </w:r>
          </w:p>
        </w:tc>
      </w:tr>
      <w:tr w:rsidR="00577846" w14:paraId="000DD769" w14:textId="77777777">
        <w:trPr>
          <w:jc w:val="center"/>
        </w:trPr>
        <w:tc>
          <w:tcPr>
            <w:tcW w:w="10720" w:type="dxa"/>
            <w:gridSpan w:val="5"/>
            <w:vAlign w:val="center"/>
          </w:tcPr>
          <w:p w14:paraId="562ECDF1" w14:textId="3DCE3504" w:rsidR="00577846" w:rsidRDefault="00577846" w:rsidP="00577846">
            <w:pPr>
              <w:ind w:firstLineChars="200" w:firstLine="560"/>
              <w:rPr>
                <w:rFonts w:ascii="仿宋" w:eastAsia="仿宋" w:hAnsi="仿宋"/>
                <w:sz w:val="28"/>
                <w:szCs w:val="28"/>
              </w:rPr>
            </w:pPr>
          </w:p>
          <w:p w14:paraId="62A8C802" w14:textId="77777777" w:rsidR="00577846" w:rsidRDefault="00577846" w:rsidP="00577846">
            <w:pPr>
              <w:ind w:firstLineChars="200" w:firstLine="480"/>
              <w:rPr>
                <w:rFonts w:ascii="仿宋_GB2312" w:eastAsia="仿宋_GB2312" w:hAnsi="仿宋" w:cs="仿宋"/>
                <w:sz w:val="24"/>
                <w:szCs w:val="20"/>
              </w:rPr>
            </w:pPr>
          </w:p>
        </w:tc>
      </w:tr>
      <w:tr w:rsidR="00577846" w14:paraId="56289BAF" w14:textId="77777777">
        <w:trPr>
          <w:trHeight w:val="1767"/>
          <w:jc w:val="center"/>
        </w:trPr>
        <w:tc>
          <w:tcPr>
            <w:tcW w:w="2428" w:type="dxa"/>
            <w:gridSpan w:val="2"/>
            <w:vAlign w:val="center"/>
          </w:tcPr>
          <w:p w14:paraId="2E0D9317" w14:textId="77777777" w:rsidR="00577846" w:rsidRDefault="00577846" w:rsidP="00577846">
            <w:pPr>
              <w:wordWrap w:val="0"/>
              <w:adjustRightInd w:val="0"/>
              <w:spacing w:line="276" w:lineRule="auto"/>
              <w:rPr>
                <w:rFonts w:ascii="仿宋_GB2312" w:eastAsia="仿宋_GB2312" w:hAnsi="仿宋" w:cs="仿宋"/>
                <w:b/>
                <w:bCs/>
                <w:sz w:val="28"/>
                <w:szCs w:val="28"/>
              </w:rPr>
            </w:pPr>
            <w:r>
              <w:rPr>
                <w:rFonts w:ascii="仿宋_GB2312" w:eastAsia="仿宋_GB2312" w:hAnsi="仿宋" w:cs="仿宋" w:hint="eastAsia"/>
                <w:b/>
                <w:sz w:val="24"/>
              </w:rPr>
              <w:t>首席投资官意见</w:t>
            </w:r>
          </w:p>
        </w:tc>
        <w:tc>
          <w:tcPr>
            <w:tcW w:w="8292" w:type="dxa"/>
            <w:gridSpan w:val="3"/>
            <w:vAlign w:val="center"/>
          </w:tcPr>
          <w:p w14:paraId="59D098D2" w14:textId="77777777" w:rsidR="00577846" w:rsidRDefault="00577846" w:rsidP="00577846">
            <w:pPr>
              <w:spacing w:line="288" w:lineRule="auto"/>
              <w:ind w:firstLineChars="2500" w:firstLine="6000"/>
              <w:rPr>
                <w:rFonts w:ascii="仿宋_GB2312" w:eastAsia="仿宋_GB2312" w:hAnsi="仿宋" w:cs="仿宋"/>
                <w:color w:val="000000"/>
                <w:sz w:val="24"/>
                <w:shd w:val="clear" w:color="auto" w:fill="FFFFFF"/>
              </w:rPr>
            </w:pPr>
          </w:p>
          <w:p w14:paraId="328391FF" w14:textId="77777777" w:rsidR="00577846" w:rsidRDefault="00577846" w:rsidP="00577846">
            <w:pPr>
              <w:spacing w:line="288" w:lineRule="auto"/>
              <w:ind w:firstLineChars="2500" w:firstLine="6000"/>
              <w:rPr>
                <w:rFonts w:ascii="仿宋_GB2312" w:eastAsia="仿宋_GB2312" w:hAnsi="仿宋" w:cs="仿宋"/>
                <w:color w:val="000000"/>
                <w:sz w:val="24"/>
                <w:shd w:val="clear" w:color="auto" w:fill="FFFFFF"/>
              </w:rPr>
            </w:pPr>
          </w:p>
          <w:p w14:paraId="7C84B814" w14:textId="77777777" w:rsidR="00577846" w:rsidRDefault="00577846" w:rsidP="0057784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0A96CC4F" w14:textId="77777777" w:rsidR="00577846" w:rsidRDefault="00577846" w:rsidP="00577846">
            <w:pPr>
              <w:spacing w:line="288" w:lineRule="auto"/>
              <w:ind w:firstLineChars="2500" w:firstLine="6000"/>
              <w:rPr>
                <w:rFonts w:ascii="仿宋_GB2312" w:eastAsia="仿宋_GB2312" w:hAnsi="仿宋" w:cs="仿宋"/>
                <w:b/>
                <w:bCs/>
                <w:sz w:val="28"/>
                <w:szCs w:val="28"/>
              </w:rPr>
            </w:pPr>
            <w:r>
              <w:rPr>
                <w:rFonts w:ascii="仿宋_GB2312" w:eastAsia="仿宋_GB2312" w:hAnsi="仿宋" w:cs="仿宋" w:hint="eastAsia"/>
                <w:color w:val="000000"/>
                <w:sz w:val="24"/>
                <w:shd w:val="clear" w:color="auto" w:fill="FFFFFF"/>
              </w:rPr>
              <w:t xml:space="preserve">日期： </w:t>
            </w:r>
          </w:p>
        </w:tc>
      </w:tr>
    </w:tbl>
    <w:p w14:paraId="50D4245B" w14:textId="77777777" w:rsidR="006157D6" w:rsidRDefault="00C42D36">
      <w:r>
        <w:rPr>
          <w:rFonts w:ascii="楷体" w:eastAsia="楷体" w:hAnsi="楷体" w:hint="eastAsia"/>
          <w:b/>
          <w:sz w:val="24"/>
        </w:rPr>
        <w:t>备注：前述流程审批完毕后，报公司投决会审批。</w:t>
      </w:r>
    </w:p>
    <w:sectPr w:rsidR="006157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9B4E7" w14:textId="77777777" w:rsidR="00C01D44" w:rsidRDefault="00C01D44" w:rsidP="0005707E">
      <w:pPr>
        <w:spacing w:line="240" w:lineRule="auto"/>
      </w:pPr>
      <w:r>
        <w:separator/>
      </w:r>
    </w:p>
  </w:endnote>
  <w:endnote w:type="continuationSeparator" w:id="0">
    <w:p w14:paraId="06A46299" w14:textId="77777777" w:rsidR="00C01D44" w:rsidRDefault="00C01D44" w:rsidP="00057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98B16" w14:textId="77777777" w:rsidR="00C01D44" w:rsidRDefault="00C01D44" w:rsidP="0005707E">
      <w:pPr>
        <w:spacing w:line="240" w:lineRule="auto"/>
      </w:pPr>
      <w:r>
        <w:separator/>
      </w:r>
    </w:p>
  </w:footnote>
  <w:footnote w:type="continuationSeparator" w:id="0">
    <w:p w14:paraId="2A69C104" w14:textId="77777777" w:rsidR="00C01D44" w:rsidRDefault="00C01D44" w:rsidP="000570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FF2"/>
    <w:rsid w:val="00006CA3"/>
    <w:rsid w:val="0005707E"/>
    <w:rsid w:val="00166999"/>
    <w:rsid w:val="00203551"/>
    <w:rsid w:val="002D3055"/>
    <w:rsid w:val="00343E5C"/>
    <w:rsid w:val="003D4413"/>
    <w:rsid w:val="00575EC8"/>
    <w:rsid w:val="00577846"/>
    <w:rsid w:val="005A54F4"/>
    <w:rsid w:val="006157D6"/>
    <w:rsid w:val="00634332"/>
    <w:rsid w:val="00677FF2"/>
    <w:rsid w:val="0076245C"/>
    <w:rsid w:val="00920855"/>
    <w:rsid w:val="00B37B1B"/>
    <w:rsid w:val="00B40977"/>
    <w:rsid w:val="00BC4974"/>
    <w:rsid w:val="00C01D44"/>
    <w:rsid w:val="00C42D36"/>
    <w:rsid w:val="00DE2037"/>
    <w:rsid w:val="00EA2B97"/>
    <w:rsid w:val="00EB3629"/>
    <w:rsid w:val="0D30756C"/>
    <w:rsid w:val="2FD12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8EB1A"/>
  <w15:docId w15:val="{658B9CDB-B750-42A1-98C2-BD43E2A0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0" w:lineRule="atLeast"/>
      <w:jc w:val="both"/>
    </w:pPr>
    <w:rPr>
      <w:rFonts w:ascii="Calibri" w:eastAsia="宋体" w:hAnsi="Calibri" w:cs="Times New Roman"/>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spacing w:line="240" w:lineRule="atLeast"/>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Pr>
      <w:rFonts w:ascii="Calibri" w:eastAsia="宋体" w:hAnsi="Calibri" w:cs="Times New Roman"/>
      <w:sz w:val="18"/>
      <w:szCs w:val="18"/>
    </w:rPr>
  </w:style>
  <w:style w:type="character" w:customStyle="1" w:styleId="FooterChar">
    <w:name w:val="Footer Char"/>
    <w:basedOn w:val="DefaultParagraphFont"/>
    <w:link w:val="Footer"/>
    <w:uiPriority w:val="99"/>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Xinyu Zhou</cp:lastModifiedBy>
  <cp:revision>3</cp:revision>
  <dcterms:created xsi:type="dcterms:W3CDTF">2021-12-03T03:34:00Z</dcterms:created>
  <dcterms:modified xsi:type="dcterms:W3CDTF">2021-12-03T03:36:00Z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