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A93AC" w14:textId="77777777" w:rsidR="006157D6" w:rsidRDefault="00C42D36">
      <w:pPr>
        <w:jc w:val="center"/>
        <w:rPr>
          <w:rFonts w:ascii="仿宋_GB2312" w:eastAsia="仿宋_GB2312" w:hAnsi="仿宋" w:cs="仿宋"/>
          <w:b/>
          <w:bCs/>
          <w:sz w:val="30"/>
          <w:szCs w:val="30"/>
        </w:rPr>
      </w:pPr>
      <w:r>
        <w:rPr>
          <w:rFonts w:ascii="仿宋_GB2312" w:eastAsia="仿宋_GB2312" w:hAnsi="仿宋" w:cs="仿宋" w:hint="eastAsia"/>
          <w:b/>
          <w:bCs/>
          <w:sz w:val="30"/>
          <w:szCs w:val="30"/>
        </w:rPr>
        <w:t>标准化属性业务入池审批单</w:t>
      </w:r>
    </w:p>
    <w:p w14:paraId="2F3FF1BF" w14:textId="77777777" w:rsidR="006157D6" w:rsidRDefault="006157D6">
      <w:pPr>
        <w:spacing w:line="276" w:lineRule="auto"/>
        <w:ind w:leftChars="-295" w:left="3" w:right="964" w:hangingChars="258" w:hanging="622"/>
        <w:jc w:val="left"/>
        <w:rPr>
          <w:rFonts w:ascii="仿宋_GB2312" w:eastAsia="仿宋_GB2312"/>
          <w:b/>
          <w:sz w:val="24"/>
        </w:rPr>
      </w:pPr>
    </w:p>
    <w:p w14:paraId="4329FFB5" w14:textId="77777777" w:rsidR="006157D6" w:rsidRDefault="00C42D36">
      <w:pPr>
        <w:spacing w:line="276" w:lineRule="auto"/>
        <w:ind w:leftChars="-295" w:left="3" w:right="964" w:hangingChars="258" w:hanging="622"/>
        <w:jc w:val="left"/>
        <w:rPr>
          <w:rFonts w:ascii="仿宋_GB2312" w:eastAsia="仿宋_GB2312"/>
          <w:b/>
          <w:sz w:val="24"/>
        </w:rPr>
      </w:pPr>
      <w:r>
        <w:rPr>
          <w:rFonts w:ascii="仿宋_GB2312" w:eastAsia="仿宋_GB2312" w:hint="eastAsia"/>
          <w:b/>
          <w:sz w:val="24"/>
        </w:rPr>
        <w:t>批复日期：</w:t>
      </w:r>
      <w:bookmarkStart w:id="0" w:name="OLE_LINK1"/>
      <w:r>
        <w:rPr>
          <w:rFonts w:ascii="仿宋_GB2312" w:eastAsia="仿宋_GB2312" w:hint="eastAsia"/>
          <w:b/>
          <w:sz w:val="24"/>
        </w:rPr>
        <w:t>20</w:t>
      </w:r>
      <w:r>
        <w:rPr>
          <w:rFonts w:ascii="仿宋_GB2312" w:eastAsia="仿宋_GB2312"/>
          <w:b/>
          <w:sz w:val="24"/>
        </w:rPr>
        <w:t>20</w:t>
      </w:r>
      <w:r>
        <w:rPr>
          <w:rFonts w:ascii="仿宋_GB2312" w:eastAsia="仿宋_GB2312" w:hint="eastAsia"/>
          <w:b/>
          <w:sz w:val="24"/>
        </w:rPr>
        <w:t>年</w:t>
      </w:r>
      <w:r w:rsidR="005A54F4">
        <w:rPr>
          <w:rFonts w:ascii="仿宋_GB2312" w:eastAsia="仿宋_GB2312"/>
          <w:b/>
          <w:sz w:val="24"/>
        </w:rPr>
        <w:t>10</w:t>
      </w:r>
      <w:r>
        <w:rPr>
          <w:rFonts w:ascii="仿宋_GB2312" w:eastAsia="仿宋_GB2312" w:hint="eastAsia"/>
          <w:b/>
          <w:sz w:val="24"/>
        </w:rPr>
        <w:t>月</w:t>
      </w:r>
      <w:r w:rsidR="005A54F4">
        <w:rPr>
          <w:rFonts w:ascii="仿宋_GB2312" w:eastAsia="仿宋_GB2312"/>
          <w:b/>
          <w:sz w:val="24"/>
        </w:rPr>
        <w:t>13</w:t>
      </w:r>
      <w:r>
        <w:rPr>
          <w:rFonts w:ascii="仿宋_GB2312" w:eastAsia="仿宋_GB2312" w:hint="eastAsia"/>
          <w:b/>
          <w:sz w:val="24"/>
        </w:rPr>
        <w:t xml:space="preserve">日 </w:t>
      </w:r>
      <w:bookmarkEnd w:id="0"/>
    </w:p>
    <w:tbl>
      <w:tblPr>
        <w:tblW w:w="10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9"/>
        <w:gridCol w:w="489"/>
        <w:gridCol w:w="3663"/>
        <w:gridCol w:w="1697"/>
        <w:gridCol w:w="2932"/>
      </w:tblGrid>
      <w:tr w:rsidR="006157D6" w14:paraId="65C445EC" w14:textId="77777777">
        <w:trPr>
          <w:trHeight w:val="670"/>
          <w:jc w:val="center"/>
        </w:trPr>
        <w:tc>
          <w:tcPr>
            <w:tcW w:w="10720" w:type="dxa"/>
            <w:gridSpan w:val="5"/>
            <w:shd w:val="clear" w:color="auto" w:fill="F2F2F2"/>
            <w:vAlign w:val="center"/>
          </w:tcPr>
          <w:p w14:paraId="3D439BFE" w14:textId="77777777" w:rsidR="006157D6" w:rsidRDefault="00C42D36">
            <w:pPr>
              <w:spacing w:line="276" w:lineRule="auto"/>
              <w:jc w:val="center"/>
              <w:rPr>
                <w:rFonts w:ascii="仿宋_GB2312" w:eastAsia="仿宋_GB2312" w:hAnsi="仿宋" w:cs="仿宋"/>
                <w:sz w:val="24"/>
              </w:rPr>
            </w:pPr>
            <w:r>
              <w:rPr>
                <w:rFonts w:ascii="仿宋_GB2312" w:eastAsia="仿宋_GB2312" w:hAnsi="仿宋" w:cs="仿宋" w:hint="eastAsia"/>
                <w:b/>
                <w:bCs/>
                <w:sz w:val="30"/>
                <w:szCs w:val="30"/>
              </w:rPr>
              <w:t>入池申请信息</w:t>
            </w:r>
          </w:p>
        </w:tc>
      </w:tr>
      <w:tr w:rsidR="006157D6" w14:paraId="38FDB1BA" w14:textId="77777777" w:rsidTr="005A54F4">
        <w:trPr>
          <w:trHeight w:val="406"/>
          <w:jc w:val="center"/>
        </w:trPr>
        <w:tc>
          <w:tcPr>
            <w:tcW w:w="1939" w:type="dxa"/>
            <w:vAlign w:val="center"/>
          </w:tcPr>
          <w:p w14:paraId="35BB6918" w14:textId="77777777" w:rsidR="006157D6" w:rsidRDefault="00C42D36">
            <w:pPr>
              <w:spacing w:line="276" w:lineRule="auto"/>
              <w:jc w:val="center"/>
              <w:rPr>
                <w:rFonts w:ascii="仿宋_GB2312" w:eastAsia="仿宋_GB2312" w:hAnsi="仿宋" w:cs="仿宋"/>
                <w:b/>
                <w:sz w:val="24"/>
              </w:rPr>
            </w:pPr>
            <w:r>
              <w:rPr>
                <w:rFonts w:ascii="仿宋_GB2312" w:eastAsia="仿宋_GB2312" w:hAnsi="仿宋" w:cs="仿宋" w:hint="eastAsia"/>
                <w:b/>
                <w:sz w:val="24"/>
              </w:rPr>
              <w:t>标的名称</w:t>
            </w:r>
          </w:p>
        </w:tc>
        <w:tc>
          <w:tcPr>
            <w:tcW w:w="4152" w:type="dxa"/>
            <w:gridSpan w:val="2"/>
            <w:vAlign w:val="center"/>
          </w:tcPr>
          <w:p w14:paraId="71BB88F2" w14:textId="77777777" w:rsidR="006157D6" w:rsidRPr="005A54F4" w:rsidRDefault="0005707E">
            <w:pPr>
              <w:spacing w:line="288" w:lineRule="auto"/>
              <w:rPr>
                <w:rFonts w:ascii="仿宋_GB2312" w:eastAsia="仿宋_GB2312" w:hAnsi="仿宋" w:cs="仿宋"/>
                <w:sz w:val="24"/>
              </w:rPr>
            </w:pPr>
            <w:r w:rsidRPr="0005707E">
              <w:rPr>
                <w:rFonts w:ascii="仿宋_GB2312" w:eastAsia="仿宋_GB2312" w:hAnsi="仿宋" w:cs="仿宋" w:hint="eastAsia"/>
                <w:sz w:val="24"/>
              </w:rPr>
              <w:t>阳光“青”系列场外衍生品投资（定开型产品）</w:t>
            </w:r>
          </w:p>
        </w:tc>
        <w:tc>
          <w:tcPr>
            <w:tcW w:w="1697" w:type="dxa"/>
            <w:vAlign w:val="center"/>
          </w:tcPr>
          <w:p w14:paraId="428193D7" w14:textId="77777777" w:rsidR="006157D6" w:rsidRDefault="00C42D36">
            <w:pPr>
              <w:spacing w:line="288" w:lineRule="auto"/>
              <w:jc w:val="center"/>
              <w:rPr>
                <w:rFonts w:ascii="仿宋_GB2312" w:eastAsia="仿宋_GB2312" w:hAnsi="仿宋" w:cs="仿宋"/>
                <w:sz w:val="24"/>
              </w:rPr>
            </w:pPr>
            <w:proofErr w:type="gramStart"/>
            <w:r>
              <w:rPr>
                <w:rFonts w:ascii="仿宋_GB2312" w:eastAsia="仿宋_GB2312" w:hAnsi="仿宋" w:cs="仿宋" w:hint="eastAsia"/>
                <w:b/>
                <w:sz w:val="24"/>
              </w:rPr>
              <w:t>内评等级</w:t>
            </w:r>
            <w:proofErr w:type="gramEnd"/>
          </w:p>
        </w:tc>
        <w:tc>
          <w:tcPr>
            <w:tcW w:w="2932" w:type="dxa"/>
            <w:vAlign w:val="center"/>
          </w:tcPr>
          <w:p w14:paraId="0011768D" w14:textId="77777777" w:rsidR="006157D6" w:rsidRDefault="00C42D36">
            <w:pPr>
              <w:spacing w:line="288" w:lineRule="auto"/>
              <w:rPr>
                <w:rFonts w:ascii="仿宋_GB2312" w:eastAsia="仿宋_GB2312" w:hAnsi="仿宋" w:cs="仿宋"/>
                <w:sz w:val="24"/>
              </w:rPr>
            </w:pPr>
            <w:r>
              <w:rPr>
                <w:rFonts w:ascii="仿宋_GB2312" w:eastAsia="仿宋_GB2312" w:hAnsi="仿宋" w:cs="仿宋"/>
                <w:sz w:val="24"/>
              </w:rPr>
              <w:t>中等</w:t>
            </w:r>
          </w:p>
        </w:tc>
      </w:tr>
      <w:tr w:rsidR="006157D6" w14:paraId="5FBC4B9E" w14:textId="77777777" w:rsidTr="005A54F4">
        <w:trPr>
          <w:trHeight w:val="406"/>
          <w:jc w:val="center"/>
        </w:trPr>
        <w:tc>
          <w:tcPr>
            <w:tcW w:w="1939" w:type="dxa"/>
            <w:vAlign w:val="center"/>
          </w:tcPr>
          <w:p w14:paraId="7797F061" w14:textId="77777777" w:rsidR="006157D6" w:rsidRDefault="00C42D36">
            <w:pPr>
              <w:spacing w:line="276" w:lineRule="auto"/>
              <w:jc w:val="center"/>
              <w:rPr>
                <w:rFonts w:ascii="仿宋_GB2312" w:eastAsia="仿宋_GB2312" w:hAnsi="仿宋" w:cs="仿宋"/>
                <w:b/>
                <w:sz w:val="24"/>
              </w:rPr>
            </w:pPr>
            <w:r>
              <w:rPr>
                <w:rFonts w:ascii="仿宋_GB2312" w:eastAsia="仿宋_GB2312" w:hAnsi="仿宋" w:cs="仿宋" w:hint="eastAsia"/>
                <w:b/>
                <w:sz w:val="24"/>
              </w:rPr>
              <w:t>发起部门</w:t>
            </w:r>
          </w:p>
        </w:tc>
        <w:tc>
          <w:tcPr>
            <w:tcW w:w="4152" w:type="dxa"/>
            <w:gridSpan w:val="2"/>
            <w:vAlign w:val="center"/>
          </w:tcPr>
          <w:p w14:paraId="1AEDAF7A" w14:textId="77777777" w:rsidR="006157D6" w:rsidRDefault="00C42D36">
            <w:pPr>
              <w:spacing w:line="288" w:lineRule="auto"/>
              <w:rPr>
                <w:rFonts w:ascii="仿宋_GB2312" w:eastAsia="仿宋_GB2312" w:hAnsi="仿宋" w:cs="仿宋"/>
                <w:sz w:val="24"/>
              </w:rPr>
            </w:pPr>
            <w:r>
              <w:rPr>
                <w:rFonts w:ascii="仿宋_GB2312" w:eastAsia="仿宋_GB2312" w:hAnsi="仿宋" w:cs="仿宋" w:hint="eastAsia"/>
                <w:sz w:val="24"/>
              </w:rPr>
              <w:t>股票投资部</w:t>
            </w:r>
          </w:p>
        </w:tc>
        <w:tc>
          <w:tcPr>
            <w:tcW w:w="1697" w:type="dxa"/>
            <w:vAlign w:val="center"/>
          </w:tcPr>
          <w:p w14:paraId="2B71A713" w14:textId="77777777" w:rsidR="006157D6" w:rsidRDefault="00C42D36">
            <w:pPr>
              <w:spacing w:line="288" w:lineRule="auto"/>
              <w:jc w:val="center"/>
              <w:rPr>
                <w:rFonts w:ascii="仿宋_GB2312" w:eastAsia="仿宋_GB2312" w:hAnsi="仿宋" w:cs="仿宋"/>
                <w:sz w:val="24"/>
              </w:rPr>
            </w:pPr>
            <w:r>
              <w:rPr>
                <w:rFonts w:ascii="仿宋_GB2312" w:eastAsia="仿宋_GB2312" w:hAnsi="仿宋" w:cs="仿宋" w:hint="eastAsia"/>
                <w:b/>
                <w:sz w:val="24"/>
              </w:rPr>
              <w:t>发起经办意见</w:t>
            </w:r>
          </w:p>
        </w:tc>
        <w:tc>
          <w:tcPr>
            <w:tcW w:w="2932" w:type="dxa"/>
            <w:vAlign w:val="center"/>
          </w:tcPr>
          <w:p w14:paraId="42234FE1" w14:textId="77777777" w:rsidR="006157D6" w:rsidRDefault="00C42D36">
            <w:pPr>
              <w:spacing w:line="288" w:lineRule="auto"/>
              <w:rPr>
                <w:rFonts w:ascii="仿宋_GB2312" w:eastAsia="仿宋_GB2312" w:hAnsi="仿宋" w:cs="仿宋"/>
                <w:sz w:val="24"/>
              </w:rPr>
            </w:pPr>
            <w:r>
              <w:rPr>
                <w:rFonts w:ascii="仿宋_GB2312" w:eastAsia="仿宋_GB2312" w:hAnsi="仿宋" w:cs="仿宋"/>
                <w:sz w:val="24"/>
              </w:rPr>
              <w:t>同意</w:t>
            </w:r>
          </w:p>
        </w:tc>
      </w:tr>
      <w:tr w:rsidR="006157D6" w14:paraId="342EEC36" w14:textId="77777777" w:rsidTr="005A54F4">
        <w:trPr>
          <w:trHeight w:val="406"/>
          <w:jc w:val="center"/>
        </w:trPr>
        <w:tc>
          <w:tcPr>
            <w:tcW w:w="1939" w:type="dxa"/>
            <w:vMerge w:val="restart"/>
            <w:vAlign w:val="center"/>
          </w:tcPr>
          <w:p w14:paraId="55ADE748" w14:textId="77777777" w:rsidR="006157D6" w:rsidRDefault="00C42D36">
            <w:pPr>
              <w:jc w:val="left"/>
              <w:rPr>
                <w:rFonts w:ascii="华文细黑" w:eastAsia="华文细黑" w:hAnsi="华文细黑" w:cs="华文细黑"/>
              </w:rPr>
            </w:pPr>
            <w:r>
              <w:rPr>
                <w:rFonts w:ascii="华文细黑" w:eastAsia="华文细黑" w:hAnsi="华文细黑" w:cs="华文细黑" w:hint="eastAsia"/>
              </w:rPr>
              <w:t>是否已申领占用单一法人客户信用限额（A、B类业务适用）</w:t>
            </w:r>
          </w:p>
        </w:tc>
        <w:tc>
          <w:tcPr>
            <w:tcW w:w="4152" w:type="dxa"/>
            <w:gridSpan w:val="2"/>
            <w:vAlign w:val="center"/>
          </w:tcPr>
          <w:p w14:paraId="0B8E8ACE" w14:textId="77777777" w:rsidR="006157D6" w:rsidRDefault="00C42D36">
            <w:pPr>
              <w:jc w:val="center"/>
              <w:rPr>
                <w:rFonts w:ascii="华文细黑" w:eastAsia="华文细黑" w:hAnsi="华文细黑" w:cs="华文细黑"/>
              </w:rPr>
            </w:pPr>
            <w:r>
              <w:rPr>
                <w:rFonts w:ascii="华文细黑" w:eastAsia="华文细黑" w:hAnsi="华文细黑" w:cs="华文细黑" w:hint="eastAsia"/>
              </w:rPr>
              <w:t>是</w:t>
            </w:r>
            <w:r>
              <w:rPr>
                <w:rFonts w:ascii="仿宋_GB2312" w:eastAsia="仿宋_GB2312" w:hAnsi="仿宋" w:cs="仿宋" w:hint="eastAsia"/>
                <w:sz w:val="32"/>
                <w:szCs w:val="32"/>
              </w:rPr>
              <w:sym w:font="Wingdings" w:char="F0A8"/>
            </w:r>
          </w:p>
        </w:tc>
        <w:tc>
          <w:tcPr>
            <w:tcW w:w="4629" w:type="dxa"/>
            <w:gridSpan w:val="2"/>
            <w:vAlign w:val="center"/>
          </w:tcPr>
          <w:p w14:paraId="766FA58C" w14:textId="77777777" w:rsidR="006157D6" w:rsidRDefault="00C42D36">
            <w:pPr>
              <w:jc w:val="center"/>
              <w:rPr>
                <w:rFonts w:ascii="华文细黑" w:eastAsia="华文细黑" w:hAnsi="华文细黑" w:cs="华文细黑"/>
              </w:rPr>
            </w:pPr>
            <w:r>
              <w:rPr>
                <w:rFonts w:ascii="华文细黑" w:eastAsia="华文细黑" w:hAnsi="华文细黑" w:cs="华文细黑" w:hint="eastAsia"/>
              </w:rPr>
              <w:t>否</w:t>
            </w:r>
            <w:r>
              <w:rPr>
                <w:rFonts w:ascii="仿宋_GB2312" w:eastAsia="仿宋_GB2312" w:hAnsi="仿宋" w:cs="仿宋" w:hint="eastAsia"/>
                <w:sz w:val="32"/>
                <w:szCs w:val="32"/>
              </w:rPr>
              <w:sym w:font="Wingdings" w:char="F0A8"/>
            </w:r>
          </w:p>
        </w:tc>
      </w:tr>
      <w:tr w:rsidR="006157D6" w14:paraId="362B76B4" w14:textId="77777777" w:rsidTr="005A54F4">
        <w:trPr>
          <w:trHeight w:val="406"/>
          <w:jc w:val="center"/>
        </w:trPr>
        <w:tc>
          <w:tcPr>
            <w:tcW w:w="1939" w:type="dxa"/>
            <w:vMerge/>
            <w:vAlign w:val="center"/>
          </w:tcPr>
          <w:p w14:paraId="0728B34E" w14:textId="77777777" w:rsidR="006157D6" w:rsidRDefault="006157D6">
            <w:pPr>
              <w:spacing w:line="276" w:lineRule="auto"/>
              <w:jc w:val="center"/>
              <w:rPr>
                <w:rFonts w:ascii="仿宋_GB2312" w:eastAsia="仿宋_GB2312" w:hAnsi="仿宋" w:cs="仿宋"/>
                <w:b/>
                <w:sz w:val="24"/>
              </w:rPr>
            </w:pPr>
          </w:p>
        </w:tc>
        <w:tc>
          <w:tcPr>
            <w:tcW w:w="4152" w:type="dxa"/>
            <w:gridSpan w:val="2"/>
          </w:tcPr>
          <w:p w14:paraId="3F736917" w14:textId="77777777" w:rsidR="006157D6" w:rsidRDefault="00C42D36">
            <w:pPr>
              <w:spacing w:line="288" w:lineRule="auto"/>
              <w:rPr>
                <w:rFonts w:ascii="仿宋_GB2312" w:eastAsia="仿宋_GB2312" w:hAnsi="仿宋" w:cs="仿宋"/>
                <w:sz w:val="24"/>
              </w:rPr>
            </w:pPr>
            <w:r>
              <w:rPr>
                <w:rFonts w:ascii="仿宋_GB2312" w:eastAsia="仿宋_GB2312" w:hAnsi="仿宋" w:cs="仿宋"/>
                <w:sz w:val="24"/>
              </w:rPr>
              <w:t>不适用</w:t>
            </w:r>
          </w:p>
        </w:tc>
        <w:tc>
          <w:tcPr>
            <w:tcW w:w="4629" w:type="dxa"/>
            <w:gridSpan w:val="2"/>
          </w:tcPr>
          <w:p w14:paraId="49936235" w14:textId="77777777" w:rsidR="006157D6" w:rsidRDefault="006157D6">
            <w:pPr>
              <w:spacing w:line="288" w:lineRule="auto"/>
              <w:rPr>
                <w:rFonts w:ascii="仿宋_GB2312" w:eastAsia="仿宋_GB2312" w:hAnsi="仿宋" w:cs="仿宋"/>
                <w:sz w:val="24"/>
              </w:rPr>
            </w:pPr>
          </w:p>
        </w:tc>
      </w:tr>
      <w:tr w:rsidR="006157D6" w14:paraId="07408B03" w14:textId="77777777">
        <w:trPr>
          <w:trHeight w:val="406"/>
          <w:jc w:val="center"/>
        </w:trPr>
        <w:tc>
          <w:tcPr>
            <w:tcW w:w="1939" w:type="dxa"/>
            <w:vAlign w:val="center"/>
          </w:tcPr>
          <w:p w14:paraId="3C759D00" w14:textId="77777777" w:rsidR="006157D6" w:rsidRDefault="00C42D36">
            <w:pPr>
              <w:jc w:val="left"/>
              <w:rPr>
                <w:rFonts w:ascii="华文细黑" w:eastAsia="华文细黑" w:hAnsi="华文细黑" w:cs="华文细黑"/>
              </w:rPr>
            </w:pPr>
            <w:r>
              <w:rPr>
                <w:rFonts w:ascii="华文细黑" w:eastAsia="华文细黑" w:hAnsi="华文细黑" w:cs="华文细黑" w:hint="eastAsia"/>
              </w:rPr>
              <w:t>申报单</w:t>
            </w:r>
            <w:proofErr w:type="gramStart"/>
            <w:r>
              <w:rPr>
                <w:rFonts w:ascii="华文细黑" w:eastAsia="华文细黑" w:hAnsi="华文细黑" w:cs="华文细黑" w:hint="eastAsia"/>
              </w:rPr>
              <w:t>一</w:t>
            </w:r>
            <w:proofErr w:type="gramEnd"/>
            <w:r>
              <w:rPr>
                <w:rFonts w:ascii="华文细黑" w:eastAsia="华文细黑" w:hAnsi="华文细黑" w:cs="华文细黑" w:hint="eastAsia"/>
              </w:rPr>
              <w:t>法人客户信用限额情况（A、B类业务适用）</w:t>
            </w:r>
          </w:p>
        </w:tc>
        <w:tc>
          <w:tcPr>
            <w:tcW w:w="8781" w:type="dxa"/>
            <w:gridSpan w:val="4"/>
          </w:tcPr>
          <w:p w14:paraId="0714D907" w14:textId="77777777" w:rsidR="006157D6" w:rsidRDefault="00C42D36">
            <w:pPr>
              <w:spacing w:line="288" w:lineRule="auto"/>
              <w:rPr>
                <w:rFonts w:ascii="仿宋_GB2312" w:eastAsia="仿宋_GB2312" w:hAnsi="仿宋" w:cs="仿宋"/>
                <w:sz w:val="24"/>
              </w:rPr>
            </w:pPr>
            <w:r>
              <w:rPr>
                <w:rFonts w:ascii="仿宋_GB2312" w:eastAsia="仿宋_GB2312" w:hAnsi="仿宋" w:cs="仿宋" w:hint="eastAsia"/>
                <w:sz w:val="24"/>
              </w:rPr>
              <w:t>不适用</w:t>
            </w:r>
          </w:p>
          <w:p w14:paraId="45D694B8" w14:textId="77777777" w:rsidR="006157D6" w:rsidRDefault="006157D6">
            <w:pPr>
              <w:rPr>
                <w:rFonts w:ascii="楷体" w:eastAsia="楷体" w:hAnsi="楷体"/>
                <w:b/>
                <w:sz w:val="24"/>
              </w:rPr>
            </w:pPr>
          </w:p>
          <w:p w14:paraId="54143301" w14:textId="77777777" w:rsidR="006157D6" w:rsidRDefault="006157D6">
            <w:pPr>
              <w:rPr>
                <w:rFonts w:ascii="楷体" w:eastAsia="楷体" w:hAnsi="楷体"/>
                <w:b/>
                <w:sz w:val="24"/>
              </w:rPr>
            </w:pPr>
          </w:p>
          <w:p w14:paraId="25F5973D" w14:textId="77777777" w:rsidR="006157D6" w:rsidRDefault="006157D6">
            <w:pPr>
              <w:rPr>
                <w:rFonts w:ascii="楷体" w:eastAsia="楷体" w:hAnsi="楷体"/>
                <w:b/>
                <w:sz w:val="24"/>
              </w:rPr>
            </w:pPr>
          </w:p>
          <w:p w14:paraId="59B7CBE3" w14:textId="77777777" w:rsidR="006157D6" w:rsidRDefault="006157D6">
            <w:pPr>
              <w:rPr>
                <w:rFonts w:ascii="楷体" w:eastAsia="楷体" w:hAnsi="楷体"/>
                <w:b/>
                <w:sz w:val="24"/>
              </w:rPr>
            </w:pPr>
          </w:p>
          <w:p w14:paraId="7B159D4D" w14:textId="77777777" w:rsidR="006157D6" w:rsidRDefault="006157D6">
            <w:pPr>
              <w:rPr>
                <w:rFonts w:ascii="华文细黑" w:eastAsia="华文细黑" w:hAnsi="华文细黑" w:cs="华文细黑"/>
              </w:rPr>
            </w:pPr>
          </w:p>
        </w:tc>
      </w:tr>
      <w:tr w:rsidR="006157D6" w14:paraId="4C90F129" w14:textId="77777777">
        <w:trPr>
          <w:trHeight w:val="406"/>
          <w:jc w:val="center"/>
        </w:trPr>
        <w:tc>
          <w:tcPr>
            <w:tcW w:w="1939" w:type="dxa"/>
            <w:vAlign w:val="center"/>
          </w:tcPr>
          <w:p w14:paraId="5221A544" w14:textId="77777777" w:rsidR="006157D6" w:rsidRDefault="00C42D36">
            <w:pPr>
              <w:jc w:val="left"/>
              <w:rPr>
                <w:rFonts w:ascii="华文细黑" w:eastAsia="华文细黑" w:hAnsi="华文细黑" w:cs="华文细黑"/>
              </w:rPr>
            </w:pPr>
            <w:r>
              <w:rPr>
                <w:rFonts w:ascii="华文细黑" w:eastAsia="华文细黑" w:hAnsi="华文细黑" w:cs="华文细黑" w:hint="eastAsia"/>
              </w:rPr>
              <w:t>集团客户信用限额情况（A、B类业务适用）</w:t>
            </w:r>
          </w:p>
        </w:tc>
        <w:tc>
          <w:tcPr>
            <w:tcW w:w="8781" w:type="dxa"/>
            <w:gridSpan w:val="4"/>
          </w:tcPr>
          <w:p w14:paraId="6FCDFDDD" w14:textId="77777777" w:rsidR="006157D6" w:rsidRDefault="00C42D36">
            <w:pPr>
              <w:spacing w:line="288" w:lineRule="auto"/>
              <w:rPr>
                <w:rFonts w:ascii="楷体" w:eastAsia="楷体" w:hAnsi="楷体"/>
                <w:sz w:val="24"/>
              </w:rPr>
            </w:pPr>
            <w:r>
              <w:rPr>
                <w:rFonts w:ascii="仿宋_GB2312" w:eastAsia="仿宋_GB2312" w:hAnsi="仿宋" w:cs="仿宋"/>
                <w:sz w:val="24"/>
              </w:rPr>
              <w:t>不适用</w:t>
            </w:r>
          </w:p>
        </w:tc>
      </w:tr>
      <w:tr w:rsidR="006157D6" w14:paraId="2EF052FE" w14:textId="77777777">
        <w:trPr>
          <w:trHeight w:val="665"/>
          <w:jc w:val="center"/>
        </w:trPr>
        <w:tc>
          <w:tcPr>
            <w:tcW w:w="1939" w:type="dxa"/>
            <w:vAlign w:val="center"/>
          </w:tcPr>
          <w:p w14:paraId="6F807EB2" w14:textId="77777777" w:rsidR="006157D6" w:rsidRDefault="00C42D36">
            <w:pPr>
              <w:spacing w:line="276" w:lineRule="auto"/>
              <w:jc w:val="center"/>
              <w:rPr>
                <w:rFonts w:ascii="仿宋_GB2312" w:eastAsia="仿宋_GB2312" w:hAnsi="仿宋" w:cs="仿宋"/>
                <w:b/>
                <w:sz w:val="24"/>
              </w:rPr>
            </w:pPr>
            <w:r>
              <w:rPr>
                <w:rFonts w:ascii="仿宋_GB2312" w:eastAsia="仿宋_GB2312" w:hAnsi="仿宋" w:cs="仿宋" w:hint="eastAsia"/>
                <w:b/>
                <w:sz w:val="24"/>
              </w:rPr>
              <w:t>投资经理意见</w:t>
            </w:r>
          </w:p>
        </w:tc>
        <w:tc>
          <w:tcPr>
            <w:tcW w:w="8781" w:type="dxa"/>
            <w:gridSpan w:val="4"/>
            <w:vAlign w:val="center"/>
          </w:tcPr>
          <w:p w14:paraId="2F895379" w14:textId="77777777" w:rsidR="006157D6" w:rsidRDefault="00C42D36">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42541682" w14:textId="77777777" w:rsidR="006157D6" w:rsidRDefault="00C42D36">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 xml:space="preserve">日期： </w:t>
            </w:r>
          </w:p>
        </w:tc>
      </w:tr>
      <w:tr w:rsidR="006157D6" w14:paraId="1FF31F49" w14:textId="77777777">
        <w:trPr>
          <w:trHeight w:val="636"/>
          <w:jc w:val="center"/>
        </w:trPr>
        <w:tc>
          <w:tcPr>
            <w:tcW w:w="1939" w:type="dxa"/>
            <w:vAlign w:val="center"/>
          </w:tcPr>
          <w:p w14:paraId="54ACA4FA" w14:textId="77777777" w:rsidR="006157D6" w:rsidRDefault="00C42D36">
            <w:pPr>
              <w:spacing w:line="276" w:lineRule="auto"/>
              <w:jc w:val="center"/>
              <w:rPr>
                <w:rFonts w:ascii="仿宋_GB2312" w:eastAsia="仿宋_GB2312" w:hAnsi="仿宋" w:cs="仿宋"/>
                <w:b/>
                <w:sz w:val="24"/>
              </w:rPr>
            </w:pPr>
            <w:r>
              <w:rPr>
                <w:rFonts w:ascii="仿宋_GB2312" w:eastAsia="仿宋_GB2312" w:hAnsi="仿宋" w:cs="仿宋" w:hint="eastAsia"/>
                <w:b/>
                <w:sz w:val="24"/>
              </w:rPr>
              <w:t>投资部门负责人意见</w:t>
            </w:r>
          </w:p>
        </w:tc>
        <w:tc>
          <w:tcPr>
            <w:tcW w:w="8781" w:type="dxa"/>
            <w:gridSpan w:val="4"/>
            <w:vAlign w:val="center"/>
          </w:tcPr>
          <w:p w14:paraId="7E41E854" w14:textId="77777777" w:rsidR="006157D6" w:rsidRDefault="00C42D36">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417AD2BB" w14:textId="77777777" w:rsidR="006157D6" w:rsidRDefault="00C42D36">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 xml:space="preserve">日期：  </w:t>
            </w:r>
          </w:p>
        </w:tc>
      </w:tr>
      <w:tr w:rsidR="006157D6" w14:paraId="17724BB1" w14:textId="77777777">
        <w:trPr>
          <w:trHeight w:val="597"/>
          <w:jc w:val="center"/>
        </w:trPr>
        <w:tc>
          <w:tcPr>
            <w:tcW w:w="1939" w:type="dxa"/>
            <w:vAlign w:val="center"/>
          </w:tcPr>
          <w:p w14:paraId="4D03F4B5" w14:textId="77777777" w:rsidR="006157D6" w:rsidRDefault="00C42D36">
            <w:pPr>
              <w:spacing w:line="276" w:lineRule="auto"/>
              <w:jc w:val="center"/>
              <w:rPr>
                <w:rFonts w:ascii="仿宋_GB2312" w:eastAsia="仿宋_GB2312" w:hAnsi="仿宋" w:cs="仿宋"/>
                <w:b/>
                <w:sz w:val="24"/>
              </w:rPr>
            </w:pPr>
            <w:r>
              <w:rPr>
                <w:rFonts w:ascii="仿宋_GB2312" w:eastAsia="仿宋_GB2312" w:hAnsi="仿宋" w:cs="仿宋" w:hint="eastAsia"/>
                <w:b/>
                <w:sz w:val="24"/>
              </w:rPr>
              <w:t>研究员意见</w:t>
            </w:r>
          </w:p>
        </w:tc>
        <w:tc>
          <w:tcPr>
            <w:tcW w:w="8781" w:type="dxa"/>
            <w:gridSpan w:val="4"/>
            <w:vAlign w:val="center"/>
          </w:tcPr>
          <w:p w14:paraId="2BCF9EA5" w14:textId="77777777" w:rsidR="006157D6" w:rsidRDefault="00C42D36">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5705E014" w14:textId="77777777" w:rsidR="006157D6" w:rsidRDefault="00C42D36">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 xml:space="preserve">日期： </w:t>
            </w:r>
          </w:p>
        </w:tc>
      </w:tr>
      <w:tr w:rsidR="006157D6" w14:paraId="5E3F6E40" w14:textId="77777777">
        <w:trPr>
          <w:trHeight w:val="689"/>
          <w:jc w:val="center"/>
        </w:trPr>
        <w:tc>
          <w:tcPr>
            <w:tcW w:w="1939" w:type="dxa"/>
            <w:vAlign w:val="center"/>
          </w:tcPr>
          <w:p w14:paraId="16CE7269" w14:textId="77777777" w:rsidR="006157D6" w:rsidRDefault="00C42D36">
            <w:pPr>
              <w:spacing w:line="276" w:lineRule="auto"/>
              <w:jc w:val="center"/>
              <w:rPr>
                <w:rFonts w:ascii="仿宋_GB2312" w:eastAsia="仿宋_GB2312" w:hAnsi="仿宋" w:cs="仿宋"/>
                <w:b/>
                <w:sz w:val="24"/>
              </w:rPr>
            </w:pPr>
            <w:r>
              <w:rPr>
                <w:rFonts w:ascii="仿宋_GB2312" w:eastAsia="仿宋_GB2312" w:hAnsi="仿宋" w:cs="仿宋" w:hint="eastAsia"/>
                <w:b/>
                <w:sz w:val="24"/>
              </w:rPr>
              <w:t>研究负责人意见</w:t>
            </w:r>
          </w:p>
        </w:tc>
        <w:tc>
          <w:tcPr>
            <w:tcW w:w="8781" w:type="dxa"/>
            <w:gridSpan w:val="4"/>
            <w:vAlign w:val="center"/>
          </w:tcPr>
          <w:p w14:paraId="0907E6F6" w14:textId="77777777" w:rsidR="006157D6" w:rsidRDefault="00C42D36">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0F34236B" w14:textId="77777777" w:rsidR="006157D6" w:rsidRDefault="00C42D36">
            <w:pPr>
              <w:spacing w:line="288" w:lineRule="auto"/>
              <w:ind w:firstLineChars="2500" w:firstLine="6000"/>
              <w:rPr>
                <w:rFonts w:ascii="仿宋_GB2312" w:eastAsia="仿宋_GB2312" w:hAnsi="仿宋" w:cs="仿宋"/>
                <w:sz w:val="24"/>
              </w:rPr>
            </w:pPr>
            <w:r>
              <w:rPr>
                <w:rFonts w:ascii="仿宋_GB2312" w:eastAsia="仿宋_GB2312" w:hAnsi="仿宋" w:cs="仿宋" w:hint="eastAsia"/>
                <w:color w:val="000000"/>
                <w:sz w:val="24"/>
                <w:shd w:val="clear" w:color="auto" w:fill="FFFFFF"/>
              </w:rPr>
              <w:t xml:space="preserve">日期： </w:t>
            </w:r>
            <w:r>
              <w:rPr>
                <w:rFonts w:ascii="仿宋_GB2312" w:eastAsia="仿宋_GB2312" w:hAnsi="仿宋" w:cs="仿宋" w:hint="eastAsia"/>
                <w:sz w:val="24"/>
              </w:rPr>
              <w:t xml:space="preserve"> </w:t>
            </w:r>
          </w:p>
        </w:tc>
      </w:tr>
      <w:tr w:rsidR="006157D6" w14:paraId="2F81B230" w14:textId="77777777">
        <w:trPr>
          <w:trHeight w:hRule="exact" w:val="662"/>
          <w:jc w:val="center"/>
        </w:trPr>
        <w:tc>
          <w:tcPr>
            <w:tcW w:w="10720" w:type="dxa"/>
            <w:gridSpan w:val="5"/>
            <w:shd w:val="clear" w:color="auto" w:fill="F2F2F2"/>
            <w:vAlign w:val="center"/>
          </w:tcPr>
          <w:p w14:paraId="427577CC" w14:textId="77777777" w:rsidR="006157D6" w:rsidRDefault="00C42D36">
            <w:pPr>
              <w:spacing w:line="276" w:lineRule="auto"/>
              <w:jc w:val="center"/>
              <w:rPr>
                <w:rFonts w:ascii="仿宋_GB2312" w:eastAsia="仿宋_GB2312" w:hAnsi="仿宋" w:cs="仿宋"/>
                <w:sz w:val="24"/>
              </w:rPr>
            </w:pPr>
            <w:r>
              <w:rPr>
                <w:rFonts w:ascii="仿宋_GB2312" w:eastAsia="仿宋_GB2312" w:hAnsi="仿宋" w:cs="仿宋" w:hint="eastAsia"/>
                <w:b/>
                <w:bCs/>
                <w:sz w:val="24"/>
              </w:rPr>
              <w:t>发起经办情况简述</w:t>
            </w:r>
          </w:p>
        </w:tc>
      </w:tr>
      <w:tr w:rsidR="006157D6" w14:paraId="15779170" w14:textId="77777777">
        <w:trPr>
          <w:trHeight w:val="2835"/>
          <w:jc w:val="center"/>
        </w:trPr>
        <w:tc>
          <w:tcPr>
            <w:tcW w:w="10720" w:type="dxa"/>
            <w:gridSpan w:val="5"/>
            <w:vAlign w:val="center"/>
          </w:tcPr>
          <w:p w14:paraId="1D9DB68D" w14:textId="77777777" w:rsidR="005A54F4" w:rsidRPr="005A54F4" w:rsidRDefault="005A54F4" w:rsidP="005A54F4">
            <w:pPr>
              <w:ind w:firstLineChars="200" w:firstLine="560"/>
              <w:rPr>
                <w:rFonts w:ascii="仿宋" w:eastAsia="仿宋" w:hAnsi="仿宋"/>
                <w:sz w:val="28"/>
                <w:szCs w:val="28"/>
              </w:rPr>
            </w:pPr>
            <w:proofErr w:type="gramStart"/>
            <w:r w:rsidRPr="005A54F4">
              <w:rPr>
                <w:rFonts w:ascii="仿宋" w:eastAsia="仿宋" w:hAnsi="仿宋" w:hint="eastAsia"/>
                <w:sz w:val="28"/>
                <w:szCs w:val="28"/>
              </w:rPr>
              <w:t>投决会</w:t>
            </w:r>
            <w:proofErr w:type="gramEnd"/>
            <w:r w:rsidRPr="005A54F4">
              <w:rPr>
                <w:rFonts w:ascii="仿宋" w:eastAsia="仿宋" w:hAnsi="仿宋" w:hint="eastAsia"/>
                <w:sz w:val="28"/>
                <w:szCs w:val="28"/>
              </w:rPr>
              <w:t>于2</w:t>
            </w:r>
            <w:r w:rsidRPr="005A54F4">
              <w:rPr>
                <w:rFonts w:ascii="仿宋" w:eastAsia="仿宋" w:hAnsi="仿宋"/>
                <w:sz w:val="28"/>
                <w:szCs w:val="28"/>
              </w:rPr>
              <w:t>020年</w:t>
            </w:r>
            <w:r w:rsidRPr="005A54F4">
              <w:rPr>
                <w:rFonts w:ascii="仿宋" w:eastAsia="仿宋" w:hAnsi="仿宋" w:hint="eastAsia"/>
                <w:sz w:val="28"/>
                <w:szCs w:val="28"/>
              </w:rPr>
              <w:t>6月1</w:t>
            </w:r>
            <w:r w:rsidRPr="005A54F4">
              <w:rPr>
                <w:rFonts w:ascii="仿宋" w:eastAsia="仿宋" w:hAnsi="仿宋"/>
                <w:sz w:val="28"/>
                <w:szCs w:val="28"/>
              </w:rPr>
              <w:t>6日授权阳光青系列场外黄金挂钩理财产品可采用牛市价差</w:t>
            </w:r>
            <w:r w:rsidRPr="005A54F4">
              <w:rPr>
                <w:rFonts w:ascii="仿宋" w:eastAsia="仿宋" w:hAnsi="仿宋" w:hint="eastAsia"/>
                <w:sz w:val="28"/>
                <w:szCs w:val="28"/>
              </w:rPr>
              <w:t>、</w:t>
            </w:r>
            <w:r w:rsidRPr="005A54F4">
              <w:rPr>
                <w:rFonts w:ascii="仿宋" w:eastAsia="仿宋" w:hAnsi="仿宋"/>
                <w:sz w:val="28"/>
                <w:szCs w:val="28"/>
              </w:rPr>
              <w:t>熊市价差</w:t>
            </w:r>
            <w:r w:rsidRPr="005A54F4">
              <w:rPr>
                <w:rFonts w:ascii="仿宋" w:eastAsia="仿宋" w:hAnsi="仿宋" w:hint="eastAsia"/>
                <w:sz w:val="28"/>
                <w:szCs w:val="28"/>
              </w:rPr>
              <w:t>、</w:t>
            </w:r>
            <w:r w:rsidRPr="005A54F4">
              <w:rPr>
                <w:rFonts w:ascii="仿宋" w:eastAsia="仿宋" w:hAnsi="仿宋"/>
                <w:sz w:val="28"/>
                <w:szCs w:val="28"/>
              </w:rPr>
              <w:t>双向鲨鱼鳍等九种期权结构投资沪金期货主力合约</w:t>
            </w:r>
            <w:r w:rsidRPr="005A54F4">
              <w:rPr>
                <w:rFonts w:ascii="仿宋" w:eastAsia="仿宋" w:hAnsi="仿宋" w:hint="eastAsia"/>
                <w:sz w:val="28"/>
                <w:szCs w:val="28"/>
              </w:rPr>
              <w:t>，</w:t>
            </w:r>
            <w:r w:rsidRPr="005A54F4">
              <w:rPr>
                <w:rFonts w:ascii="仿宋" w:eastAsia="仿宋" w:hAnsi="仿宋"/>
                <w:sz w:val="28"/>
                <w:szCs w:val="28"/>
              </w:rPr>
              <w:t>投资期限为</w:t>
            </w:r>
            <w:r w:rsidRPr="005A54F4">
              <w:rPr>
                <w:rFonts w:ascii="仿宋" w:eastAsia="仿宋" w:hAnsi="仿宋" w:hint="eastAsia"/>
                <w:sz w:val="28"/>
                <w:szCs w:val="28"/>
              </w:rPr>
              <w:t>1</w:t>
            </w:r>
            <w:r w:rsidRPr="005A54F4">
              <w:rPr>
                <w:rFonts w:ascii="仿宋" w:eastAsia="仿宋" w:hAnsi="仿宋"/>
                <w:sz w:val="28"/>
                <w:szCs w:val="28"/>
              </w:rPr>
              <w:t>2个月</w:t>
            </w:r>
            <w:r w:rsidRPr="005A54F4">
              <w:rPr>
                <w:rFonts w:ascii="仿宋" w:eastAsia="仿宋" w:hAnsi="仿宋" w:hint="eastAsia"/>
                <w:sz w:val="28"/>
                <w:szCs w:val="28"/>
              </w:rPr>
              <w:t>，</w:t>
            </w:r>
            <w:r w:rsidRPr="005A54F4">
              <w:rPr>
                <w:rFonts w:ascii="仿宋" w:eastAsia="仿宋" w:hAnsi="仿宋"/>
                <w:sz w:val="28"/>
                <w:szCs w:val="28"/>
              </w:rPr>
              <w:t>权利金总投资限额为</w:t>
            </w:r>
            <w:r w:rsidRPr="005A54F4">
              <w:rPr>
                <w:rFonts w:ascii="仿宋" w:eastAsia="仿宋" w:hAnsi="仿宋" w:hint="eastAsia"/>
                <w:sz w:val="28"/>
                <w:szCs w:val="28"/>
              </w:rPr>
              <w:t>5</w:t>
            </w:r>
            <w:r w:rsidRPr="005A54F4">
              <w:rPr>
                <w:rFonts w:ascii="仿宋" w:eastAsia="仿宋" w:hAnsi="仿宋"/>
                <w:sz w:val="28"/>
                <w:szCs w:val="28"/>
              </w:rPr>
              <w:t>000万元人民币</w:t>
            </w:r>
            <w:r w:rsidRPr="005A54F4">
              <w:rPr>
                <w:rFonts w:ascii="仿宋" w:eastAsia="仿宋" w:hAnsi="仿宋" w:hint="eastAsia"/>
                <w:sz w:val="28"/>
                <w:szCs w:val="28"/>
              </w:rPr>
              <w:t>。</w:t>
            </w:r>
          </w:p>
          <w:p w14:paraId="46711444" w14:textId="77777777" w:rsidR="005A54F4" w:rsidRPr="005A54F4" w:rsidRDefault="005A54F4" w:rsidP="005A54F4">
            <w:pPr>
              <w:ind w:firstLineChars="200" w:firstLine="560"/>
              <w:rPr>
                <w:rFonts w:ascii="仿宋" w:eastAsia="仿宋" w:hAnsi="仿宋"/>
                <w:sz w:val="28"/>
                <w:szCs w:val="28"/>
              </w:rPr>
            </w:pPr>
            <w:r w:rsidRPr="005A54F4">
              <w:rPr>
                <w:rFonts w:ascii="仿宋" w:eastAsia="仿宋" w:hAnsi="仿宋" w:hint="eastAsia"/>
                <w:sz w:val="28"/>
                <w:szCs w:val="28"/>
              </w:rPr>
              <w:t>鉴于阳光</w:t>
            </w:r>
            <w:proofErr w:type="gramStart"/>
            <w:r w:rsidRPr="005A54F4">
              <w:rPr>
                <w:rFonts w:ascii="仿宋" w:eastAsia="仿宋" w:hAnsi="仿宋" w:hint="eastAsia"/>
                <w:sz w:val="28"/>
                <w:szCs w:val="28"/>
              </w:rPr>
              <w:t>青智盈</w:t>
            </w:r>
            <w:proofErr w:type="gramEnd"/>
            <w:r w:rsidRPr="005A54F4">
              <w:rPr>
                <w:rFonts w:ascii="仿宋" w:eastAsia="仿宋" w:hAnsi="仿宋" w:hint="eastAsia"/>
                <w:sz w:val="28"/>
                <w:szCs w:val="28"/>
              </w:rPr>
              <w:t>2期的产品形态由封闭模式调整为定开模式，申请将阳光</w:t>
            </w:r>
            <w:proofErr w:type="gramStart"/>
            <w:r w:rsidRPr="005A54F4">
              <w:rPr>
                <w:rFonts w:ascii="仿宋" w:eastAsia="仿宋" w:hAnsi="仿宋" w:hint="eastAsia"/>
                <w:sz w:val="28"/>
                <w:szCs w:val="28"/>
              </w:rPr>
              <w:t>青定开</w:t>
            </w:r>
            <w:r w:rsidRPr="005A54F4">
              <w:rPr>
                <w:rFonts w:ascii="仿宋" w:eastAsia="仿宋" w:hAnsi="仿宋" w:hint="eastAsia"/>
                <w:sz w:val="28"/>
                <w:szCs w:val="28"/>
              </w:rPr>
              <w:lastRenderedPageBreak/>
              <w:t>系列</w:t>
            </w:r>
            <w:proofErr w:type="gramEnd"/>
            <w:r w:rsidRPr="005A54F4">
              <w:rPr>
                <w:rFonts w:ascii="仿宋" w:eastAsia="仿宋" w:hAnsi="仿宋" w:hint="eastAsia"/>
                <w:sz w:val="28"/>
                <w:szCs w:val="28"/>
              </w:rPr>
              <w:t>所采用的场外波动率策略纳入投资范围，投资期限为无固定投资期限，单个投资周期支付买入场外期权权利金不超过单个投资周期类固定收益资产预期收益</w:t>
            </w:r>
            <w:r w:rsidRPr="005A54F4">
              <w:rPr>
                <w:rFonts w:ascii="仿宋" w:eastAsia="仿宋" w:hAnsi="仿宋"/>
                <w:sz w:val="28"/>
                <w:szCs w:val="28"/>
              </w:rPr>
              <w:t>的</w:t>
            </w:r>
            <w:r w:rsidRPr="005A54F4">
              <w:rPr>
                <w:rFonts w:ascii="仿宋" w:eastAsia="仿宋" w:hAnsi="仿宋" w:hint="eastAsia"/>
                <w:sz w:val="28"/>
                <w:szCs w:val="28"/>
              </w:rPr>
              <w:t>6</w:t>
            </w:r>
            <w:r w:rsidRPr="005A54F4">
              <w:rPr>
                <w:rFonts w:ascii="仿宋" w:eastAsia="仿宋" w:hAnsi="仿宋"/>
                <w:sz w:val="28"/>
                <w:szCs w:val="28"/>
              </w:rPr>
              <w:t>0</w:t>
            </w:r>
            <w:r w:rsidRPr="005A54F4">
              <w:rPr>
                <w:rFonts w:ascii="仿宋" w:eastAsia="仿宋" w:hAnsi="仿宋" w:hint="eastAsia"/>
                <w:sz w:val="28"/>
                <w:szCs w:val="28"/>
              </w:rPr>
              <w:t>%，</w:t>
            </w:r>
            <w:r w:rsidRPr="005A54F4">
              <w:rPr>
                <w:rFonts w:ascii="仿宋" w:eastAsia="仿宋" w:hAnsi="仿宋"/>
                <w:sz w:val="28"/>
                <w:szCs w:val="28"/>
              </w:rPr>
              <w:t>投资所使用的期权权利金额度占用阳光青系列权利金总投资额度</w:t>
            </w:r>
            <w:r w:rsidRPr="005A54F4">
              <w:rPr>
                <w:rFonts w:ascii="仿宋" w:eastAsia="仿宋" w:hAnsi="仿宋" w:hint="eastAsia"/>
                <w:sz w:val="28"/>
                <w:szCs w:val="28"/>
              </w:rPr>
              <w:t>5</w:t>
            </w:r>
            <w:r w:rsidRPr="005A54F4">
              <w:rPr>
                <w:rFonts w:ascii="仿宋" w:eastAsia="仿宋" w:hAnsi="仿宋"/>
                <w:sz w:val="28"/>
                <w:szCs w:val="28"/>
              </w:rPr>
              <w:t>000万元人民币</w:t>
            </w:r>
            <w:r w:rsidRPr="005A54F4">
              <w:rPr>
                <w:rFonts w:ascii="仿宋" w:eastAsia="仿宋" w:hAnsi="仿宋" w:hint="eastAsia"/>
                <w:sz w:val="28"/>
                <w:szCs w:val="28"/>
              </w:rPr>
              <w:t>。</w:t>
            </w:r>
          </w:p>
          <w:p w14:paraId="7B2354C2" w14:textId="77777777" w:rsidR="006157D6" w:rsidRDefault="005A54F4" w:rsidP="005A54F4">
            <w:pPr>
              <w:ind w:firstLineChars="200" w:firstLine="560"/>
              <w:rPr>
                <w:rFonts w:ascii="仿宋_GB2312" w:eastAsia="仿宋_GB2312" w:hAnsi="仿宋" w:cs="仿宋"/>
                <w:sz w:val="24"/>
              </w:rPr>
            </w:pPr>
            <w:r w:rsidRPr="005A54F4">
              <w:rPr>
                <w:rFonts w:ascii="仿宋" w:eastAsia="仿宋" w:hAnsi="仿宋"/>
                <w:sz w:val="28"/>
                <w:szCs w:val="28"/>
              </w:rPr>
              <w:t>请投资决策委员会审批是否可以将阳光</w:t>
            </w:r>
            <w:proofErr w:type="gramStart"/>
            <w:r w:rsidRPr="005A54F4">
              <w:rPr>
                <w:rFonts w:ascii="仿宋" w:eastAsia="仿宋" w:hAnsi="仿宋"/>
                <w:sz w:val="28"/>
                <w:szCs w:val="28"/>
              </w:rPr>
              <w:t>青定开系列</w:t>
            </w:r>
            <w:proofErr w:type="gramEnd"/>
            <w:r w:rsidRPr="005A54F4">
              <w:rPr>
                <w:rFonts w:ascii="仿宋" w:eastAsia="仿宋" w:hAnsi="仿宋"/>
                <w:sz w:val="28"/>
                <w:szCs w:val="28"/>
              </w:rPr>
              <w:t>场外期权波动率策略纳入阳光青系列投资范围</w:t>
            </w:r>
            <w:r w:rsidRPr="005A54F4">
              <w:rPr>
                <w:rFonts w:ascii="仿宋" w:eastAsia="仿宋" w:hAnsi="仿宋" w:hint="eastAsia"/>
                <w:sz w:val="28"/>
                <w:szCs w:val="28"/>
              </w:rPr>
              <w:t>。</w:t>
            </w:r>
          </w:p>
        </w:tc>
      </w:tr>
      <w:tr w:rsidR="006157D6" w14:paraId="258C3D04" w14:textId="77777777">
        <w:trPr>
          <w:trHeight w:val="555"/>
          <w:jc w:val="center"/>
        </w:trPr>
        <w:tc>
          <w:tcPr>
            <w:tcW w:w="10720" w:type="dxa"/>
            <w:gridSpan w:val="5"/>
            <w:shd w:val="clear" w:color="auto" w:fill="F1F1F1"/>
            <w:vAlign w:val="center"/>
          </w:tcPr>
          <w:p w14:paraId="27132C03" w14:textId="77777777" w:rsidR="006157D6" w:rsidRDefault="00C42D36">
            <w:pPr>
              <w:jc w:val="center"/>
              <w:rPr>
                <w:rFonts w:ascii="仿宋_GB2312" w:eastAsia="仿宋_GB2312" w:hAnsi="仿宋" w:cs="仿宋"/>
                <w:sz w:val="24"/>
              </w:rPr>
            </w:pPr>
            <w:r>
              <w:rPr>
                <w:rFonts w:ascii="仿宋_GB2312" w:eastAsia="仿宋_GB2312" w:hAnsi="仿宋" w:cs="仿宋" w:hint="eastAsia"/>
                <w:b/>
                <w:bCs/>
                <w:sz w:val="24"/>
              </w:rPr>
              <w:lastRenderedPageBreak/>
              <w:t>研究员评级情况分析</w:t>
            </w:r>
          </w:p>
        </w:tc>
      </w:tr>
      <w:tr w:rsidR="00577846" w14:paraId="000DD769" w14:textId="77777777">
        <w:trPr>
          <w:jc w:val="center"/>
        </w:trPr>
        <w:tc>
          <w:tcPr>
            <w:tcW w:w="10720" w:type="dxa"/>
            <w:gridSpan w:val="5"/>
            <w:vAlign w:val="center"/>
          </w:tcPr>
          <w:p w14:paraId="63114522" w14:textId="3BDCB864" w:rsidR="00577846" w:rsidRDefault="00577846" w:rsidP="00577846">
            <w:pPr>
              <w:ind w:firstLineChars="200" w:firstLine="560"/>
              <w:rPr>
                <w:rFonts w:ascii="仿宋" w:eastAsia="仿宋" w:hAnsi="仿宋"/>
                <w:sz w:val="28"/>
                <w:szCs w:val="28"/>
              </w:rPr>
            </w:pPr>
            <w:r>
              <w:rPr>
                <w:rFonts w:ascii="仿宋" w:eastAsia="仿宋" w:hAnsi="仿宋" w:hint="eastAsia"/>
                <w:sz w:val="28"/>
                <w:szCs w:val="28"/>
              </w:rPr>
              <w:t>2020年6月16日</w:t>
            </w:r>
            <w:proofErr w:type="gramStart"/>
            <w:r>
              <w:rPr>
                <w:rFonts w:ascii="仿宋" w:eastAsia="仿宋" w:hAnsi="仿宋" w:hint="eastAsia"/>
                <w:sz w:val="28"/>
                <w:szCs w:val="28"/>
              </w:rPr>
              <w:t>投决会</w:t>
            </w:r>
            <w:proofErr w:type="gramEnd"/>
            <w:r>
              <w:rPr>
                <w:rFonts w:ascii="仿宋" w:eastAsia="仿宋" w:hAnsi="仿宋" w:hint="eastAsia"/>
                <w:sz w:val="28"/>
                <w:szCs w:val="28"/>
              </w:rPr>
              <w:t>批准</w:t>
            </w:r>
            <w:r w:rsidRPr="005A54F4">
              <w:rPr>
                <w:rFonts w:ascii="仿宋" w:eastAsia="仿宋" w:hAnsi="仿宋"/>
                <w:sz w:val="28"/>
                <w:szCs w:val="28"/>
              </w:rPr>
              <w:t>阳光青系列场外黄金挂钩理财产品可采用牛市价差</w:t>
            </w:r>
            <w:r w:rsidRPr="005A54F4">
              <w:rPr>
                <w:rFonts w:ascii="仿宋" w:eastAsia="仿宋" w:hAnsi="仿宋" w:hint="eastAsia"/>
                <w:sz w:val="28"/>
                <w:szCs w:val="28"/>
              </w:rPr>
              <w:t>、</w:t>
            </w:r>
            <w:r w:rsidRPr="005A54F4">
              <w:rPr>
                <w:rFonts w:ascii="仿宋" w:eastAsia="仿宋" w:hAnsi="仿宋"/>
                <w:sz w:val="28"/>
                <w:szCs w:val="28"/>
              </w:rPr>
              <w:t>熊市价差</w:t>
            </w:r>
            <w:r w:rsidRPr="005A54F4">
              <w:rPr>
                <w:rFonts w:ascii="仿宋" w:eastAsia="仿宋" w:hAnsi="仿宋" w:hint="eastAsia"/>
                <w:sz w:val="28"/>
                <w:szCs w:val="28"/>
              </w:rPr>
              <w:t>、</w:t>
            </w:r>
            <w:r>
              <w:rPr>
                <w:rFonts w:ascii="仿宋" w:eastAsia="仿宋" w:hAnsi="仿宋" w:hint="eastAsia"/>
                <w:sz w:val="28"/>
                <w:szCs w:val="28"/>
              </w:rPr>
              <w:t>二元价差、二元看跌、二元看涨、看涨鲨鱼鳍、看跌鲨鱼鳍、</w:t>
            </w:r>
            <w:r w:rsidRPr="005A54F4">
              <w:rPr>
                <w:rFonts w:ascii="仿宋" w:eastAsia="仿宋" w:hAnsi="仿宋"/>
                <w:sz w:val="28"/>
                <w:szCs w:val="28"/>
              </w:rPr>
              <w:t>双向鲨鱼鳍</w:t>
            </w:r>
            <w:r>
              <w:rPr>
                <w:rFonts w:ascii="仿宋" w:eastAsia="仿宋" w:hAnsi="仿宋" w:hint="eastAsia"/>
                <w:sz w:val="28"/>
                <w:szCs w:val="28"/>
              </w:rPr>
              <w:t>、雪球</w:t>
            </w:r>
            <w:r w:rsidRPr="005A54F4">
              <w:rPr>
                <w:rFonts w:ascii="仿宋" w:eastAsia="仿宋" w:hAnsi="仿宋"/>
                <w:sz w:val="28"/>
                <w:szCs w:val="28"/>
              </w:rPr>
              <w:t>九种期权结构投资沪金期货主力合约</w:t>
            </w:r>
            <w:r w:rsidRPr="005A54F4">
              <w:rPr>
                <w:rFonts w:ascii="仿宋" w:eastAsia="仿宋" w:hAnsi="仿宋" w:hint="eastAsia"/>
                <w:sz w:val="28"/>
                <w:szCs w:val="28"/>
              </w:rPr>
              <w:t>，</w:t>
            </w:r>
            <w:r w:rsidRPr="005A54F4">
              <w:rPr>
                <w:rFonts w:ascii="仿宋" w:eastAsia="仿宋" w:hAnsi="仿宋"/>
                <w:sz w:val="28"/>
                <w:szCs w:val="28"/>
              </w:rPr>
              <w:t>投资期限为</w:t>
            </w:r>
            <w:r w:rsidRPr="005A54F4">
              <w:rPr>
                <w:rFonts w:ascii="仿宋" w:eastAsia="仿宋" w:hAnsi="仿宋" w:hint="eastAsia"/>
                <w:sz w:val="28"/>
                <w:szCs w:val="28"/>
              </w:rPr>
              <w:t>1</w:t>
            </w:r>
            <w:r w:rsidRPr="005A54F4">
              <w:rPr>
                <w:rFonts w:ascii="仿宋" w:eastAsia="仿宋" w:hAnsi="仿宋"/>
                <w:sz w:val="28"/>
                <w:szCs w:val="28"/>
              </w:rPr>
              <w:t>2个月</w:t>
            </w:r>
            <w:r w:rsidRPr="005A54F4">
              <w:rPr>
                <w:rFonts w:ascii="仿宋" w:eastAsia="仿宋" w:hAnsi="仿宋" w:hint="eastAsia"/>
                <w:sz w:val="28"/>
                <w:szCs w:val="28"/>
              </w:rPr>
              <w:t>，</w:t>
            </w:r>
            <w:r w:rsidRPr="005A54F4">
              <w:rPr>
                <w:rFonts w:ascii="仿宋" w:eastAsia="仿宋" w:hAnsi="仿宋"/>
                <w:sz w:val="28"/>
                <w:szCs w:val="28"/>
              </w:rPr>
              <w:t>权利金总投资限额为</w:t>
            </w:r>
            <w:r w:rsidRPr="005A54F4">
              <w:rPr>
                <w:rFonts w:ascii="仿宋" w:eastAsia="仿宋" w:hAnsi="仿宋" w:hint="eastAsia"/>
                <w:sz w:val="28"/>
                <w:szCs w:val="28"/>
              </w:rPr>
              <w:t>5</w:t>
            </w:r>
            <w:r w:rsidRPr="005A54F4">
              <w:rPr>
                <w:rFonts w:ascii="仿宋" w:eastAsia="仿宋" w:hAnsi="仿宋"/>
                <w:sz w:val="28"/>
                <w:szCs w:val="28"/>
              </w:rPr>
              <w:t>000万元人民币</w:t>
            </w:r>
            <w:r>
              <w:rPr>
                <w:rFonts w:ascii="仿宋" w:eastAsia="仿宋" w:hAnsi="仿宋" w:hint="eastAsia"/>
                <w:sz w:val="28"/>
                <w:szCs w:val="28"/>
              </w:rPr>
              <w:t>。以</w:t>
            </w:r>
            <w:r w:rsidRPr="00CF17E8">
              <w:rPr>
                <w:rFonts w:ascii="仿宋" w:eastAsia="仿宋" w:hAnsi="仿宋" w:hint="eastAsia"/>
                <w:sz w:val="28"/>
                <w:szCs w:val="28"/>
              </w:rPr>
              <w:t>阳光</w:t>
            </w:r>
            <w:proofErr w:type="gramStart"/>
            <w:r w:rsidRPr="00CF17E8">
              <w:rPr>
                <w:rFonts w:ascii="仿宋" w:eastAsia="仿宋" w:hAnsi="仿宋" w:hint="eastAsia"/>
                <w:sz w:val="28"/>
                <w:szCs w:val="28"/>
              </w:rPr>
              <w:t>青智盈</w:t>
            </w:r>
            <w:proofErr w:type="gramEnd"/>
            <w:r w:rsidRPr="00CF17E8">
              <w:rPr>
                <w:rFonts w:ascii="仿宋" w:eastAsia="仿宋" w:hAnsi="仿宋" w:hint="eastAsia"/>
                <w:sz w:val="28"/>
                <w:szCs w:val="28"/>
              </w:rPr>
              <w:t>2期</w:t>
            </w:r>
            <w:r>
              <w:rPr>
                <w:rFonts w:ascii="仿宋" w:eastAsia="仿宋" w:hAnsi="仿宋" w:hint="eastAsia"/>
                <w:sz w:val="28"/>
                <w:szCs w:val="28"/>
              </w:rPr>
              <w:t>为代表的</w:t>
            </w:r>
            <w:proofErr w:type="gramStart"/>
            <w:r w:rsidRPr="00DC412E">
              <w:rPr>
                <w:rFonts w:ascii="仿宋" w:eastAsia="仿宋" w:hAnsi="仿宋" w:hint="eastAsia"/>
                <w:sz w:val="28"/>
                <w:szCs w:val="28"/>
              </w:rPr>
              <w:t>阳光青定开</w:t>
            </w:r>
            <w:proofErr w:type="gramEnd"/>
            <w:r>
              <w:rPr>
                <w:rFonts w:ascii="仿宋" w:eastAsia="仿宋" w:hAnsi="仿宋" w:hint="eastAsia"/>
                <w:sz w:val="28"/>
                <w:szCs w:val="28"/>
              </w:rPr>
              <w:t>系列</w:t>
            </w:r>
            <w:r w:rsidRPr="00CF17E8">
              <w:rPr>
                <w:rFonts w:ascii="仿宋" w:eastAsia="仿宋" w:hAnsi="仿宋" w:hint="eastAsia"/>
                <w:sz w:val="28"/>
                <w:szCs w:val="28"/>
              </w:rPr>
              <w:t>产品形态由封闭模式调整为定开模式</w:t>
            </w:r>
            <w:r>
              <w:rPr>
                <w:rFonts w:ascii="仿宋" w:eastAsia="仿宋" w:hAnsi="仿宋" w:hint="eastAsia"/>
                <w:sz w:val="28"/>
                <w:szCs w:val="28"/>
              </w:rPr>
              <w:t>，</w:t>
            </w:r>
            <w:r w:rsidRPr="00CF17E8">
              <w:rPr>
                <w:rFonts w:ascii="仿宋" w:eastAsia="仿宋" w:hAnsi="仿宋" w:hint="eastAsia"/>
                <w:sz w:val="28"/>
                <w:szCs w:val="28"/>
              </w:rPr>
              <w:t>阳光</w:t>
            </w:r>
            <w:proofErr w:type="gramStart"/>
            <w:r w:rsidRPr="00CF17E8">
              <w:rPr>
                <w:rFonts w:ascii="仿宋" w:eastAsia="仿宋" w:hAnsi="仿宋" w:hint="eastAsia"/>
                <w:sz w:val="28"/>
                <w:szCs w:val="28"/>
              </w:rPr>
              <w:t>青定开系列</w:t>
            </w:r>
            <w:proofErr w:type="gramEnd"/>
            <w:r w:rsidRPr="00DC412E">
              <w:rPr>
                <w:rFonts w:ascii="仿宋" w:eastAsia="仿宋" w:hAnsi="仿宋"/>
                <w:sz w:val="28"/>
                <w:szCs w:val="28"/>
              </w:rPr>
              <w:t>场外黄金挂钩理财产品</w:t>
            </w:r>
            <w:r w:rsidRPr="00CF17E8">
              <w:rPr>
                <w:rFonts w:ascii="仿宋" w:eastAsia="仿宋" w:hAnsi="仿宋" w:hint="eastAsia"/>
                <w:sz w:val="28"/>
                <w:szCs w:val="28"/>
              </w:rPr>
              <w:t>所采用</w:t>
            </w:r>
            <w:r>
              <w:rPr>
                <w:rFonts w:ascii="仿宋" w:eastAsia="仿宋" w:hAnsi="仿宋" w:hint="eastAsia"/>
                <w:sz w:val="28"/>
                <w:szCs w:val="28"/>
              </w:rPr>
              <w:t>双向鲨鱼</w:t>
            </w:r>
            <w:proofErr w:type="gramStart"/>
            <w:r>
              <w:rPr>
                <w:rFonts w:ascii="仿宋" w:eastAsia="仿宋" w:hAnsi="仿宋" w:hint="eastAsia"/>
                <w:sz w:val="28"/>
                <w:szCs w:val="28"/>
              </w:rPr>
              <w:t>鳍</w:t>
            </w:r>
            <w:proofErr w:type="gramEnd"/>
            <w:r w:rsidRPr="00CF17E8">
              <w:rPr>
                <w:rFonts w:ascii="仿宋" w:eastAsia="仿宋" w:hAnsi="仿宋" w:hint="eastAsia"/>
                <w:sz w:val="28"/>
                <w:szCs w:val="28"/>
              </w:rPr>
              <w:t>期权结构的场外波动率策略，投资期限为无固定投资期限，单个投资周期支付买入场外期权权利金不超过单个投资周期类固定收益资产预期收益</w:t>
            </w:r>
            <w:r w:rsidRPr="00CF17E8">
              <w:rPr>
                <w:rFonts w:ascii="仿宋" w:eastAsia="仿宋" w:hAnsi="仿宋"/>
                <w:sz w:val="28"/>
                <w:szCs w:val="28"/>
              </w:rPr>
              <w:t>的</w:t>
            </w:r>
            <w:r w:rsidRPr="00CF17E8">
              <w:rPr>
                <w:rFonts w:ascii="仿宋" w:eastAsia="仿宋" w:hAnsi="仿宋" w:hint="eastAsia"/>
                <w:sz w:val="28"/>
                <w:szCs w:val="28"/>
              </w:rPr>
              <w:t>6</w:t>
            </w:r>
            <w:r w:rsidRPr="00CF17E8">
              <w:rPr>
                <w:rFonts w:ascii="仿宋" w:eastAsia="仿宋" w:hAnsi="仿宋"/>
                <w:sz w:val="28"/>
                <w:szCs w:val="28"/>
              </w:rPr>
              <w:t>0</w:t>
            </w:r>
            <w:r w:rsidRPr="00CF17E8">
              <w:rPr>
                <w:rFonts w:ascii="仿宋" w:eastAsia="仿宋" w:hAnsi="仿宋" w:hint="eastAsia"/>
                <w:sz w:val="28"/>
                <w:szCs w:val="28"/>
              </w:rPr>
              <w:t>%，</w:t>
            </w:r>
            <w:r w:rsidRPr="00CF17E8">
              <w:rPr>
                <w:rFonts w:ascii="仿宋" w:eastAsia="仿宋" w:hAnsi="仿宋"/>
                <w:sz w:val="28"/>
                <w:szCs w:val="28"/>
              </w:rPr>
              <w:t>投资所使用的期权权利金额度占用</w:t>
            </w:r>
            <w:r w:rsidRPr="00DC412E">
              <w:rPr>
                <w:rFonts w:ascii="仿宋" w:eastAsia="仿宋" w:hAnsi="仿宋"/>
                <w:sz w:val="28"/>
                <w:szCs w:val="28"/>
              </w:rPr>
              <w:t>阳光青系列场外黄金挂钩理财产品权利金总投资额度</w:t>
            </w:r>
            <w:r w:rsidRPr="00DC412E">
              <w:rPr>
                <w:rFonts w:ascii="仿宋" w:eastAsia="仿宋" w:hAnsi="仿宋" w:hint="eastAsia"/>
                <w:sz w:val="28"/>
                <w:szCs w:val="28"/>
              </w:rPr>
              <w:t>5</w:t>
            </w:r>
            <w:r w:rsidRPr="00DC412E">
              <w:rPr>
                <w:rFonts w:ascii="仿宋" w:eastAsia="仿宋" w:hAnsi="仿宋"/>
                <w:sz w:val="28"/>
                <w:szCs w:val="28"/>
              </w:rPr>
              <w:t>000万元人民币</w:t>
            </w:r>
            <w:r w:rsidRPr="00CF17E8">
              <w:rPr>
                <w:rFonts w:ascii="仿宋" w:eastAsia="仿宋" w:hAnsi="仿宋" w:hint="eastAsia"/>
                <w:sz w:val="28"/>
                <w:szCs w:val="28"/>
              </w:rPr>
              <w:t>。</w:t>
            </w:r>
          </w:p>
          <w:p w14:paraId="289609A3" w14:textId="77777777" w:rsidR="00577846" w:rsidRDefault="00577846" w:rsidP="00577846">
            <w:pPr>
              <w:ind w:firstLineChars="200" w:firstLine="560"/>
              <w:rPr>
                <w:rFonts w:ascii="仿宋" w:eastAsia="仿宋" w:hAnsi="仿宋"/>
                <w:sz w:val="28"/>
                <w:szCs w:val="28"/>
              </w:rPr>
            </w:pPr>
            <w:r>
              <w:rPr>
                <w:rFonts w:ascii="仿宋" w:eastAsia="仿宋" w:hAnsi="仿宋" w:hint="eastAsia"/>
                <w:sz w:val="28"/>
                <w:szCs w:val="28"/>
              </w:rPr>
              <w:t>对定开型阳光青系列产品而言，</w:t>
            </w:r>
            <w:r w:rsidRPr="00E518AD">
              <w:rPr>
                <w:rFonts w:ascii="仿宋" w:eastAsia="仿宋" w:hAnsi="仿宋" w:hint="eastAsia"/>
                <w:sz w:val="28"/>
                <w:szCs w:val="28"/>
              </w:rPr>
              <w:t>每个投资周期内</w:t>
            </w:r>
            <w:r>
              <w:rPr>
                <w:rFonts w:ascii="仿宋" w:eastAsia="仿宋" w:hAnsi="仿宋" w:hint="eastAsia"/>
                <w:sz w:val="28"/>
                <w:szCs w:val="28"/>
              </w:rPr>
              <w:t>采用的场外波动率策略固定</w:t>
            </w:r>
            <w:r w:rsidRPr="00E518AD">
              <w:rPr>
                <w:rFonts w:ascii="仿宋" w:eastAsia="仿宋" w:hAnsi="仿宋" w:hint="eastAsia"/>
                <w:sz w:val="28"/>
                <w:szCs w:val="28"/>
              </w:rPr>
              <w:t>，</w:t>
            </w:r>
            <w:r>
              <w:rPr>
                <w:rFonts w:ascii="仿宋" w:eastAsia="仿宋" w:hAnsi="仿宋" w:hint="eastAsia"/>
                <w:sz w:val="28"/>
                <w:szCs w:val="28"/>
              </w:rPr>
              <w:t>期权参数由投资经理每期根据市场情况调整，每期定期披露，因此每个周期内定开型产品策略与封闭型产品运作方式相似。</w:t>
            </w:r>
          </w:p>
          <w:p w14:paraId="1EFC755A" w14:textId="77777777" w:rsidR="00577846" w:rsidRDefault="00577846" w:rsidP="00577846">
            <w:pPr>
              <w:ind w:firstLineChars="200" w:firstLine="560"/>
              <w:rPr>
                <w:rFonts w:ascii="仿宋" w:eastAsia="仿宋" w:hAnsi="仿宋"/>
                <w:sz w:val="28"/>
                <w:szCs w:val="28"/>
              </w:rPr>
            </w:pPr>
            <w:r>
              <w:rPr>
                <w:rFonts w:ascii="仿宋" w:eastAsia="仿宋" w:hAnsi="仿宋" w:hint="eastAsia"/>
                <w:sz w:val="28"/>
                <w:szCs w:val="28"/>
              </w:rPr>
              <w:t>产品策略收益来源分为底层绝对收益策略和场外波动率策略。产品底层绝对收益策略影响产品收益下限，根据投资</w:t>
            </w:r>
            <w:proofErr w:type="gramStart"/>
            <w:r>
              <w:rPr>
                <w:rFonts w:ascii="仿宋" w:eastAsia="仿宋" w:hAnsi="仿宋" w:hint="eastAsia"/>
                <w:sz w:val="28"/>
                <w:szCs w:val="28"/>
              </w:rPr>
              <w:t>经理尽调报告</w:t>
            </w:r>
            <w:proofErr w:type="gramEnd"/>
            <w:r>
              <w:rPr>
                <w:rFonts w:ascii="仿宋" w:eastAsia="仿宋" w:hAnsi="仿宋" w:hint="eastAsia"/>
                <w:sz w:val="28"/>
                <w:szCs w:val="28"/>
              </w:rPr>
              <w:t>，将根据产品不同生命周期采用不同绝对收益策略，随着产品生命周期成熟逐渐降低非标、</w:t>
            </w:r>
            <w:proofErr w:type="gramStart"/>
            <w:r>
              <w:rPr>
                <w:rFonts w:ascii="仿宋" w:eastAsia="仿宋" w:hAnsi="仿宋" w:hint="eastAsia"/>
                <w:sz w:val="28"/>
                <w:szCs w:val="28"/>
              </w:rPr>
              <w:t>优先股固收</w:t>
            </w:r>
            <w:proofErr w:type="gramEnd"/>
            <w:r>
              <w:rPr>
                <w:rFonts w:ascii="仿宋" w:eastAsia="仿宋" w:hAnsi="仿宋" w:hint="eastAsia"/>
                <w:sz w:val="28"/>
                <w:szCs w:val="28"/>
              </w:rPr>
              <w:t>+策略比例，提升量化对冲策略占比作为替代，具体投资策略由投资经理投资时上会审批。</w:t>
            </w:r>
            <w:proofErr w:type="gramStart"/>
            <w:r>
              <w:rPr>
                <w:rFonts w:ascii="仿宋" w:eastAsia="仿宋" w:hAnsi="仿宋" w:hint="eastAsia"/>
                <w:sz w:val="28"/>
                <w:szCs w:val="28"/>
              </w:rPr>
              <w:t>阳光青定开</w:t>
            </w:r>
            <w:proofErr w:type="gramEnd"/>
            <w:r>
              <w:rPr>
                <w:rFonts w:ascii="仿宋" w:eastAsia="仿宋" w:hAnsi="仿宋" w:hint="eastAsia"/>
                <w:sz w:val="28"/>
                <w:szCs w:val="28"/>
              </w:rPr>
              <w:t>系列产品场外波动率策略主要采用双向鲨鱼</w:t>
            </w:r>
            <w:proofErr w:type="gramStart"/>
            <w:r>
              <w:rPr>
                <w:rFonts w:ascii="仿宋" w:eastAsia="仿宋" w:hAnsi="仿宋" w:hint="eastAsia"/>
                <w:sz w:val="28"/>
                <w:szCs w:val="28"/>
              </w:rPr>
              <w:t>鳍</w:t>
            </w:r>
            <w:proofErr w:type="gramEnd"/>
            <w:r>
              <w:rPr>
                <w:rFonts w:ascii="仿宋" w:eastAsia="仿宋" w:hAnsi="仿宋" w:hint="eastAsia"/>
                <w:sz w:val="28"/>
                <w:szCs w:val="28"/>
              </w:rPr>
              <w:t>期权结构，阳光</w:t>
            </w:r>
            <w:proofErr w:type="gramStart"/>
            <w:r>
              <w:rPr>
                <w:rFonts w:ascii="仿宋" w:eastAsia="仿宋" w:hAnsi="仿宋" w:hint="eastAsia"/>
                <w:sz w:val="28"/>
                <w:szCs w:val="28"/>
              </w:rPr>
              <w:t>青智盈</w:t>
            </w:r>
            <w:proofErr w:type="gramEnd"/>
            <w:r>
              <w:rPr>
                <w:rFonts w:ascii="仿宋" w:eastAsia="仿宋" w:hAnsi="仿宋" w:hint="eastAsia"/>
                <w:sz w:val="28"/>
                <w:szCs w:val="28"/>
              </w:rPr>
              <w:t>2期为例，其挂钩标的为</w:t>
            </w:r>
            <w:r>
              <w:rPr>
                <w:rFonts w:ascii="仿宋" w:eastAsia="仿宋" w:hAnsi="仿宋" w:hint="eastAsia"/>
                <w:sz w:val="28"/>
                <w:szCs w:val="28"/>
              </w:rPr>
              <w:lastRenderedPageBreak/>
              <w:t>沪金期货主力合约，全球央行大放水环境下，美联储宽松的货币政策对黄金价格有所支撑，中长期美元较大概率处于弱势周期，短期内美国大选、财政刺激计划以及地缘政治等因素将造成黄金价格出现一定波动。</w:t>
            </w:r>
          </w:p>
          <w:p w14:paraId="562ECDF1" w14:textId="6D29E28B" w:rsidR="00577846" w:rsidRDefault="00577846" w:rsidP="00577846">
            <w:pPr>
              <w:ind w:firstLineChars="200" w:firstLine="560"/>
              <w:rPr>
                <w:rFonts w:ascii="仿宋" w:eastAsia="仿宋" w:hAnsi="仿宋"/>
                <w:sz w:val="28"/>
                <w:szCs w:val="28"/>
              </w:rPr>
            </w:pPr>
            <w:r>
              <w:rPr>
                <w:rFonts w:ascii="仿宋" w:eastAsia="仿宋" w:hAnsi="仿宋" w:hint="eastAsia"/>
                <w:sz w:val="28"/>
                <w:szCs w:val="28"/>
              </w:rPr>
              <w:t>综上，同意将</w:t>
            </w:r>
            <w:r w:rsidR="00634332">
              <w:rPr>
                <w:rFonts w:ascii="仿宋" w:eastAsia="仿宋" w:hAnsi="仿宋" w:hint="eastAsia"/>
                <w:sz w:val="28"/>
                <w:szCs w:val="28"/>
              </w:rPr>
              <w:t>采用</w:t>
            </w:r>
            <w:r>
              <w:rPr>
                <w:rFonts w:ascii="仿宋" w:eastAsia="仿宋" w:hAnsi="仿宋" w:hint="eastAsia"/>
                <w:sz w:val="28"/>
                <w:szCs w:val="28"/>
              </w:rPr>
              <w:t>双向鲨鱼</w:t>
            </w:r>
            <w:proofErr w:type="gramStart"/>
            <w:r>
              <w:rPr>
                <w:rFonts w:ascii="仿宋" w:eastAsia="仿宋" w:hAnsi="仿宋" w:hint="eastAsia"/>
                <w:sz w:val="28"/>
                <w:szCs w:val="28"/>
              </w:rPr>
              <w:t>鳍</w:t>
            </w:r>
            <w:proofErr w:type="gramEnd"/>
            <w:r w:rsidR="00634332">
              <w:rPr>
                <w:rFonts w:ascii="仿宋" w:eastAsia="仿宋" w:hAnsi="仿宋" w:hint="eastAsia"/>
                <w:sz w:val="28"/>
                <w:szCs w:val="28"/>
              </w:rPr>
              <w:t>结构的</w:t>
            </w:r>
            <w:r>
              <w:rPr>
                <w:rFonts w:ascii="仿宋" w:eastAsia="仿宋" w:hAnsi="仿宋" w:hint="eastAsia"/>
                <w:sz w:val="28"/>
                <w:szCs w:val="28"/>
              </w:rPr>
              <w:t>场外波动率策略纳入</w:t>
            </w:r>
            <w:proofErr w:type="gramStart"/>
            <w:r>
              <w:rPr>
                <w:rFonts w:ascii="仿宋" w:eastAsia="仿宋" w:hAnsi="仿宋" w:hint="eastAsia"/>
                <w:sz w:val="28"/>
                <w:szCs w:val="28"/>
              </w:rPr>
              <w:t>阳光青定开</w:t>
            </w:r>
            <w:proofErr w:type="gramEnd"/>
            <w:r>
              <w:rPr>
                <w:rFonts w:ascii="仿宋" w:eastAsia="仿宋" w:hAnsi="仿宋" w:hint="eastAsia"/>
                <w:sz w:val="28"/>
                <w:szCs w:val="28"/>
              </w:rPr>
              <w:t>系列产品投资范围。</w:t>
            </w:r>
          </w:p>
          <w:p w14:paraId="62A8C802" w14:textId="77777777" w:rsidR="00577846" w:rsidRDefault="00577846" w:rsidP="00577846">
            <w:pPr>
              <w:ind w:firstLineChars="200" w:firstLine="480"/>
              <w:rPr>
                <w:rFonts w:ascii="仿宋_GB2312" w:eastAsia="仿宋_GB2312" w:hAnsi="仿宋" w:cs="仿宋"/>
                <w:sz w:val="24"/>
                <w:szCs w:val="20"/>
              </w:rPr>
            </w:pPr>
          </w:p>
        </w:tc>
      </w:tr>
      <w:tr w:rsidR="00577846" w14:paraId="56289BAF" w14:textId="77777777">
        <w:trPr>
          <w:trHeight w:val="1767"/>
          <w:jc w:val="center"/>
        </w:trPr>
        <w:tc>
          <w:tcPr>
            <w:tcW w:w="2428" w:type="dxa"/>
            <w:gridSpan w:val="2"/>
            <w:vAlign w:val="center"/>
          </w:tcPr>
          <w:p w14:paraId="2E0D9317" w14:textId="77777777" w:rsidR="00577846" w:rsidRDefault="00577846" w:rsidP="00577846">
            <w:pPr>
              <w:wordWrap w:val="0"/>
              <w:adjustRightInd w:val="0"/>
              <w:spacing w:line="276" w:lineRule="auto"/>
              <w:rPr>
                <w:rFonts w:ascii="仿宋_GB2312" w:eastAsia="仿宋_GB2312" w:hAnsi="仿宋" w:cs="仿宋"/>
                <w:b/>
                <w:bCs/>
                <w:sz w:val="28"/>
                <w:szCs w:val="28"/>
              </w:rPr>
            </w:pPr>
            <w:r>
              <w:rPr>
                <w:rFonts w:ascii="仿宋_GB2312" w:eastAsia="仿宋_GB2312" w:hAnsi="仿宋" w:cs="仿宋" w:hint="eastAsia"/>
                <w:b/>
                <w:sz w:val="24"/>
              </w:rPr>
              <w:lastRenderedPageBreak/>
              <w:t>首席投资</w:t>
            </w:r>
            <w:proofErr w:type="gramStart"/>
            <w:r>
              <w:rPr>
                <w:rFonts w:ascii="仿宋_GB2312" w:eastAsia="仿宋_GB2312" w:hAnsi="仿宋" w:cs="仿宋" w:hint="eastAsia"/>
                <w:b/>
                <w:sz w:val="24"/>
              </w:rPr>
              <w:t>官意见</w:t>
            </w:r>
            <w:proofErr w:type="gramEnd"/>
          </w:p>
        </w:tc>
        <w:tc>
          <w:tcPr>
            <w:tcW w:w="8292" w:type="dxa"/>
            <w:gridSpan w:val="3"/>
            <w:vAlign w:val="center"/>
          </w:tcPr>
          <w:p w14:paraId="59D098D2" w14:textId="77777777" w:rsidR="00577846" w:rsidRDefault="00577846" w:rsidP="00577846">
            <w:pPr>
              <w:spacing w:line="288" w:lineRule="auto"/>
              <w:ind w:firstLineChars="2500" w:firstLine="6000"/>
              <w:rPr>
                <w:rFonts w:ascii="仿宋_GB2312" w:eastAsia="仿宋_GB2312" w:hAnsi="仿宋" w:cs="仿宋"/>
                <w:color w:val="000000"/>
                <w:sz w:val="24"/>
                <w:shd w:val="clear" w:color="auto" w:fill="FFFFFF"/>
              </w:rPr>
            </w:pPr>
          </w:p>
          <w:p w14:paraId="328391FF" w14:textId="77777777" w:rsidR="00577846" w:rsidRDefault="00577846" w:rsidP="00577846">
            <w:pPr>
              <w:spacing w:line="288" w:lineRule="auto"/>
              <w:ind w:firstLineChars="2500" w:firstLine="6000"/>
              <w:rPr>
                <w:rFonts w:ascii="仿宋_GB2312" w:eastAsia="仿宋_GB2312" w:hAnsi="仿宋" w:cs="仿宋"/>
                <w:color w:val="000000"/>
                <w:sz w:val="24"/>
                <w:shd w:val="clear" w:color="auto" w:fill="FFFFFF"/>
              </w:rPr>
            </w:pPr>
          </w:p>
          <w:p w14:paraId="7C84B814" w14:textId="77777777" w:rsidR="00577846" w:rsidRDefault="00577846" w:rsidP="00577846">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0A96CC4F" w14:textId="77777777" w:rsidR="00577846" w:rsidRDefault="00577846" w:rsidP="00577846">
            <w:pPr>
              <w:spacing w:line="288" w:lineRule="auto"/>
              <w:ind w:firstLineChars="2500" w:firstLine="6000"/>
              <w:rPr>
                <w:rFonts w:ascii="仿宋_GB2312" w:eastAsia="仿宋_GB2312" w:hAnsi="仿宋" w:cs="仿宋"/>
                <w:b/>
                <w:bCs/>
                <w:sz w:val="28"/>
                <w:szCs w:val="28"/>
              </w:rPr>
            </w:pPr>
            <w:r>
              <w:rPr>
                <w:rFonts w:ascii="仿宋_GB2312" w:eastAsia="仿宋_GB2312" w:hAnsi="仿宋" w:cs="仿宋" w:hint="eastAsia"/>
                <w:color w:val="000000"/>
                <w:sz w:val="24"/>
                <w:shd w:val="clear" w:color="auto" w:fill="FFFFFF"/>
              </w:rPr>
              <w:t xml:space="preserve">日期： </w:t>
            </w:r>
          </w:p>
        </w:tc>
      </w:tr>
      <w:tr w:rsidR="00577846" w14:paraId="02240D39" w14:textId="77777777">
        <w:trPr>
          <w:trHeight w:val="1990"/>
          <w:jc w:val="center"/>
        </w:trPr>
        <w:tc>
          <w:tcPr>
            <w:tcW w:w="2428" w:type="dxa"/>
            <w:gridSpan w:val="2"/>
            <w:vAlign w:val="center"/>
          </w:tcPr>
          <w:p w14:paraId="6EE9701F" w14:textId="77777777" w:rsidR="00577846" w:rsidRDefault="00577846" w:rsidP="00577846">
            <w:pPr>
              <w:wordWrap w:val="0"/>
              <w:adjustRightInd w:val="0"/>
              <w:spacing w:line="276" w:lineRule="auto"/>
            </w:pPr>
            <w:r>
              <w:rPr>
                <w:rFonts w:ascii="仿宋_GB2312" w:eastAsia="仿宋_GB2312" w:hAnsi="仿宋" w:cs="仿宋" w:hint="eastAsia"/>
                <w:b/>
                <w:sz w:val="24"/>
              </w:rPr>
              <w:t>风险管理部意见</w:t>
            </w:r>
          </w:p>
        </w:tc>
        <w:tc>
          <w:tcPr>
            <w:tcW w:w="8292" w:type="dxa"/>
            <w:gridSpan w:val="3"/>
            <w:vAlign w:val="center"/>
          </w:tcPr>
          <w:p w14:paraId="0C7F5684" w14:textId="77777777" w:rsidR="00577846" w:rsidRDefault="00577846" w:rsidP="00577846">
            <w:pPr>
              <w:spacing w:line="288" w:lineRule="auto"/>
              <w:ind w:firstLineChars="2500" w:firstLine="6000"/>
              <w:rPr>
                <w:rFonts w:ascii="仿宋_GB2312" w:eastAsia="仿宋_GB2312" w:hAnsi="仿宋" w:cs="仿宋"/>
                <w:color w:val="000000"/>
                <w:sz w:val="24"/>
                <w:shd w:val="clear" w:color="auto" w:fill="FFFFFF"/>
              </w:rPr>
            </w:pPr>
          </w:p>
          <w:p w14:paraId="0C26C62C" w14:textId="77777777" w:rsidR="00577846" w:rsidRDefault="00577846" w:rsidP="00577846">
            <w:pPr>
              <w:spacing w:line="288" w:lineRule="auto"/>
              <w:ind w:firstLineChars="2500" w:firstLine="6000"/>
              <w:rPr>
                <w:rFonts w:ascii="仿宋_GB2312" w:eastAsia="仿宋_GB2312" w:hAnsi="仿宋" w:cs="仿宋"/>
                <w:color w:val="000000"/>
                <w:sz w:val="24"/>
                <w:shd w:val="clear" w:color="auto" w:fill="FFFFFF"/>
              </w:rPr>
            </w:pPr>
          </w:p>
          <w:p w14:paraId="468D2CA6" w14:textId="77777777" w:rsidR="00577846" w:rsidRDefault="00577846" w:rsidP="00577846">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30F6ABA8" w14:textId="77777777" w:rsidR="00577846" w:rsidRDefault="00577846" w:rsidP="00577846">
            <w:pPr>
              <w:spacing w:line="288" w:lineRule="auto"/>
              <w:ind w:firstLineChars="2500" w:firstLine="6000"/>
            </w:pPr>
            <w:r>
              <w:rPr>
                <w:rFonts w:ascii="仿宋_GB2312" w:eastAsia="仿宋_GB2312" w:hAnsi="仿宋" w:cs="仿宋" w:hint="eastAsia"/>
                <w:color w:val="000000"/>
                <w:sz w:val="24"/>
                <w:shd w:val="clear" w:color="auto" w:fill="FFFFFF"/>
              </w:rPr>
              <w:t xml:space="preserve">日期： </w:t>
            </w:r>
          </w:p>
        </w:tc>
      </w:tr>
      <w:tr w:rsidR="00577846" w14:paraId="67D42674" w14:textId="77777777">
        <w:trPr>
          <w:trHeight w:val="1968"/>
          <w:jc w:val="center"/>
        </w:trPr>
        <w:tc>
          <w:tcPr>
            <w:tcW w:w="2428" w:type="dxa"/>
            <w:gridSpan w:val="2"/>
            <w:vAlign w:val="center"/>
          </w:tcPr>
          <w:p w14:paraId="3C1BF83B" w14:textId="77777777" w:rsidR="00577846" w:rsidRDefault="00577846" w:rsidP="00577846">
            <w:pPr>
              <w:wordWrap w:val="0"/>
              <w:adjustRightInd w:val="0"/>
              <w:spacing w:line="276" w:lineRule="auto"/>
            </w:pPr>
            <w:r>
              <w:rPr>
                <w:rFonts w:ascii="仿宋_GB2312" w:eastAsia="仿宋_GB2312" w:hAnsi="仿宋" w:cs="仿宋" w:hint="eastAsia"/>
                <w:b/>
                <w:sz w:val="24"/>
              </w:rPr>
              <w:t>主管风险副总经理意见</w:t>
            </w:r>
          </w:p>
        </w:tc>
        <w:tc>
          <w:tcPr>
            <w:tcW w:w="8292" w:type="dxa"/>
            <w:gridSpan w:val="3"/>
            <w:vAlign w:val="center"/>
          </w:tcPr>
          <w:p w14:paraId="180ED5F1" w14:textId="77777777" w:rsidR="00577846" w:rsidRDefault="00577846" w:rsidP="00577846">
            <w:pPr>
              <w:spacing w:line="288" w:lineRule="auto"/>
              <w:ind w:firstLineChars="2500" w:firstLine="6000"/>
              <w:rPr>
                <w:rFonts w:ascii="仿宋_GB2312" w:eastAsia="仿宋_GB2312" w:hAnsi="仿宋" w:cs="仿宋"/>
                <w:color w:val="000000"/>
                <w:sz w:val="24"/>
                <w:shd w:val="clear" w:color="auto" w:fill="FFFFFF"/>
              </w:rPr>
            </w:pPr>
          </w:p>
          <w:p w14:paraId="0C323540" w14:textId="77777777" w:rsidR="00577846" w:rsidRDefault="00577846" w:rsidP="00577846">
            <w:pPr>
              <w:spacing w:line="288" w:lineRule="auto"/>
              <w:ind w:firstLineChars="2500" w:firstLine="6000"/>
              <w:rPr>
                <w:rFonts w:ascii="仿宋_GB2312" w:eastAsia="仿宋_GB2312" w:hAnsi="仿宋" w:cs="仿宋"/>
                <w:color w:val="000000"/>
                <w:sz w:val="24"/>
                <w:shd w:val="clear" w:color="auto" w:fill="FFFFFF"/>
              </w:rPr>
            </w:pPr>
          </w:p>
          <w:p w14:paraId="7D31A2A6" w14:textId="77777777" w:rsidR="00577846" w:rsidRDefault="00577846" w:rsidP="00577846">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7439C8AA" w14:textId="77777777" w:rsidR="00577846" w:rsidRDefault="00577846" w:rsidP="00577846">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 xml:space="preserve">日期： </w:t>
            </w:r>
          </w:p>
        </w:tc>
      </w:tr>
    </w:tbl>
    <w:p w14:paraId="50D4245B" w14:textId="77777777" w:rsidR="006157D6" w:rsidRDefault="00C42D36">
      <w:r>
        <w:rPr>
          <w:rFonts w:ascii="楷体" w:eastAsia="楷体" w:hAnsi="楷体" w:hint="eastAsia"/>
          <w:b/>
          <w:sz w:val="24"/>
        </w:rPr>
        <w:t>备注：前述流程审批完毕后，报公司</w:t>
      </w:r>
      <w:proofErr w:type="gramStart"/>
      <w:r>
        <w:rPr>
          <w:rFonts w:ascii="楷体" w:eastAsia="楷体" w:hAnsi="楷体" w:hint="eastAsia"/>
          <w:b/>
          <w:sz w:val="24"/>
        </w:rPr>
        <w:t>投决会</w:t>
      </w:r>
      <w:proofErr w:type="gramEnd"/>
      <w:r>
        <w:rPr>
          <w:rFonts w:ascii="楷体" w:eastAsia="楷体" w:hAnsi="楷体" w:hint="eastAsia"/>
          <w:b/>
          <w:sz w:val="24"/>
        </w:rPr>
        <w:t>审批。</w:t>
      </w:r>
    </w:p>
    <w:sectPr w:rsidR="006157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C6B25" w14:textId="77777777" w:rsidR="00445447" w:rsidRDefault="00445447" w:rsidP="0005707E">
      <w:pPr>
        <w:spacing w:line="240" w:lineRule="auto"/>
      </w:pPr>
      <w:r>
        <w:separator/>
      </w:r>
    </w:p>
  </w:endnote>
  <w:endnote w:type="continuationSeparator" w:id="0">
    <w:p w14:paraId="2D05B352" w14:textId="77777777" w:rsidR="00445447" w:rsidRDefault="00445447" w:rsidP="00057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FA801" w14:textId="77777777" w:rsidR="00445447" w:rsidRDefault="00445447" w:rsidP="0005707E">
      <w:pPr>
        <w:spacing w:line="240" w:lineRule="auto"/>
      </w:pPr>
      <w:r>
        <w:separator/>
      </w:r>
    </w:p>
  </w:footnote>
  <w:footnote w:type="continuationSeparator" w:id="0">
    <w:p w14:paraId="1BE865BC" w14:textId="77777777" w:rsidR="00445447" w:rsidRDefault="00445447" w:rsidP="0005707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FF2"/>
    <w:rsid w:val="00006CA3"/>
    <w:rsid w:val="0005707E"/>
    <w:rsid w:val="00166999"/>
    <w:rsid w:val="00203551"/>
    <w:rsid w:val="002D3055"/>
    <w:rsid w:val="003D4413"/>
    <w:rsid w:val="00445447"/>
    <w:rsid w:val="00575EC8"/>
    <w:rsid w:val="00577846"/>
    <w:rsid w:val="005A54F4"/>
    <w:rsid w:val="006157D6"/>
    <w:rsid w:val="00634332"/>
    <w:rsid w:val="00677FF2"/>
    <w:rsid w:val="0076245C"/>
    <w:rsid w:val="00920855"/>
    <w:rsid w:val="00B37B1B"/>
    <w:rsid w:val="00B40977"/>
    <w:rsid w:val="00C42D36"/>
    <w:rsid w:val="00DE2037"/>
    <w:rsid w:val="00EA2B97"/>
    <w:rsid w:val="00EB3629"/>
    <w:rsid w:val="0D30756C"/>
    <w:rsid w:val="2FD12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8EB1A"/>
  <w15:docId w15:val="{658B9CDB-B750-42A1-98C2-BD43E2A01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0" w:lineRule="atLeast"/>
      <w:jc w:val="both"/>
    </w:pPr>
    <w:rPr>
      <w:rFonts w:ascii="Calibri" w:eastAsia="宋体" w:hAnsi="Calibri" w:cs="Times New Roman"/>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spacing w:line="240" w:lineRule="atLeast"/>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Pr>
      <w:rFonts w:ascii="Calibri" w:eastAsia="宋体" w:hAnsi="Calibri" w:cs="Times New Roman"/>
      <w:sz w:val="18"/>
      <w:szCs w:val="18"/>
    </w:rPr>
  </w:style>
  <w:style w:type="character" w:customStyle="1" w:styleId="FooterChar">
    <w:name w:val="Footer Char"/>
    <w:basedOn w:val="DefaultParagraphFont"/>
    <w:link w:val="Footer"/>
    <w:uiPriority w:val="99"/>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Xinyu Zhou</cp:lastModifiedBy>
  <cp:revision>2</cp:revision>
  <dcterms:created xsi:type="dcterms:W3CDTF">2021-12-03T03:31:00Z</dcterms:created>
  <dcterms:modified xsi:type="dcterms:W3CDTF">2021-12-03T03:31:00Z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