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C289" w14:textId="77777777" w:rsidR="00D4368C" w:rsidRDefault="001710E2">
      <w:pPr>
        <w:spacing w:line="300" w:lineRule="auto"/>
        <w:ind w:firstLineChars="2500" w:firstLine="5500"/>
        <w:rPr>
          <w:rFonts w:ascii="华文宋体" w:hAnsi="华文宋体"/>
          <w:szCs w:val="21"/>
        </w:rPr>
      </w:pPr>
      <w:r>
        <w:rPr>
          <w:rFonts w:ascii="Arial" w:eastAsia="Arial" w:hAnsi="Arial" w:cs="Arial"/>
          <w:color w:val="000000"/>
          <w:sz w:val="22"/>
        </w:rPr>
        <w:t>光银托管上海2021QH0014</w:t>
      </w:r>
    </w:p>
    <w:p w14:paraId="7D0BE0B3" w14:textId="77777777" w:rsidR="00D4368C" w:rsidRDefault="00D4368C">
      <w:pPr>
        <w:spacing w:line="300" w:lineRule="auto"/>
        <w:rPr>
          <w:rFonts w:ascii="华文宋体" w:hAnsi="华文宋体"/>
          <w:szCs w:val="21"/>
        </w:rPr>
      </w:pPr>
    </w:p>
    <w:p w14:paraId="4BB8388D" w14:textId="77777777" w:rsidR="00D4368C" w:rsidRDefault="00D4368C">
      <w:pPr>
        <w:spacing w:line="300" w:lineRule="auto"/>
        <w:rPr>
          <w:rFonts w:ascii="华文宋体" w:hAnsi="华文宋体"/>
          <w:szCs w:val="21"/>
        </w:rPr>
      </w:pPr>
    </w:p>
    <w:p w14:paraId="755E4712" w14:textId="77777777" w:rsidR="00D4368C" w:rsidRDefault="00D4368C">
      <w:pPr>
        <w:spacing w:line="300" w:lineRule="auto"/>
        <w:rPr>
          <w:rFonts w:ascii="华文宋体" w:hAnsi="华文宋体"/>
          <w:szCs w:val="21"/>
        </w:rPr>
      </w:pPr>
    </w:p>
    <w:p w14:paraId="3CD9732D" w14:textId="77777777" w:rsidR="00D4368C" w:rsidRDefault="00D4368C">
      <w:pPr>
        <w:spacing w:line="300" w:lineRule="auto"/>
        <w:rPr>
          <w:rFonts w:ascii="华文宋体" w:hAnsi="华文宋体"/>
          <w:szCs w:val="21"/>
        </w:rPr>
      </w:pPr>
    </w:p>
    <w:p w14:paraId="7D246614" w14:textId="77777777" w:rsidR="00D4368C" w:rsidRDefault="001710E2">
      <w:pPr>
        <w:spacing w:line="300" w:lineRule="auto"/>
        <w:jc w:val="center"/>
        <w:rPr>
          <w:rFonts w:ascii="华文宋体" w:hAnsi="华文宋体"/>
          <w:b/>
          <w:sz w:val="36"/>
          <w:szCs w:val="36"/>
        </w:rPr>
      </w:pPr>
      <w:r>
        <w:rPr>
          <w:rFonts w:ascii="华文宋体" w:hAnsi="华文宋体" w:hint="eastAsia"/>
          <w:b/>
          <w:sz w:val="36"/>
          <w:szCs w:val="36"/>
        </w:rPr>
        <w:t>光大期货-光大理财阳光精选2号集合资产管理计划</w:t>
      </w:r>
    </w:p>
    <w:p w14:paraId="786CFA35" w14:textId="77777777" w:rsidR="00D4368C" w:rsidRDefault="001710E2">
      <w:pPr>
        <w:spacing w:line="300" w:lineRule="auto"/>
        <w:jc w:val="center"/>
        <w:rPr>
          <w:rFonts w:ascii="华文宋体" w:hAnsi="华文宋体"/>
          <w:b/>
          <w:sz w:val="36"/>
          <w:szCs w:val="36"/>
        </w:rPr>
      </w:pPr>
      <w:r>
        <w:rPr>
          <w:rFonts w:ascii="华文宋体" w:hAnsi="华文宋体" w:hint="eastAsia"/>
          <w:b/>
          <w:sz w:val="36"/>
          <w:szCs w:val="36"/>
        </w:rPr>
        <w:t>资产管理合同</w:t>
      </w:r>
    </w:p>
    <w:p w14:paraId="07C7C7A8" w14:textId="77777777" w:rsidR="00D4368C" w:rsidRDefault="001710E2">
      <w:pPr>
        <w:spacing w:line="300" w:lineRule="auto"/>
        <w:jc w:val="center"/>
        <w:rPr>
          <w:rFonts w:ascii="仿宋_GB2312" w:eastAsia="仿宋_GB2312"/>
          <w:b/>
          <w:color w:val="000000"/>
          <w:szCs w:val="21"/>
        </w:rPr>
      </w:pPr>
      <w:r>
        <w:rPr>
          <w:rFonts w:ascii="华文宋体" w:hAnsi="华文宋体" w:hint="eastAsia"/>
          <w:b/>
          <w:szCs w:val="21"/>
        </w:rPr>
        <w:t>合同编号：</w:t>
      </w:r>
      <w:r>
        <w:rPr>
          <w:rFonts w:ascii="仿宋_GB2312" w:eastAsia="仿宋_GB2312" w:hint="eastAsia"/>
          <w:b/>
          <w:color w:val="000000"/>
          <w:szCs w:val="21"/>
        </w:rPr>
        <w:t>【GDQH-2021JH019】</w:t>
      </w:r>
    </w:p>
    <w:p w14:paraId="16432A03" w14:textId="77777777" w:rsidR="00D4368C" w:rsidRDefault="00D4368C">
      <w:pPr>
        <w:spacing w:line="300" w:lineRule="auto"/>
        <w:jc w:val="center"/>
        <w:rPr>
          <w:rFonts w:ascii="华文宋体" w:hAnsi="华文宋体"/>
          <w:b/>
          <w:szCs w:val="21"/>
        </w:rPr>
      </w:pPr>
    </w:p>
    <w:p w14:paraId="29AF6E7D" w14:textId="77777777" w:rsidR="00D4368C" w:rsidRDefault="00D4368C">
      <w:pPr>
        <w:spacing w:line="300" w:lineRule="auto"/>
        <w:rPr>
          <w:rFonts w:ascii="华文宋体" w:hAnsi="华文宋体"/>
          <w:szCs w:val="21"/>
        </w:rPr>
      </w:pPr>
    </w:p>
    <w:p w14:paraId="4A2E6A21" w14:textId="77777777" w:rsidR="00D4368C" w:rsidRDefault="00D4368C">
      <w:pPr>
        <w:spacing w:line="300" w:lineRule="auto"/>
        <w:rPr>
          <w:rFonts w:ascii="华文宋体" w:hAnsi="华文宋体"/>
          <w:szCs w:val="21"/>
        </w:rPr>
      </w:pPr>
    </w:p>
    <w:p w14:paraId="71AA6115" w14:textId="77777777" w:rsidR="00D4368C" w:rsidRDefault="00D4368C">
      <w:pPr>
        <w:spacing w:line="300" w:lineRule="auto"/>
        <w:rPr>
          <w:rFonts w:ascii="华文宋体" w:hAnsi="华文宋体"/>
          <w:szCs w:val="21"/>
        </w:rPr>
      </w:pPr>
    </w:p>
    <w:p w14:paraId="305B4E74" w14:textId="77777777" w:rsidR="00D4368C" w:rsidRDefault="00D4368C">
      <w:pPr>
        <w:spacing w:line="300" w:lineRule="auto"/>
        <w:rPr>
          <w:rFonts w:ascii="华文宋体" w:hAnsi="华文宋体"/>
          <w:szCs w:val="21"/>
        </w:rPr>
      </w:pPr>
    </w:p>
    <w:p w14:paraId="39DD7A4E" w14:textId="77777777" w:rsidR="00D4368C" w:rsidRDefault="00D4368C">
      <w:pPr>
        <w:spacing w:line="300" w:lineRule="auto"/>
        <w:rPr>
          <w:rFonts w:ascii="华文宋体" w:hAnsi="华文宋体"/>
          <w:szCs w:val="21"/>
        </w:rPr>
      </w:pPr>
    </w:p>
    <w:p w14:paraId="00A9C4BA" w14:textId="77777777" w:rsidR="00D4368C" w:rsidRDefault="00D4368C">
      <w:pPr>
        <w:spacing w:line="300" w:lineRule="auto"/>
        <w:jc w:val="center"/>
        <w:rPr>
          <w:rFonts w:ascii="华文宋体" w:hAnsi="华文宋体"/>
          <w:szCs w:val="21"/>
        </w:rPr>
      </w:pPr>
    </w:p>
    <w:p w14:paraId="0BECC481" w14:textId="77777777" w:rsidR="00D4368C" w:rsidRDefault="00D4368C">
      <w:pPr>
        <w:spacing w:line="300" w:lineRule="auto"/>
        <w:rPr>
          <w:rFonts w:ascii="华文宋体" w:hAnsi="华文宋体"/>
          <w:szCs w:val="21"/>
        </w:rPr>
      </w:pPr>
    </w:p>
    <w:p w14:paraId="153B2D6F" w14:textId="77777777" w:rsidR="00D4368C" w:rsidRDefault="001710E2">
      <w:pPr>
        <w:spacing w:line="300" w:lineRule="auto"/>
        <w:jc w:val="center"/>
        <w:rPr>
          <w:rFonts w:ascii="华文宋体" w:hAnsi="华文宋体"/>
          <w:b/>
          <w:szCs w:val="21"/>
        </w:rPr>
      </w:pPr>
      <w:r>
        <w:rPr>
          <w:rFonts w:ascii="华文宋体" w:hAnsi="华文宋体" w:hint="eastAsia"/>
          <w:b/>
          <w:szCs w:val="21"/>
        </w:rPr>
        <w:t xml:space="preserve">资产管理人：【光大期货有限公司】 </w:t>
      </w:r>
    </w:p>
    <w:p w14:paraId="1A4AAC84" w14:textId="77777777" w:rsidR="00D4368C" w:rsidRDefault="001710E2">
      <w:pPr>
        <w:spacing w:line="300" w:lineRule="auto"/>
        <w:jc w:val="center"/>
        <w:rPr>
          <w:rFonts w:ascii="华文宋体" w:hAnsi="华文宋体"/>
          <w:b/>
          <w:szCs w:val="21"/>
        </w:rPr>
      </w:pPr>
      <w:r>
        <w:rPr>
          <w:rFonts w:ascii="华文宋体" w:hAnsi="华文宋体" w:hint="eastAsia"/>
          <w:b/>
          <w:szCs w:val="21"/>
        </w:rPr>
        <w:t xml:space="preserve">资产托管人：【中国光大银行股份有限公司上海分行】 </w:t>
      </w:r>
    </w:p>
    <w:p w14:paraId="3DC91417" w14:textId="77777777" w:rsidR="00D4368C" w:rsidRDefault="00D4368C">
      <w:pPr>
        <w:spacing w:line="300" w:lineRule="auto"/>
        <w:rPr>
          <w:rFonts w:ascii="华文宋体" w:hAnsi="华文宋体"/>
          <w:b/>
          <w:szCs w:val="21"/>
        </w:rPr>
      </w:pPr>
    </w:p>
    <w:p w14:paraId="6373CA43" w14:textId="77777777" w:rsidR="00D4368C" w:rsidRDefault="001710E2">
      <w:pPr>
        <w:spacing w:line="300" w:lineRule="auto"/>
        <w:jc w:val="center"/>
        <w:rPr>
          <w:rFonts w:ascii="华文宋体" w:hAnsi="华文宋体"/>
          <w:b/>
          <w:szCs w:val="21"/>
        </w:rPr>
        <w:sectPr w:rsidR="00D4368C">
          <w:headerReference w:type="default" r:id="rId8"/>
          <w:footerReference w:type="even" r:id="rId9"/>
          <w:footerReference w:type="default" r:id="rId10"/>
          <w:footerReference w:type="first" r:id="rId11"/>
          <w:pgSz w:w="11906" w:h="16838"/>
          <w:pgMar w:top="1440" w:right="1800" w:bottom="1440" w:left="1800" w:header="851" w:footer="992" w:gutter="0"/>
          <w:cols w:space="425"/>
          <w:titlePg/>
          <w:docGrid w:type="lines" w:linePitch="312"/>
        </w:sectPr>
      </w:pPr>
      <w:r>
        <w:rPr>
          <w:rFonts w:ascii="华文宋体" w:hAnsi="华文宋体" w:hint="eastAsia"/>
          <w:b/>
          <w:szCs w:val="21"/>
        </w:rPr>
        <w:t>二〇二一年十二月</w:t>
      </w:r>
    </w:p>
    <w:p w14:paraId="6C235610" w14:textId="77777777" w:rsidR="00D4368C" w:rsidRDefault="001710E2">
      <w:pPr>
        <w:spacing w:line="300" w:lineRule="auto"/>
        <w:jc w:val="center"/>
        <w:rPr>
          <w:rFonts w:ascii="华文宋体" w:hAnsi="华文宋体"/>
          <w:b/>
          <w:szCs w:val="21"/>
        </w:rPr>
      </w:pPr>
      <w:r>
        <w:rPr>
          <w:rFonts w:ascii="华文宋体" w:hAnsi="华文宋体" w:hint="eastAsia"/>
          <w:b/>
          <w:szCs w:val="21"/>
        </w:rPr>
        <w:lastRenderedPageBreak/>
        <w:t>目   录</w:t>
      </w:r>
    </w:p>
    <w:p w14:paraId="22A988F8" w14:textId="77777777" w:rsidR="00D4368C" w:rsidRDefault="00D4368C">
      <w:pPr>
        <w:spacing w:line="300" w:lineRule="auto"/>
        <w:jc w:val="center"/>
        <w:rPr>
          <w:rFonts w:ascii="华文宋体" w:hAnsi="华文宋体"/>
          <w:szCs w:val="21"/>
        </w:rPr>
      </w:pPr>
    </w:p>
    <w:p w14:paraId="5CF84DF6" w14:textId="77777777" w:rsidR="00D4368C" w:rsidRDefault="001710E2">
      <w:pPr>
        <w:pStyle w:val="TOC1"/>
        <w:spacing w:line="240" w:lineRule="auto"/>
        <w:jc w:val="center"/>
        <w:rPr>
          <w:rFonts w:ascii="宋体" w:eastAsia="宋体" w:hAnsi="宋体" w:cs="宋体"/>
          <w:sz w:val="21"/>
          <w:szCs w:val="21"/>
        </w:rPr>
      </w:pPr>
      <w:r>
        <w:rPr>
          <w:rFonts w:ascii="宋体" w:eastAsia="宋体" w:hAnsi="宋体" w:cs="宋体" w:hint="eastAsia"/>
          <w:sz w:val="21"/>
          <w:szCs w:val="21"/>
        </w:rPr>
        <w:fldChar w:fldCharType="begin"/>
      </w:r>
      <w:r>
        <w:rPr>
          <w:rFonts w:ascii="宋体" w:eastAsia="宋体" w:hAnsi="宋体" w:cs="宋体" w:hint="eastAsia"/>
          <w:sz w:val="21"/>
          <w:szCs w:val="21"/>
        </w:rPr>
        <w:instrText>TOC \o "1-3" \h \z \u</w:instrText>
      </w:r>
      <w:r>
        <w:rPr>
          <w:rFonts w:ascii="宋体" w:eastAsia="宋体" w:hAnsi="宋体" w:cs="宋体" w:hint="eastAsia"/>
          <w:sz w:val="21"/>
          <w:szCs w:val="21"/>
        </w:rPr>
        <w:fldChar w:fldCharType="separate"/>
      </w:r>
      <w:hyperlink w:anchor="_Toc70622180" w:history="1">
        <w:r>
          <w:rPr>
            <w:rStyle w:val="Hyperlink"/>
            <w:rFonts w:ascii="宋体" w:eastAsia="宋体" w:hAnsi="宋体" w:cs="宋体" w:hint="eastAsia"/>
            <w:sz w:val="21"/>
            <w:szCs w:val="21"/>
          </w:rPr>
          <w:t>一、前言</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w:t>
        </w:r>
        <w:r>
          <w:rPr>
            <w:rFonts w:ascii="宋体" w:eastAsia="宋体" w:hAnsi="宋体" w:cs="宋体" w:hint="eastAsia"/>
            <w:sz w:val="21"/>
            <w:szCs w:val="21"/>
          </w:rPr>
          <w:fldChar w:fldCharType="end"/>
        </w:r>
      </w:hyperlink>
    </w:p>
    <w:p w14:paraId="3CD3B53A" w14:textId="77777777" w:rsidR="00D4368C" w:rsidRDefault="004F404A">
      <w:pPr>
        <w:pStyle w:val="TOC1"/>
        <w:spacing w:line="240" w:lineRule="auto"/>
        <w:jc w:val="center"/>
        <w:rPr>
          <w:rFonts w:ascii="宋体" w:eastAsia="宋体" w:hAnsi="宋体" w:cs="宋体"/>
          <w:sz w:val="21"/>
          <w:szCs w:val="21"/>
        </w:rPr>
      </w:pPr>
      <w:hyperlink w:anchor="_Toc70622181" w:history="1">
        <w:r w:rsidR="001710E2">
          <w:rPr>
            <w:rStyle w:val="Hyperlink"/>
            <w:rFonts w:ascii="宋体" w:eastAsia="宋体" w:hAnsi="宋体" w:cs="宋体" w:hint="eastAsia"/>
            <w:sz w:val="21"/>
            <w:szCs w:val="21"/>
          </w:rPr>
          <w:t>二、释义</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_Toc70622181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3</w:t>
        </w:r>
        <w:r w:rsidR="001710E2">
          <w:rPr>
            <w:rFonts w:ascii="宋体" w:eastAsia="宋体" w:hAnsi="宋体" w:cs="宋体" w:hint="eastAsia"/>
            <w:sz w:val="21"/>
            <w:szCs w:val="21"/>
          </w:rPr>
          <w:fldChar w:fldCharType="end"/>
        </w:r>
      </w:hyperlink>
    </w:p>
    <w:p w14:paraId="20DC4A43" w14:textId="77777777" w:rsidR="00D4368C" w:rsidRDefault="004F404A">
      <w:pPr>
        <w:pStyle w:val="TOC1"/>
        <w:spacing w:line="240" w:lineRule="auto"/>
        <w:jc w:val="center"/>
        <w:rPr>
          <w:rFonts w:ascii="宋体" w:eastAsia="宋体" w:hAnsi="宋体" w:cs="宋体"/>
          <w:sz w:val="21"/>
          <w:szCs w:val="21"/>
        </w:rPr>
      </w:pPr>
      <w:hyperlink w:anchor="_Toc70622182" w:history="1">
        <w:r w:rsidR="001710E2">
          <w:rPr>
            <w:rStyle w:val="Hyperlink"/>
            <w:rFonts w:ascii="宋体" w:eastAsia="宋体" w:hAnsi="宋体" w:cs="宋体" w:hint="eastAsia"/>
            <w:sz w:val="21"/>
            <w:szCs w:val="21"/>
          </w:rPr>
          <w:t>三、承诺与声明</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_Toc70622182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w:t>
        </w:r>
        <w:r w:rsidR="001710E2">
          <w:rPr>
            <w:rFonts w:ascii="宋体" w:eastAsia="宋体" w:hAnsi="宋体" w:cs="宋体" w:hint="eastAsia"/>
            <w:sz w:val="21"/>
            <w:szCs w:val="21"/>
          </w:rPr>
          <w:fldChar w:fldCharType="end"/>
        </w:r>
      </w:hyperlink>
    </w:p>
    <w:p w14:paraId="3E19BE29" w14:textId="77777777" w:rsidR="00D4368C" w:rsidRDefault="004F404A">
      <w:pPr>
        <w:pStyle w:val="TOC1"/>
        <w:spacing w:line="240" w:lineRule="auto"/>
        <w:jc w:val="center"/>
        <w:rPr>
          <w:rFonts w:ascii="宋体" w:eastAsia="宋体" w:hAnsi="宋体" w:cs="宋体"/>
          <w:sz w:val="21"/>
          <w:szCs w:val="21"/>
        </w:rPr>
      </w:pPr>
      <w:hyperlink w:anchor="_Toc70622183" w:history="1">
        <w:r w:rsidR="001710E2">
          <w:rPr>
            <w:rStyle w:val="Hyperlink"/>
            <w:rFonts w:ascii="宋体" w:eastAsia="宋体" w:hAnsi="宋体" w:cs="宋体" w:hint="eastAsia"/>
            <w:sz w:val="21"/>
            <w:szCs w:val="21"/>
          </w:rPr>
          <w:t>四、当事人及权利义务</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_Toc70622183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7</w:t>
        </w:r>
        <w:r w:rsidR="001710E2">
          <w:rPr>
            <w:rFonts w:ascii="宋体" w:eastAsia="宋体" w:hAnsi="宋体" w:cs="宋体" w:hint="eastAsia"/>
            <w:sz w:val="21"/>
            <w:szCs w:val="21"/>
          </w:rPr>
          <w:fldChar w:fldCharType="end"/>
        </w:r>
      </w:hyperlink>
    </w:p>
    <w:p w14:paraId="7CA11238" w14:textId="77777777" w:rsidR="00D4368C" w:rsidRDefault="004F404A">
      <w:pPr>
        <w:pStyle w:val="TOC1"/>
        <w:spacing w:line="240" w:lineRule="auto"/>
        <w:jc w:val="center"/>
        <w:rPr>
          <w:rFonts w:ascii="宋体" w:eastAsia="宋体" w:hAnsi="宋体" w:cs="宋体"/>
          <w:sz w:val="21"/>
          <w:szCs w:val="21"/>
        </w:rPr>
      </w:pPr>
      <w:hyperlink w:anchor="_Toc70622184" w:history="1">
        <w:r w:rsidR="001710E2">
          <w:rPr>
            <w:rStyle w:val="Hyperlink"/>
            <w:rFonts w:ascii="宋体" w:eastAsia="宋体" w:hAnsi="宋体" w:cs="宋体" w:hint="eastAsia"/>
            <w:sz w:val="21"/>
            <w:szCs w:val="21"/>
          </w:rPr>
          <w:t>五、资产管理计划的基本情况</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_Toc70622184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13</w:t>
        </w:r>
        <w:r w:rsidR="001710E2">
          <w:rPr>
            <w:rFonts w:ascii="宋体" w:eastAsia="宋体" w:hAnsi="宋体" w:cs="宋体" w:hint="eastAsia"/>
            <w:sz w:val="21"/>
            <w:szCs w:val="21"/>
          </w:rPr>
          <w:fldChar w:fldCharType="end"/>
        </w:r>
      </w:hyperlink>
    </w:p>
    <w:p w14:paraId="4A44DAB1" w14:textId="77777777" w:rsidR="00D4368C" w:rsidRDefault="004F404A">
      <w:pPr>
        <w:pStyle w:val="TOC1"/>
        <w:spacing w:line="240" w:lineRule="auto"/>
        <w:jc w:val="center"/>
        <w:rPr>
          <w:rFonts w:ascii="宋体" w:eastAsia="宋体" w:hAnsi="宋体" w:cs="宋体"/>
          <w:sz w:val="21"/>
          <w:szCs w:val="21"/>
        </w:rPr>
      </w:pPr>
      <w:hyperlink w:anchor="_Toc70622185" w:history="1">
        <w:r w:rsidR="001710E2">
          <w:rPr>
            <w:rStyle w:val="Hyperlink"/>
            <w:rFonts w:ascii="宋体" w:eastAsia="宋体" w:hAnsi="宋体" w:cs="宋体" w:hint="eastAsia"/>
            <w:sz w:val="21"/>
            <w:szCs w:val="21"/>
          </w:rPr>
          <w:t>六、资产管理计划的募集</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_Toc70622185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16</w:t>
        </w:r>
        <w:r w:rsidR="001710E2">
          <w:rPr>
            <w:rFonts w:ascii="宋体" w:eastAsia="宋体" w:hAnsi="宋体" w:cs="宋体" w:hint="eastAsia"/>
            <w:sz w:val="21"/>
            <w:szCs w:val="21"/>
          </w:rPr>
          <w:fldChar w:fldCharType="end"/>
        </w:r>
      </w:hyperlink>
    </w:p>
    <w:p w14:paraId="4E8684F4" w14:textId="77777777" w:rsidR="00D4368C" w:rsidRDefault="004F404A">
      <w:pPr>
        <w:pStyle w:val="TOC1"/>
        <w:spacing w:line="240" w:lineRule="auto"/>
        <w:jc w:val="center"/>
        <w:rPr>
          <w:rFonts w:ascii="宋体" w:eastAsia="宋体" w:hAnsi="宋体" w:cs="宋体"/>
          <w:sz w:val="21"/>
          <w:szCs w:val="21"/>
        </w:rPr>
      </w:pPr>
      <w:hyperlink w:anchor="_Toc70622186" w:history="1">
        <w:r w:rsidR="001710E2">
          <w:rPr>
            <w:rStyle w:val="Hyperlink"/>
            <w:rFonts w:ascii="宋体" w:eastAsia="宋体" w:hAnsi="宋体" w:cs="宋体" w:hint="eastAsia"/>
            <w:sz w:val="21"/>
            <w:szCs w:val="21"/>
          </w:rPr>
          <w:t>七、资产管理计划的成立与备案</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_Toc70622186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18</w:t>
        </w:r>
        <w:r w:rsidR="001710E2">
          <w:rPr>
            <w:rFonts w:ascii="宋体" w:eastAsia="宋体" w:hAnsi="宋体" w:cs="宋体" w:hint="eastAsia"/>
            <w:sz w:val="21"/>
            <w:szCs w:val="21"/>
          </w:rPr>
          <w:fldChar w:fldCharType="end"/>
        </w:r>
      </w:hyperlink>
    </w:p>
    <w:p w14:paraId="19A75784" w14:textId="77777777" w:rsidR="00D4368C" w:rsidRDefault="004F404A">
      <w:pPr>
        <w:pStyle w:val="TOC1"/>
        <w:spacing w:line="240" w:lineRule="auto"/>
        <w:jc w:val="center"/>
        <w:rPr>
          <w:rFonts w:ascii="宋体" w:eastAsia="宋体" w:hAnsi="宋体" w:cs="宋体"/>
          <w:sz w:val="21"/>
          <w:szCs w:val="21"/>
        </w:rPr>
      </w:pPr>
      <w:hyperlink w:anchor="_Toc70622187" w:history="1">
        <w:r w:rsidR="001710E2">
          <w:rPr>
            <w:rStyle w:val="Hyperlink"/>
            <w:rFonts w:ascii="宋体" w:eastAsia="宋体" w:hAnsi="宋体" w:cs="宋体" w:hint="eastAsia"/>
            <w:sz w:val="21"/>
            <w:szCs w:val="21"/>
          </w:rPr>
          <w:t>八、资产管理计划的参与、退出与转让</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_Toc70622187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19</w:t>
        </w:r>
        <w:r w:rsidR="001710E2">
          <w:rPr>
            <w:rFonts w:ascii="宋体" w:eastAsia="宋体" w:hAnsi="宋体" w:cs="宋体" w:hint="eastAsia"/>
            <w:sz w:val="21"/>
            <w:szCs w:val="21"/>
          </w:rPr>
          <w:fldChar w:fldCharType="end"/>
        </w:r>
      </w:hyperlink>
    </w:p>
    <w:p w14:paraId="43D51262" w14:textId="77777777" w:rsidR="00D4368C" w:rsidRDefault="004F404A">
      <w:pPr>
        <w:pStyle w:val="TOC1"/>
        <w:spacing w:line="240" w:lineRule="auto"/>
        <w:jc w:val="center"/>
        <w:rPr>
          <w:rFonts w:ascii="宋体" w:eastAsia="宋体" w:hAnsi="宋体" w:cs="宋体"/>
          <w:sz w:val="21"/>
          <w:szCs w:val="21"/>
        </w:rPr>
      </w:pPr>
      <w:hyperlink w:anchor="_Toc70622188" w:history="1">
        <w:r w:rsidR="001710E2">
          <w:rPr>
            <w:rStyle w:val="Hyperlink"/>
            <w:rFonts w:ascii="宋体" w:eastAsia="宋体" w:hAnsi="宋体" w:cs="宋体" w:hint="eastAsia"/>
            <w:sz w:val="21"/>
            <w:szCs w:val="21"/>
          </w:rPr>
          <w:t>九、份额持有人大会及日常机构</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_Toc70622188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24</w:t>
        </w:r>
        <w:r w:rsidR="001710E2">
          <w:rPr>
            <w:rFonts w:ascii="宋体" w:eastAsia="宋体" w:hAnsi="宋体" w:cs="宋体" w:hint="eastAsia"/>
            <w:sz w:val="21"/>
            <w:szCs w:val="21"/>
          </w:rPr>
          <w:fldChar w:fldCharType="end"/>
        </w:r>
      </w:hyperlink>
    </w:p>
    <w:p w14:paraId="602F129D" w14:textId="77777777" w:rsidR="00D4368C" w:rsidRDefault="004F404A">
      <w:pPr>
        <w:pStyle w:val="TOC1"/>
        <w:spacing w:line="240" w:lineRule="auto"/>
        <w:jc w:val="center"/>
        <w:rPr>
          <w:rFonts w:ascii="宋体" w:eastAsia="宋体" w:hAnsi="宋体" w:cs="宋体"/>
          <w:sz w:val="21"/>
          <w:szCs w:val="21"/>
        </w:rPr>
      </w:pPr>
      <w:hyperlink w:anchor="_Toc70622189" w:history="1">
        <w:r w:rsidR="001710E2">
          <w:rPr>
            <w:rStyle w:val="Hyperlink"/>
            <w:rFonts w:ascii="宋体" w:eastAsia="宋体" w:hAnsi="宋体" w:cs="宋体" w:hint="eastAsia"/>
            <w:sz w:val="21"/>
            <w:szCs w:val="21"/>
          </w:rPr>
          <w:t>十、资产管理计划份额的登记</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_Toc70622189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24</w:t>
        </w:r>
        <w:r w:rsidR="001710E2">
          <w:rPr>
            <w:rFonts w:ascii="宋体" w:eastAsia="宋体" w:hAnsi="宋体" w:cs="宋体" w:hint="eastAsia"/>
            <w:sz w:val="21"/>
            <w:szCs w:val="21"/>
          </w:rPr>
          <w:fldChar w:fldCharType="end"/>
        </w:r>
      </w:hyperlink>
    </w:p>
    <w:p w14:paraId="08EA0926" w14:textId="77777777" w:rsidR="00D4368C" w:rsidRDefault="004F404A">
      <w:pPr>
        <w:pStyle w:val="TOC1"/>
        <w:spacing w:line="240" w:lineRule="auto"/>
        <w:jc w:val="center"/>
        <w:rPr>
          <w:rFonts w:ascii="宋体" w:eastAsia="宋体" w:hAnsi="宋体" w:cs="宋体"/>
          <w:sz w:val="21"/>
          <w:szCs w:val="21"/>
        </w:rPr>
      </w:pPr>
      <w:hyperlink w:anchor="_Toc70622190" w:history="1">
        <w:r w:rsidR="001710E2">
          <w:rPr>
            <w:rStyle w:val="Hyperlink"/>
            <w:rFonts w:ascii="宋体" w:eastAsia="宋体" w:hAnsi="宋体" w:cs="宋体" w:hint="eastAsia"/>
            <w:sz w:val="21"/>
            <w:szCs w:val="21"/>
          </w:rPr>
          <w:t>十一、资产管理计划的投资</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_Toc70622190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25</w:t>
        </w:r>
        <w:r w:rsidR="001710E2">
          <w:rPr>
            <w:rFonts w:ascii="宋体" w:eastAsia="宋体" w:hAnsi="宋体" w:cs="宋体" w:hint="eastAsia"/>
            <w:sz w:val="21"/>
            <w:szCs w:val="21"/>
          </w:rPr>
          <w:fldChar w:fldCharType="end"/>
        </w:r>
      </w:hyperlink>
    </w:p>
    <w:p w14:paraId="156DB0CD" w14:textId="77777777" w:rsidR="00D4368C" w:rsidRDefault="004F404A">
      <w:pPr>
        <w:pStyle w:val="TOC1"/>
        <w:spacing w:line="240" w:lineRule="auto"/>
        <w:jc w:val="center"/>
        <w:rPr>
          <w:rFonts w:ascii="宋体" w:eastAsia="宋体" w:hAnsi="宋体" w:cs="宋体"/>
          <w:sz w:val="21"/>
          <w:szCs w:val="21"/>
        </w:rPr>
      </w:pPr>
      <w:hyperlink w:anchor="_Toc70622191" w:history="1">
        <w:r w:rsidR="001710E2">
          <w:rPr>
            <w:rStyle w:val="Hyperlink"/>
            <w:rFonts w:ascii="宋体" w:eastAsia="宋体" w:hAnsi="宋体" w:cs="宋体" w:hint="eastAsia"/>
            <w:sz w:val="21"/>
            <w:szCs w:val="21"/>
          </w:rPr>
          <w:t>十二、投资顾问</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_Toc70622191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29</w:t>
        </w:r>
        <w:r w:rsidR="001710E2">
          <w:rPr>
            <w:rFonts w:ascii="宋体" w:eastAsia="宋体" w:hAnsi="宋体" w:cs="宋体" w:hint="eastAsia"/>
            <w:sz w:val="21"/>
            <w:szCs w:val="21"/>
          </w:rPr>
          <w:fldChar w:fldCharType="end"/>
        </w:r>
      </w:hyperlink>
    </w:p>
    <w:p w14:paraId="2C247294" w14:textId="77777777" w:rsidR="00D4368C" w:rsidRDefault="004F404A">
      <w:pPr>
        <w:pStyle w:val="TOC1"/>
        <w:spacing w:line="240" w:lineRule="auto"/>
        <w:jc w:val="center"/>
        <w:rPr>
          <w:rFonts w:ascii="宋体" w:eastAsia="宋体" w:hAnsi="宋体" w:cs="宋体"/>
          <w:sz w:val="21"/>
          <w:szCs w:val="21"/>
        </w:rPr>
      </w:pPr>
      <w:hyperlink w:anchor="_Toc70622192" w:history="1">
        <w:r w:rsidR="001710E2">
          <w:rPr>
            <w:rStyle w:val="Hyperlink"/>
            <w:rFonts w:ascii="宋体" w:eastAsia="宋体" w:hAnsi="宋体" w:cs="宋体" w:hint="eastAsia"/>
            <w:sz w:val="21"/>
            <w:szCs w:val="21"/>
          </w:rPr>
          <w:t>十三、分级安排</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_Toc70622192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29</w:t>
        </w:r>
        <w:r w:rsidR="001710E2">
          <w:rPr>
            <w:rFonts w:ascii="宋体" w:eastAsia="宋体" w:hAnsi="宋体" w:cs="宋体" w:hint="eastAsia"/>
            <w:sz w:val="21"/>
            <w:szCs w:val="21"/>
          </w:rPr>
          <w:fldChar w:fldCharType="end"/>
        </w:r>
      </w:hyperlink>
    </w:p>
    <w:p w14:paraId="0D4C63E5" w14:textId="77777777" w:rsidR="00D4368C" w:rsidRDefault="004F404A">
      <w:pPr>
        <w:pStyle w:val="TOC1"/>
        <w:spacing w:line="240" w:lineRule="auto"/>
        <w:jc w:val="center"/>
        <w:rPr>
          <w:rFonts w:ascii="宋体" w:eastAsia="宋体" w:hAnsi="宋体" w:cs="宋体"/>
          <w:sz w:val="21"/>
          <w:szCs w:val="21"/>
        </w:rPr>
      </w:pPr>
      <w:hyperlink w:anchor="_Toc70622193" w:history="1">
        <w:r w:rsidR="001710E2">
          <w:rPr>
            <w:rStyle w:val="Hyperlink"/>
            <w:rFonts w:ascii="宋体" w:eastAsia="宋体" w:hAnsi="宋体" w:cs="宋体" w:hint="eastAsia"/>
            <w:sz w:val="21"/>
            <w:szCs w:val="21"/>
          </w:rPr>
          <w:t>十四、利益冲突及关联交易</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_Toc70622193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29</w:t>
        </w:r>
        <w:r w:rsidR="001710E2">
          <w:rPr>
            <w:rFonts w:ascii="宋体" w:eastAsia="宋体" w:hAnsi="宋体" w:cs="宋体" w:hint="eastAsia"/>
            <w:sz w:val="21"/>
            <w:szCs w:val="21"/>
          </w:rPr>
          <w:fldChar w:fldCharType="end"/>
        </w:r>
      </w:hyperlink>
    </w:p>
    <w:p w14:paraId="46A110A6" w14:textId="77777777" w:rsidR="00D4368C" w:rsidRDefault="004F404A">
      <w:pPr>
        <w:pStyle w:val="TOC1"/>
        <w:spacing w:line="240" w:lineRule="auto"/>
        <w:jc w:val="center"/>
        <w:rPr>
          <w:rFonts w:ascii="宋体" w:eastAsia="宋体" w:hAnsi="宋体" w:cs="宋体"/>
          <w:sz w:val="21"/>
          <w:szCs w:val="21"/>
        </w:rPr>
      </w:pPr>
      <w:hyperlink w:anchor="_Toc70622194" w:history="1">
        <w:r w:rsidR="001710E2">
          <w:rPr>
            <w:rStyle w:val="Hyperlink"/>
            <w:rFonts w:ascii="宋体" w:eastAsia="宋体" w:hAnsi="宋体" w:cs="宋体" w:hint="eastAsia"/>
            <w:sz w:val="21"/>
            <w:szCs w:val="21"/>
          </w:rPr>
          <w:t>十五、投资经理的指定与变更</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_Toc70622194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31</w:t>
        </w:r>
        <w:r w:rsidR="001710E2">
          <w:rPr>
            <w:rFonts w:ascii="宋体" w:eastAsia="宋体" w:hAnsi="宋体" w:cs="宋体" w:hint="eastAsia"/>
            <w:sz w:val="21"/>
            <w:szCs w:val="21"/>
          </w:rPr>
          <w:fldChar w:fldCharType="end"/>
        </w:r>
      </w:hyperlink>
    </w:p>
    <w:p w14:paraId="2C087C95" w14:textId="77777777" w:rsidR="00D4368C" w:rsidRDefault="004F404A">
      <w:pPr>
        <w:pStyle w:val="TOC1"/>
        <w:spacing w:line="240" w:lineRule="auto"/>
        <w:jc w:val="center"/>
        <w:rPr>
          <w:rFonts w:ascii="宋体" w:eastAsia="宋体" w:hAnsi="宋体" w:cs="宋体"/>
          <w:sz w:val="21"/>
          <w:szCs w:val="21"/>
        </w:rPr>
      </w:pPr>
      <w:hyperlink w:anchor="_Toc70622195" w:history="1">
        <w:r w:rsidR="001710E2">
          <w:rPr>
            <w:rStyle w:val="Hyperlink"/>
            <w:rFonts w:ascii="宋体" w:eastAsia="宋体" w:hAnsi="宋体" w:cs="宋体" w:hint="eastAsia"/>
            <w:sz w:val="21"/>
            <w:szCs w:val="21"/>
          </w:rPr>
          <w:t>十六、资产管理计划的财产</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_Toc70622195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31</w:t>
        </w:r>
        <w:r w:rsidR="001710E2">
          <w:rPr>
            <w:rFonts w:ascii="宋体" w:eastAsia="宋体" w:hAnsi="宋体" w:cs="宋体" w:hint="eastAsia"/>
            <w:sz w:val="21"/>
            <w:szCs w:val="21"/>
          </w:rPr>
          <w:fldChar w:fldCharType="end"/>
        </w:r>
      </w:hyperlink>
    </w:p>
    <w:p w14:paraId="5CA03685" w14:textId="77777777" w:rsidR="00D4368C" w:rsidRDefault="004F404A">
      <w:pPr>
        <w:pStyle w:val="TOC1"/>
        <w:spacing w:line="240" w:lineRule="auto"/>
        <w:jc w:val="center"/>
        <w:rPr>
          <w:rFonts w:ascii="宋体" w:eastAsia="宋体" w:hAnsi="宋体" w:cs="宋体"/>
          <w:sz w:val="21"/>
          <w:szCs w:val="21"/>
        </w:rPr>
      </w:pPr>
      <w:hyperlink w:anchor="_Toc70622196" w:history="1">
        <w:r w:rsidR="001710E2">
          <w:rPr>
            <w:rStyle w:val="Hyperlink"/>
            <w:rFonts w:ascii="宋体" w:eastAsia="宋体" w:hAnsi="宋体" w:cs="宋体" w:hint="eastAsia"/>
            <w:sz w:val="21"/>
            <w:szCs w:val="21"/>
          </w:rPr>
          <w:t>十七、投资指令的发送、确认与执行</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_Toc70622196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33</w:t>
        </w:r>
        <w:r w:rsidR="001710E2">
          <w:rPr>
            <w:rFonts w:ascii="宋体" w:eastAsia="宋体" w:hAnsi="宋体" w:cs="宋体" w:hint="eastAsia"/>
            <w:sz w:val="21"/>
            <w:szCs w:val="21"/>
          </w:rPr>
          <w:fldChar w:fldCharType="end"/>
        </w:r>
      </w:hyperlink>
    </w:p>
    <w:p w14:paraId="095876B8" w14:textId="77777777" w:rsidR="00D4368C" w:rsidRDefault="004F404A">
      <w:pPr>
        <w:pStyle w:val="TOC1"/>
        <w:spacing w:line="240" w:lineRule="auto"/>
        <w:jc w:val="center"/>
        <w:rPr>
          <w:rFonts w:ascii="宋体" w:eastAsia="宋体" w:hAnsi="宋体" w:cs="宋体"/>
          <w:sz w:val="21"/>
          <w:szCs w:val="21"/>
        </w:rPr>
      </w:pPr>
      <w:hyperlink w:anchor="_Toc70622197" w:history="1">
        <w:r w:rsidR="001710E2">
          <w:rPr>
            <w:rStyle w:val="Hyperlink"/>
            <w:rFonts w:ascii="宋体" w:eastAsia="宋体" w:hAnsi="宋体" w:cs="宋体" w:hint="eastAsia"/>
            <w:sz w:val="21"/>
            <w:szCs w:val="21"/>
          </w:rPr>
          <w:t>十八、越权交易的界定</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_Toc70622197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36</w:t>
        </w:r>
        <w:r w:rsidR="001710E2">
          <w:rPr>
            <w:rFonts w:ascii="宋体" w:eastAsia="宋体" w:hAnsi="宋体" w:cs="宋体" w:hint="eastAsia"/>
            <w:sz w:val="21"/>
            <w:szCs w:val="21"/>
          </w:rPr>
          <w:fldChar w:fldCharType="end"/>
        </w:r>
      </w:hyperlink>
    </w:p>
    <w:p w14:paraId="21CF21A0" w14:textId="77777777" w:rsidR="00D4368C" w:rsidRDefault="004F404A">
      <w:pPr>
        <w:pStyle w:val="TOC1"/>
        <w:spacing w:line="240" w:lineRule="auto"/>
        <w:jc w:val="center"/>
        <w:rPr>
          <w:rFonts w:ascii="宋体" w:eastAsia="宋体" w:hAnsi="宋体" w:cs="宋体"/>
          <w:sz w:val="21"/>
          <w:szCs w:val="21"/>
        </w:rPr>
      </w:pPr>
      <w:hyperlink w:anchor="_Toc70622198" w:history="1">
        <w:r w:rsidR="001710E2">
          <w:rPr>
            <w:rStyle w:val="Hyperlink"/>
            <w:rFonts w:ascii="宋体" w:eastAsia="宋体" w:hAnsi="宋体" w:cs="宋体" w:hint="eastAsia"/>
            <w:sz w:val="21"/>
            <w:szCs w:val="21"/>
          </w:rPr>
          <w:t>十九、交易及清算交收安排</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_Toc70622198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38</w:t>
        </w:r>
        <w:r w:rsidR="001710E2">
          <w:rPr>
            <w:rFonts w:ascii="宋体" w:eastAsia="宋体" w:hAnsi="宋体" w:cs="宋体" w:hint="eastAsia"/>
            <w:sz w:val="21"/>
            <w:szCs w:val="21"/>
          </w:rPr>
          <w:fldChar w:fldCharType="end"/>
        </w:r>
      </w:hyperlink>
    </w:p>
    <w:p w14:paraId="2249B41E" w14:textId="77777777" w:rsidR="00D4368C" w:rsidRDefault="004F404A">
      <w:pPr>
        <w:pStyle w:val="TOC1"/>
        <w:spacing w:line="240" w:lineRule="auto"/>
        <w:jc w:val="center"/>
        <w:rPr>
          <w:rFonts w:ascii="宋体" w:eastAsia="宋体" w:hAnsi="宋体" w:cs="宋体"/>
          <w:sz w:val="21"/>
          <w:szCs w:val="21"/>
        </w:rPr>
      </w:pPr>
      <w:hyperlink w:anchor="_Toc70622199" w:history="1">
        <w:r w:rsidR="001710E2">
          <w:rPr>
            <w:rStyle w:val="Hyperlink"/>
            <w:rFonts w:ascii="宋体" w:eastAsia="宋体" w:hAnsi="宋体" w:cs="宋体" w:hint="eastAsia"/>
            <w:sz w:val="21"/>
            <w:szCs w:val="21"/>
          </w:rPr>
          <w:t>二十、资产管理计划财产的估值和会计核算</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_Toc70622199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41</w:t>
        </w:r>
        <w:r w:rsidR="001710E2">
          <w:rPr>
            <w:rFonts w:ascii="宋体" w:eastAsia="宋体" w:hAnsi="宋体" w:cs="宋体" w:hint="eastAsia"/>
            <w:sz w:val="21"/>
            <w:szCs w:val="21"/>
          </w:rPr>
          <w:fldChar w:fldCharType="end"/>
        </w:r>
      </w:hyperlink>
    </w:p>
    <w:p w14:paraId="008FB732" w14:textId="77777777" w:rsidR="00D4368C" w:rsidRDefault="004F404A">
      <w:pPr>
        <w:pStyle w:val="TOC1"/>
        <w:spacing w:line="240" w:lineRule="auto"/>
        <w:jc w:val="center"/>
        <w:rPr>
          <w:rFonts w:ascii="宋体" w:eastAsia="宋体" w:hAnsi="宋体" w:cs="宋体"/>
          <w:sz w:val="21"/>
          <w:szCs w:val="21"/>
        </w:rPr>
      </w:pPr>
      <w:hyperlink w:anchor="_Toc70622200" w:history="1">
        <w:r w:rsidR="001710E2">
          <w:rPr>
            <w:rStyle w:val="Hyperlink"/>
            <w:rFonts w:ascii="宋体" w:eastAsia="宋体" w:hAnsi="宋体" w:cs="宋体" w:hint="eastAsia"/>
            <w:sz w:val="21"/>
            <w:szCs w:val="21"/>
          </w:rPr>
          <w:t>二十一、资产管理计划的费用与税收</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_Toc70622200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47</w:t>
        </w:r>
        <w:r w:rsidR="001710E2">
          <w:rPr>
            <w:rFonts w:ascii="宋体" w:eastAsia="宋体" w:hAnsi="宋体" w:cs="宋体" w:hint="eastAsia"/>
            <w:sz w:val="21"/>
            <w:szCs w:val="21"/>
          </w:rPr>
          <w:fldChar w:fldCharType="end"/>
        </w:r>
      </w:hyperlink>
    </w:p>
    <w:p w14:paraId="2473B9E7" w14:textId="77777777" w:rsidR="00D4368C" w:rsidRDefault="004F404A">
      <w:pPr>
        <w:pStyle w:val="TOC1"/>
        <w:spacing w:line="240" w:lineRule="auto"/>
        <w:jc w:val="center"/>
        <w:rPr>
          <w:rFonts w:ascii="宋体" w:eastAsia="宋体" w:hAnsi="宋体" w:cs="宋体"/>
          <w:sz w:val="21"/>
          <w:szCs w:val="21"/>
        </w:rPr>
      </w:pPr>
      <w:hyperlink w:anchor="_Toc70622201" w:history="1">
        <w:r w:rsidR="001710E2">
          <w:rPr>
            <w:rStyle w:val="Hyperlink"/>
            <w:rFonts w:ascii="宋体" w:eastAsia="宋体" w:hAnsi="宋体" w:cs="宋体" w:hint="eastAsia"/>
            <w:sz w:val="21"/>
            <w:szCs w:val="21"/>
          </w:rPr>
          <w:t>二十二、资产管理计划的收益分配</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_Toc70622201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49</w:t>
        </w:r>
        <w:r w:rsidR="001710E2">
          <w:rPr>
            <w:rFonts w:ascii="宋体" w:eastAsia="宋体" w:hAnsi="宋体" w:cs="宋体" w:hint="eastAsia"/>
            <w:sz w:val="21"/>
            <w:szCs w:val="21"/>
          </w:rPr>
          <w:fldChar w:fldCharType="end"/>
        </w:r>
      </w:hyperlink>
    </w:p>
    <w:p w14:paraId="06AFAA5D" w14:textId="77777777" w:rsidR="00D4368C" w:rsidRDefault="004F404A">
      <w:pPr>
        <w:pStyle w:val="TOC1"/>
        <w:spacing w:line="240" w:lineRule="auto"/>
        <w:jc w:val="center"/>
        <w:rPr>
          <w:rFonts w:ascii="宋体" w:eastAsia="宋体" w:hAnsi="宋体" w:cs="宋体"/>
          <w:sz w:val="21"/>
          <w:szCs w:val="21"/>
        </w:rPr>
      </w:pPr>
      <w:hyperlink w:anchor="_Toc70622202" w:history="1">
        <w:r w:rsidR="001710E2">
          <w:rPr>
            <w:rStyle w:val="Hyperlink"/>
            <w:rFonts w:ascii="宋体" w:eastAsia="宋体" w:hAnsi="宋体" w:cs="宋体" w:hint="eastAsia"/>
            <w:sz w:val="21"/>
            <w:szCs w:val="21"/>
          </w:rPr>
          <w:t>二十三、信息披露与报告</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_Toc70622202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50</w:t>
        </w:r>
        <w:r w:rsidR="001710E2">
          <w:rPr>
            <w:rFonts w:ascii="宋体" w:eastAsia="宋体" w:hAnsi="宋体" w:cs="宋体" w:hint="eastAsia"/>
            <w:sz w:val="21"/>
            <w:szCs w:val="21"/>
          </w:rPr>
          <w:fldChar w:fldCharType="end"/>
        </w:r>
      </w:hyperlink>
    </w:p>
    <w:p w14:paraId="1C276FCA" w14:textId="77777777" w:rsidR="00D4368C" w:rsidRDefault="004F404A">
      <w:pPr>
        <w:pStyle w:val="TOC1"/>
        <w:spacing w:line="240" w:lineRule="auto"/>
        <w:jc w:val="center"/>
        <w:rPr>
          <w:rFonts w:ascii="宋体" w:eastAsia="宋体" w:hAnsi="宋体" w:cs="宋体"/>
          <w:sz w:val="21"/>
          <w:szCs w:val="21"/>
        </w:rPr>
      </w:pPr>
      <w:hyperlink w:anchor="_Toc70622203" w:history="1">
        <w:r w:rsidR="001710E2">
          <w:rPr>
            <w:rStyle w:val="Hyperlink"/>
            <w:rFonts w:ascii="宋体" w:eastAsia="宋体" w:hAnsi="宋体" w:cs="宋体" w:hint="eastAsia"/>
            <w:sz w:val="21"/>
            <w:szCs w:val="21"/>
          </w:rPr>
          <w:t>二十四、风险揭示</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_Toc70622203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52</w:t>
        </w:r>
        <w:r w:rsidR="001710E2">
          <w:rPr>
            <w:rFonts w:ascii="宋体" w:eastAsia="宋体" w:hAnsi="宋体" w:cs="宋体" w:hint="eastAsia"/>
            <w:sz w:val="21"/>
            <w:szCs w:val="21"/>
          </w:rPr>
          <w:fldChar w:fldCharType="end"/>
        </w:r>
      </w:hyperlink>
    </w:p>
    <w:p w14:paraId="2FF86AD8" w14:textId="77777777" w:rsidR="00D4368C" w:rsidRDefault="004F404A">
      <w:pPr>
        <w:pStyle w:val="TOC1"/>
        <w:spacing w:line="240" w:lineRule="auto"/>
        <w:jc w:val="center"/>
        <w:rPr>
          <w:rFonts w:ascii="宋体" w:eastAsia="宋体" w:hAnsi="宋体" w:cs="宋体"/>
          <w:sz w:val="21"/>
          <w:szCs w:val="21"/>
        </w:rPr>
      </w:pPr>
      <w:hyperlink w:anchor="_Toc70622204" w:history="1">
        <w:r w:rsidR="001710E2">
          <w:rPr>
            <w:rStyle w:val="Hyperlink"/>
            <w:rFonts w:ascii="宋体" w:eastAsia="宋体" w:hAnsi="宋体" w:cs="宋体" w:hint="eastAsia"/>
            <w:sz w:val="21"/>
            <w:szCs w:val="21"/>
          </w:rPr>
          <w:t>二十五、资产管理合同的变更、终止与财产清算</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_Toc70622204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63</w:t>
        </w:r>
        <w:r w:rsidR="001710E2">
          <w:rPr>
            <w:rFonts w:ascii="宋体" w:eastAsia="宋体" w:hAnsi="宋体" w:cs="宋体" w:hint="eastAsia"/>
            <w:sz w:val="21"/>
            <w:szCs w:val="21"/>
          </w:rPr>
          <w:fldChar w:fldCharType="end"/>
        </w:r>
      </w:hyperlink>
    </w:p>
    <w:p w14:paraId="6827A31E" w14:textId="77777777" w:rsidR="00D4368C" w:rsidRDefault="004F404A">
      <w:pPr>
        <w:pStyle w:val="TOC1"/>
        <w:spacing w:line="240" w:lineRule="auto"/>
        <w:jc w:val="center"/>
        <w:rPr>
          <w:rFonts w:ascii="宋体" w:eastAsia="宋体" w:hAnsi="宋体" w:cs="宋体"/>
          <w:sz w:val="21"/>
          <w:szCs w:val="21"/>
        </w:rPr>
      </w:pPr>
      <w:hyperlink w:anchor="_Toc70622205" w:history="1">
        <w:r w:rsidR="001710E2">
          <w:rPr>
            <w:rStyle w:val="Hyperlink"/>
            <w:rFonts w:ascii="宋体" w:eastAsia="宋体" w:hAnsi="宋体" w:cs="宋体" w:hint="eastAsia"/>
            <w:sz w:val="21"/>
            <w:szCs w:val="21"/>
          </w:rPr>
          <w:t>二十六、违约责任</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_Toc70622205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66</w:t>
        </w:r>
        <w:r w:rsidR="001710E2">
          <w:rPr>
            <w:rFonts w:ascii="宋体" w:eastAsia="宋体" w:hAnsi="宋体" w:cs="宋体" w:hint="eastAsia"/>
            <w:sz w:val="21"/>
            <w:szCs w:val="21"/>
          </w:rPr>
          <w:fldChar w:fldCharType="end"/>
        </w:r>
      </w:hyperlink>
    </w:p>
    <w:p w14:paraId="53A99266" w14:textId="77777777" w:rsidR="00D4368C" w:rsidRDefault="004F404A">
      <w:pPr>
        <w:pStyle w:val="TOC1"/>
        <w:spacing w:line="240" w:lineRule="auto"/>
        <w:jc w:val="center"/>
        <w:rPr>
          <w:rFonts w:ascii="宋体" w:eastAsia="宋体" w:hAnsi="宋体" w:cs="宋体"/>
          <w:sz w:val="21"/>
          <w:szCs w:val="21"/>
        </w:rPr>
      </w:pPr>
      <w:hyperlink w:anchor="_Toc70622206" w:history="1">
        <w:r w:rsidR="001710E2">
          <w:rPr>
            <w:rStyle w:val="Hyperlink"/>
            <w:rFonts w:ascii="宋体" w:eastAsia="宋体" w:hAnsi="宋体" w:cs="宋体" w:hint="eastAsia"/>
            <w:sz w:val="21"/>
            <w:szCs w:val="21"/>
          </w:rPr>
          <w:t>二十七、通知与送达</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_Toc70622206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68</w:t>
        </w:r>
        <w:r w:rsidR="001710E2">
          <w:rPr>
            <w:rFonts w:ascii="宋体" w:eastAsia="宋体" w:hAnsi="宋体" w:cs="宋体" w:hint="eastAsia"/>
            <w:sz w:val="21"/>
            <w:szCs w:val="21"/>
          </w:rPr>
          <w:fldChar w:fldCharType="end"/>
        </w:r>
      </w:hyperlink>
    </w:p>
    <w:p w14:paraId="2B6222C8" w14:textId="77777777" w:rsidR="00D4368C" w:rsidRDefault="004F404A">
      <w:pPr>
        <w:pStyle w:val="TOC1"/>
        <w:spacing w:line="240" w:lineRule="auto"/>
        <w:jc w:val="center"/>
        <w:rPr>
          <w:rFonts w:ascii="宋体" w:eastAsia="宋体" w:hAnsi="宋体" w:cs="宋体"/>
          <w:sz w:val="21"/>
          <w:szCs w:val="21"/>
        </w:rPr>
      </w:pPr>
      <w:hyperlink w:anchor="_Toc70622207" w:history="1">
        <w:r w:rsidR="001710E2">
          <w:rPr>
            <w:rStyle w:val="Hyperlink"/>
            <w:rFonts w:ascii="宋体" w:eastAsia="宋体" w:hAnsi="宋体" w:cs="宋体" w:hint="eastAsia"/>
            <w:sz w:val="21"/>
            <w:szCs w:val="21"/>
          </w:rPr>
          <w:t>二十八、保密要求</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_Toc70622207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68</w:t>
        </w:r>
        <w:r w:rsidR="001710E2">
          <w:rPr>
            <w:rFonts w:ascii="宋体" w:eastAsia="宋体" w:hAnsi="宋体" w:cs="宋体" w:hint="eastAsia"/>
            <w:sz w:val="21"/>
            <w:szCs w:val="21"/>
          </w:rPr>
          <w:fldChar w:fldCharType="end"/>
        </w:r>
      </w:hyperlink>
    </w:p>
    <w:p w14:paraId="6EDD1052" w14:textId="77777777" w:rsidR="00D4368C" w:rsidRDefault="004F404A">
      <w:pPr>
        <w:pStyle w:val="TOC1"/>
        <w:spacing w:line="240" w:lineRule="auto"/>
        <w:jc w:val="center"/>
        <w:rPr>
          <w:rFonts w:ascii="宋体" w:eastAsia="宋体" w:hAnsi="宋体" w:cs="宋体"/>
          <w:sz w:val="21"/>
          <w:szCs w:val="21"/>
        </w:rPr>
      </w:pPr>
      <w:hyperlink w:anchor="_Toc70622208" w:history="1">
        <w:r w:rsidR="001710E2">
          <w:rPr>
            <w:rStyle w:val="Hyperlink"/>
            <w:rFonts w:ascii="宋体" w:eastAsia="宋体" w:hAnsi="宋体" w:cs="宋体" w:hint="eastAsia"/>
            <w:sz w:val="21"/>
            <w:szCs w:val="21"/>
          </w:rPr>
          <w:t>二十九、法律适用和争议的处理</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_Toc70622208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69</w:t>
        </w:r>
        <w:r w:rsidR="001710E2">
          <w:rPr>
            <w:rFonts w:ascii="宋体" w:eastAsia="宋体" w:hAnsi="宋体" w:cs="宋体" w:hint="eastAsia"/>
            <w:sz w:val="21"/>
            <w:szCs w:val="21"/>
          </w:rPr>
          <w:fldChar w:fldCharType="end"/>
        </w:r>
      </w:hyperlink>
    </w:p>
    <w:p w14:paraId="31C80670" w14:textId="77777777" w:rsidR="00D4368C" w:rsidRDefault="004F404A">
      <w:pPr>
        <w:pStyle w:val="TOC1"/>
        <w:spacing w:line="240" w:lineRule="auto"/>
        <w:jc w:val="center"/>
        <w:rPr>
          <w:rFonts w:ascii="宋体" w:eastAsia="宋体" w:hAnsi="宋体" w:cs="宋体"/>
          <w:sz w:val="21"/>
          <w:szCs w:val="21"/>
        </w:rPr>
      </w:pPr>
      <w:hyperlink w:anchor="_Toc70622209" w:history="1">
        <w:r w:rsidR="001710E2">
          <w:rPr>
            <w:rStyle w:val="Hyperlink"/>
            <w:rFonts w:ascii="宋体" w:eastAsia="宋体" w:hAnsi="宋体" w:cs="宋体" w:hint="eastAsia"/>
            <w:sz w:val="21"/>
            <w:szCs w:val="21"/>
          </w:rPr>
          <w:t>三十、资产管理合同的效力</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_Toc70622209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69</w:t>
        </w:r>
        <w:r w:rsidR="001710E2">
          <w:rPr>
            <w:rFonts w:ascii="宋体" w:eastAsia="宋体" w:hAnsi="宋体" w:cs="宋体" w:hint="eastAsia"/>
            <w:sz w:val="21"/>
            <w:szCs w:val="21"/>
          </w:rPr>
          <w:fldChar w:fldCharType="end"/>
        </w:r>
      </w:hyperlink>
    </w:p>
    <w:p w14:paraId="61ABB8D9" w14:textId="77777777" w:rsidR="00D4368C" w:rsidRDefault="004F404A">
      <w:pPr>
        <w:pStyle w:val="TOC1"/>
        <w:spacing w:line="240" w:lineRule="auto"/>
        <w:jc w:val="center"/>
        <w:rPr>
          <w:rFonts w:ascii="宋体" w:eastAsia="宋体" w:hAnsi="宋体" w:cs="宋体"/>
          <w:sz w:val="21"/>
          <w:szCs w:val="21"/>
        </w:rPr>
      </w:pPr>
      <w:hyperlink w:anchor="_Toc70622210" w:history="1">
        <w:r w:rsidR="001710E2">
          <w:rPr>
            <w:rStyle w:val="Hyperlink"/>
            <w:rFonts w:ascii="宋体" w:eastAsia="宋体" w:hAnsi="宋体" w:cs="宋体" w:hint="eastAsia"/>
            <w:sz w:val="21"/>
            <w:szCs w:val="21"/>
          </w:rPr>
          <w:t>三十一、其他事项</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_Toc70622210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70</w:t>
        </w:r>
        <w:r w:rsidR="001710E2">
          <w:rPr>
            <w:rFonts w:ascii="宋体" w:eastAsia="宋体" w:hAnsi="宋体" w:cs="宋体" w:hint="eastAsia"/>
            <w:sz w:val="21"/>
            <w:szCs w:val="21"/>
          </w:rPr>
          <w:fldChar w:fldCharType="end"/>
        </w:r>
      </w:hyperlink>
    </w:p>
    <w:p w14:paraId="13DF4596" w14:textId="77777777" w:rsidR="00D4368C" w:rsidRDefault="004F404A">
      <w:pPr>
        <w:pStyle w:val="TOC1"/>
        <w:spacing w:line="240" w:lineRule="auto"/>
        <w:jc w:val="center"/>
        <w:rPr>
          <w:rFonts w:ascii="宋体" w:eastAsia="宋体" w:hAnsi="宋体" w:cs="宋体"/>
          <w:sz w:val="21"/>
          <w:szCs w:val="21"/>
        </w:rPr>
      </w:pPr>
      <w:hyperlink w:anchor="_Toc70622211" w:history="1">
        <w:r w:rsidR="001710E2">
          <w:rPr>
            <w:rStyle w:val="Hyperlink"/>
            <w:rFonts w:ascii="宋体" w:eastAsia="宋体" w:hAnsi="宋体" w:cs="宋体" w:hint="eastAsia"/>
            <w:sz w:val="21"/>
            <w:szCs w:val="21"/>
          </w:rPr>
          <w:t>附件一</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_Toc70622211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73</w:t>
        </w:r>
        <w:r w:rsidR="001710E2">
          <w:rPr>
            <w:rFonts w:ascii="宋体" w:eastAsia="宋体" w:hAnsi="宋体" w:cs="宋体" w:hint="eastAsia"/>
            <w:sz w:val="21"/>
            <w:szCs w:val="21"/>
          </w:rPr>
          <w:fldChar w:fldCharType="end"/>
        </w:r>
      </w:hyperlink>
    </w:p>
    <w:p w14:paraId="777D3C6B" w14:textId="77777777" w:rsidR="00D4368C" w:rsidRDefault="004F404A">
      <w:pPr>
        <w:pStyle w:val="TOC1"/>
        <w:spacing w:line="240" w:lineRule="auto"/>
        <w:jc w:val="center"/>
        <w:rPr>
          <w:rFonts w:ascii="宋体" w:eastAsia="宋体" w:hAnsi="宋体" w:cs="宋体"/>
          <w:sz w:val="21"/>
          <w:szCs w:val="21"/>
        </w:rPr>
      </w:pPr>
      <w:hyperlink w:anchor="_Toc70622212" w:history="1">
        <w:r w:rsidR="001710E2">
          <w:rPr>
            <w:rStyle w:val="Hyperlink"/>
            <w:rFonts w:ascii="宋体" w:eastAsia="宋体" w:hAnsi="宋体" w:cs="宋体" w:hint="eastAsia"/>
            <w:sz w:val="21"/>
            <w:szCs w:val="21"/>
          </w:rPr>
          <w:t>附件二</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_Toc70622212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75</w:t>
        </w:r>
        <w:r w:rsidR="001710E2">
          <w:rPr>
            <w:rFonts w:ascii="宋体" w:eastAsia="宋体" w:hAnsi="宋体" w:cs="宋体" w:hint="eastAsia"/>
            <w:sz w:val="21"/>
            <w:szCs w:val="21"/>
          </w:rPr>
          <w:fldChar w:fldCharType="end"/>
        </w:r>
      </w:hyperlink>
    </w:p>
    <w:p w14:paraId="1A83C62A" w14:textId="77777777" w:rsidR="00D4368C" w:rsidRDefault="004F404A">
      <w:pPr>
        <w:pStyle w:val="TOC1"/>
        <w:spacing w:line="240" w:lineRule="auto"/>
        <w:jc w:val="center"/>
        <w:rPr>
          <w:rFonts w:ascii="宋体" w:eastAsia="宋体" w:hAnsi="宋体" w:cs="宋体"/>
          <w:sz w:val="21"/>
          <w:szCs w:val="21"/>
        </w:rPr>
      </w:pPr>
      <w:hyperlink w:anchor="_Toc70622213" w:history="1">
        <w:r w:rsidR="001710E2">
          <w:rPr>
            <w:rStyle w:val="Hyperlink"/>
            <w:rFonts w:ascii="宋体" w:eastAsia="宋体" w:hAnsi="宋体" w:cs="宋体" w:hint="eastAsia"/>
            <w:sz w:val="21"/>
            <w:szCs w:val="21"/>
          </w:rPr>
          <w:t>附件三</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_Toc70622213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88</w:t>
        </w:r>
        <w:r w:rsidR="001710E2">
          <w:rPr>
            <w:rFonts w:ascii="宋体" w:eastAsia="宋体" w:hAnsi="宋体" w:cs="宋体" w:hint="eastAsia"/>
            <w:sz w:val="21"/>
            <w:szCs w:val="21"/>
          </w:rPr>
          <w:fldChar w:fldCharType="end"/>
        </w:r>
      </w:hyperlink>
    </w:p>
    <w:p w14:paraId="4C56054F" w14:textId="77777777" w:rsidR="00D4368C" w:rsidRDefault="004F404A">
      <w:pPr>
        <w:pStyle w:val="TOC1"/>
        <w:spacing w:line="240" w:lineRule="auto"/>
        <w:jc w:val="center"/>
        <w:rPr>
          <w:rFonts w:ascii="宋体" w:eastAsia="宋体" w:hAnsi="宋体" w:cs="宋体"/>
          <w:sz w:val="21"/>
          <w:szCs w:val="21"/>
        </w:rPr>
      </w:pPr>
      <w:hyperlink w:anchor="_Toc70622214" w:history="1">
        <w:r w:rsidR="001710E2">
          <w:rPr>
            <w:rStyle w:val="Hyperlink"/>
            <w:rFonts w:ascii="宋体" w:eastAsia="宋体" w:hAnsi="宋体" w:cs="宋体" w:hint="eastAsia"/>
            <w:sz w:val="21"/>
            <w:szCs w:val="21"/>
          </w:rPr>
          <w:t>附件四</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_Toc70622214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89</w:t>
        </w:r>
        <w:r w:rsidR="001710E2">
          <w:rPr>
            <w:rFonts w:ascii="宋体" w:eastAsia="宋体" w:hAnsi="宋体" w:cs="宋体" w:hint="eastAsia"/>
            <w:sz w:val="21"/>
            <w:szCs w:val="21"/>
          </w:rPr>
          <w:fldChar w:fldCharType="end"/>
        </w:r>
      </w:hyperlink>
    </w:p>
    <w:p w14:paraId="1B168F8D" w14:textId="77777777" w:rsidR="00D4368C" w:rsidRDefault="004F404A">
      <w:pPr>
        <w:pStyle w:val="TOC1"/>
        <w:spacing w:line="240" w:lineRule="auto"/>
        <w:jc w:val="center"/>
        <w:rPr>
          <w:rFonts w:ascii="宋体" w:eastAsia="宋体" w:hAnsi="宋体" w:cs="宋体"/>
          <w:sz w:val="21"/>
          <w:szCs w:val="21"/>
        </w:rPr>
      </w:pPr>
      <w:hyperlink w:anchor="_Toc70622215" w:history="1">
        <w:r w:rsidR="001710E2">
          <w:rPr>
            <w:rStyle w:val="Hyperlink"/>
            <w:rFonts w:ascii="宋体" w:eastAsia="宋体" w:hAnsi="宋体" w:cs="宋体" w:hint="eastAsia"/>
            <w:sz w:val="21"/>
            <w:szCs w:val="21"/>
          </w:rPr>
          <w:t>附件五</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_Toc70622215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90</w:t>
        </w:r>
        <w:r w:rsidR="001710E2">
          <w:rPr>
            <w:rFonts w:ascii="宋体" w:eastAsia="宋体" w:hAnsi="宋体" w:cs="宋体" w:hint="eastAsia"/>
            <w:sz w:val="21"/>
            <w:szCs w:val="21"/>
          </w:rPr>
          <w:fldChar w:fldCharType="end"/>
        </w:r>
      </w:hyperlink>
    </w:p>
    <w:p w14:paraId="4B8DE49F" w14:textId="77777777" w:rsidR="00D4368C" w:rsidRDefault="004F404A">
      <w:pPr>
        <w:pStyle w:val="TOC1"/>
        <w:spacing w:line="240" w:lineRule="auto"/>
        <w:jc w:val="center"/>
        <w:rPr>
          <w:rFonts w:ascii="宋体" w:eastAsia="宋体" w:hAnsi="宋体" w:cs="宋体"/>
          <w:sz w:val="21"/>
          <w:szCs w:val="21"/>
        </w:rPr>
      </w:pPr>
      <w:hyperlink w:anchor="_Toc70622216" w:history="1">
        <w:r w:rsidR="001710E2">
          <w:rPr>
            <w:rStyle w:val="Hyperlink"/>
            <w:rFonts w:ascii="宋体" w:eastAsia="宋体" w:hAnsi="宋体" w:cs="宋体" w:hint="eastAsia"/>
            <w:sz w:val="21"/>
            <w:szCs w:val="21"/>
          </w:rPr>
          <w:t>附件六</w:t>
        </w:r>
        <w:r w:rsidR="001710E2">
          <w:rPr>
            <w:rFonts w:ascii="宋体" w:eastAsia="宋体" w:hAnsi="宋体" w:cs="宋体" w:hint="eastAsia"/>
            <w:sz w:val="21"/>
            <w:szCs w:val="21"/>
          </w:rPr>
          <w:tab/>
        </w:r>
        <w:r w:rsidR="001710E2">
          <w:rPr>
            <w:rFonts w:ascii="宋体" w:eastAsia="宋体" w:hAnsi="宋体" w:cs="宋体" w:hint="eastAsia"/>
            <w:sz w:val="21"/>
            <w:szCs w:val="21"/>
          </w:rPr>
          <w:fldChar w:fldCharType="begin"/>
        </w:r>
        <w:r w:rsidR="001710E2">
          <w:rPr>
            <w:rFonts w:ascii="宋体" w:eastAsia="宋体" w:hAnsi="宋体" w:cs="宋体" w:hint="eastAsia"/>
            <w:sz w:val="21"/>
            <w:szCs w:val="21"/>
          </w:rPr>
          <w:instrText xml:space="preserve"> PAGEREF _Toc70622216 \h </w:instrText>
        </w:r>
        <w:r w:rsidR="001710E2">
          <w:rPr>
            <w:rFonts w:ascii="宋体" w:eastAsia="宋体" w:hAnsi="宋体" w:cs="宋体" w:hint="eastAsia"/>
            <w:sz w:val="21"/>
            <w:szCs w:val="21"/>
          </w:rPr>
        </w:r>
        <w:r w:rsidR="001710E2">
          <w:rPr>
            <w:rFonts w:ascii="宋体" w:eastAsia="宋体" w:hAnsi="宋体" w:cs="宋体" w:hint="eastAsia"/>
            <w:sz w:val="21"/>
            <w:szCs w:val="21"/>
          </w:rPr>
          <w:fldChar w:fldCharType="separate"/>
        </w:r>
        <w:r w:rsidR="001710E2">
          <w:rPr>
            <w:rFonts w:ascii="宋体" w:eastAsia="宋体" w:hAnsi="宋体" w:cs="宋体" w:hint="eastAsia"/>
            <w:sz w:val="21"/>
            <w:szCs w:val="21"/>
          </w:rPr>
          <w:t>91</w:t>
        </w:r>
        <w:r w:rsidR="001710E2">
          <w:rPr>
            <w:rFonts w:ascii="宋体" w:eastAsia="宋体" w:hAnsi="宋体" w:cs="宋体" w:hint="eastAsia"/>
            <w:sz w:val="21"/>
            <w:szCs w:val="21"/>
          </w:rPr>
          <w:fldChar w:fldCharType="end"/>
        </w:r>
      </w:hyperlink>
    </w:p>
    <w:p w14:paraId="1D887DC8" w14:textId="77777777" w:rsidR="00D4368C" w:rsidRDefault="001710E2">
      <w:pPr>
        <w:jc w:val="center"/>
        <w:rPr>
          <w:rFonts w:ascii="华文宋体" w:hAnsi="华文宋体"/>
          <w:szCs w:val="21"/>
        </w:rPr>
      </w:pPr>
      <w:r>
        <w:rPr>
          <w:rFonts w:ascii="宋体" w:eastAsia="宋体" w:hAnsi="宋体" w:cs="宋体" w:hint="eastAsia"/>
          <w:sz w:val="21"/>
          <w:szCs w:val="21"/>
        </w:rPr>
        <w:fldChar w:fldCharType="end"/>
      </w:r>
      <w:r>
        <w:rPr>
          <w:rFonts w:ascii="华文宋体" w:hAnsi="华文宋体"/>
          <w:szCs w:val="21"/>
        </w:rPr>
        <w:br w:type="page"/>
      </w:r>
    </w:p>
    <w:p w14:paraId="184E2937" w14:textId="77777777" w:rsidR="00D4368C" w:rsidRDefault="001710E2">
      <w:pPr>
        <w:pStyle w:val="Heading1"/>
        <w:spacing w:before="0" w:after="0" w:line="300" w:lineRule="auto"/>
        <w:jc w:val="center"/>
        <w:rPr>
          <w:rFonts w:ascii="宋体" w:eastAsia="宋体" w:hAnsi="宋体" w:cs="宋体"/>
          <w:sz w:val="21"/>
          <w:szCs w:val="21"/>
        </w:rPr>
      </w:pPr>
      <w:bookmarkStart w:id="0" w:name="_Toc70622180"/>
      <w:bookmarkStart w:id="1" w:name="_Toc194741904"/>
      <w:bookmarkStart w:id="2" w:name="_Toc401668928"/>
      <w:r>
        <w:rPr>
          <w:rFonts w:ascii="宋体" w:eastAsia="宋体" w:hAnsi="宋体" w:cs="宋体" w:hint="eastAsia"/>
          <w:sz w:val="21"/>
          <w:szCs w:val="21"/>
        </w:rPr>
        <w:lastRenderedPageBreak/>
        <w:t>一、前言</w:t>
      </w:r>
      <w:bookmarkEnd w:id="0"/>
      <w:bookmarkEnd w:id="1"/>
      <w:bookmarkEnd w:id="2"/>
    </w:p>
    <w:p w14:paraId="098FE85E" w14:textId="77777777" w:rsidR="00D4368C" w:rsidRDefault="001710E2">
      <w:pPr>
        <w:spacing w:line="360" w:lineRule="auto"/>
        <w:ind w:firstLine="482"/>
        <w:rPr>
          <w:rFonts w:ascii="宋体" w:eastAsia="宋体" w:hAnsi="宋体" w:cs="宋体"/>
          <w:sz w:val="21"/>
          <w:szCs w:val="21"/>
        </w:rPr>
      </w:pPr>
      <w:r>
        <w:rPr>
          <w:rFonts w:ascii="宋体" w:eastAsia="宋体" w:hAnsi="宋体" w:cs="宋体" w:hint="eastAsia"/>
          <w:sz w:val="21"/>
          <w:szCs w:val="21"/>
        </w:rPr>
        <w:t>订立本合同的依据、目的和原则：</w:t>
      </w:r>
    </w:p>
    <w:p w14:paraId="70D21944" w14:textId="77777777" w:rsidR="00D4368C" w:rsidRDefault="001710E2">
      <w:pPr>
        <w:spacing w:line="360" w:lineRule="auto"/>
        <w:ind w:firstLine="482"/>
        <w:rPr>
          <w:rFonts w:ascii="宋体" w:eastAsia="宋体" w:hAnsi="宋体" w:cs="宋体"/>
          <w:sz w:val="21"/>
          <w:szCs w:val="21"/>
        </w:rPr>
      </w:pPr>
      <w:r>
        <w:rPr>
          <w:rFonts w:ascii="宋体" w:eastAsia="宋体" w:hAnsi="宋体" w:cs="宋体" w:hint="eastAsia"/>
          <w:sz w:val="21"/>
          <w:szCs w:val="21"/>
        </w:rPr>
        <w:t>1、订立</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依据是《中华人民共和国民法典》、《中华人民共和国证券法》、《中华人民共和国证券投资基金法》（以下简称“《基金法》”）、《关于规范金融机构资产管理业务的指导意见》（以下简称“《指导意见》”）、《证券期货经营机构私募资产管理业务运作管理暂行规定》、《证券期货经营机构私募资产管理业务管理办法》(以下简称“《管理办法》”）、《证券期货经营机构私募资产管理计划运作管理规定》（以下简称“《运作规定》”）、《集合资产管理计划资产管理合同内容与格式指引（试行）》和其他有关规定。</w:t>
      </w:r>
    </w:p>
    <w:p w14:paraId="47202B9B" w14:textId="77777777" w:rsidR="00D4368C" w:rsidRDefault="001710E2">
      <w:pPr>
        <w:spacing w:line="360" w:lineRule="auto"/>
        <w:ind w:firstLine="482"/>
        <w:rPr>
          <w:rFonts w:ascii="宋体" w:eastAsia="宋体" w:hAnsi="宋体" w:cs="宋体"/>
          <w:sz w:val="21"/>
          <w:szCs w:val="21"/>
        </w:rPr>
      </w:pPr>
      <w:r>
        <w:rPr>
          <w:rFonts w:ascii="宋体" w:eastAsia="宋体" w:hAnsi="宋体" w:cs="宋体" w:hint="eastAsia"/>
          <w:sz w:val="21"/>
          <w:szCs w:val="21"/>
        </w:rPr>
        <w:t>2、订立</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管理合同的目的是为了明确资产委托人、资产管理人和资产托管人在集合资产管理业务过程中的权利、义务及职责，确保资产管理计划财产的安全，保护当事人各方的合法权益。</w:t>
      </w:r>
    </w:p>
    <w:p w14:paraId="3835B459" w14:textId="77777777" w:rsidR="00D4368C" w:rsidRDefault="001710E2">
      <w:pPr>
        <w:spacing w:line="360" w:lineRule="auto"/>
        <w:ind w:firstLine="482"/>
        <w:rPr>
          <w:rFonts w:ascii="宋体" w:eastAsia="宋体" w:hAnsi="宋体" w:cs="宋体"/>
          <w:sz w:val="21"/>
          <w:szCs w:val="21"/>
        </w:rPr>
      </w:pPr>
      <w:r>
        <w:rPr>
          <w:rFonts w:ascii="宋体" w:eastAsia="宋体" w:hAnsi="宋体" w:cs="宋体" w:hint="eastAsia"/>
          <w:sz w:val="21"/>
          <w:szCs w:val="21"/>
        </w:rPr>
        <w:t>3、订立</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管理合同应当遵循平等自愿、诚实信用、公平原则，充分保护本合同各方当事人的合法权益，不得损害国家利益、社会公共利益和他人合法权益。</w:t>
      </w:r>
    </w:p>
    <w:p w14:paraId="7F548867" w14:textId="77777777" w:rsidR="00D4368C" w:rsidRDefault="001710E2">
      <w:pPr>
        <w:spacing w:line="360" w:lineRule="auto"/>
        <w:ind w:firstLine="482"/>
        <w:rPr>
          <w:rFonts w:ascii="宋体" w:eastAsia="宋体" w:hAnsi="宋体" w:cs="宋体"/>
          <w:sz w:val="21"/>
          <w:szCs w:val="21"/>
        </w:rPr>
      </w:pPr>
      <w:r>
        <w:rPr>
          <w:rFonts w:ascii="宋体" w:eastAsia="宋体" w:hAnsi="宋体" w:cs="宋体" w:hint="eastAsia"/>
          <w:sz w:val="21"/>
          <w:szCs w:val="21"/>
        </w:rPr>
        <w:t>4、资产委托人自签订资产管理合同即成为资产管理合同的当事人。在本计划存续期间，资产委托人</w:t>
      </w:r>
      <w:proofErr w:type="gramStart"/>
      <w:r>
        <w:rPr>
          <w:rFonts w:ascii="宋体" w:eastAsia="宋体" w:hAnsi="宋体" w:cs="宋体" w:hint="eastAsia"/>
          <w:sz w:val="21"/>
          <w:szCs w:val="21"/>
        </w:rPr>
        <w:t>自全部</w:t>
      </w:r>
      <w:proofErr w:type="gramEnd"/>
      <w:r>
        <w:rPr>
          <w:rFonts w:ascii="宋体" w:eastAsia="宋体" w:hAnsi="宋体" w:cs="宋体" w:hint="eastAsia"/>
          <w:sz w:val="21"/>
          <w:szCs w:val="21"/>
        </w:rPr>
        <w:t>退出资产管理计划之日起，该资产委托人不再是资产管理计划的投资人和资产管理合同的当事人。</w:t>
      </w:r>
    </w:p>
    <w:p w14:paraId="6901E1F5" w14:textId="77777777" w:rsidR="00D4368C" w:rsidRDefault="001710E2">
      <w:pPr>
        <w:spacing w:line="360" w:lineRule="auto"/>
        <w:ind w:firstLine="482"/>
        <w:rPr>
          <w:rFonts w:ascii="宋体" w:eastAsia="宋体" w:hAnsi="宋体" w:cs="宋体"/>
          <w:sz w:val="21"/>
          <w:szCs w:val="21"/>
        </w:rPr>
      </w:pPr>
      <w:r>
        <w:rPr>
          <w:rFonts w:ascii="宋体" w:eastAsia="宋体" w:hAnsi="宋体" w:cs="宋体" w:hint="eastAsia"/>
          <w:sz w:val="21"/>
          <w:szCs w:val="21"/>
        </w:rPr>
        <w:t>资产管理人应当对</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管理计划的设立、变更、展期、终止、清算等行为向中国证券投资基金业协会（以下简称“基金业协会”）进行备案，并抄报中国证券监督管理委员会（以下简称“中国证监会”）相关派出机构。基金业协会接受</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管理计划的备案不能免除资产管理人按照规定真实、准确、完整、及时地披露产品信息的法律责任，也不代表基金业协会对</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性、投资价值及投资风险做出保证和判断。投资者应当自行识别产品投资风险并承担投资行为可能出现的损失，但</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因此免除资产管理人的产品管理责任和受托义务。</w:t>
      </w:r>
    </w:p>
    <w:p w14:paraId="08466EAA" w14:textId="77777777" w:rsidR="00D4368C" w:rsidRDefault="00D4368C">
      <w:pPr>
        <w:spacing w:line="300" w:lineRule="auto"/>
        <w:ind w:firstLine="480"/>
        <w:rPr>
          <w:rFonts w:ascii="宋体" w:eastAsia="宋体" w:hAnsi="宋体" w:cs="宋体"/>
          <w:sz w:val="21"/>
          <w:szCs w:val="21"/>
        </w:rPr>
      </w:pPr>
    </w:p>
    <w:p w14:paraId="11103080" w14:textId="77777777" w:rsidR="00D4368C" w:rsidRDefault="001710E2">
      <w:pPr>
        <w:pStyle w:val="Heading1"/>
        <w:spacing w:before="0" w:after="0" w:line="300" w:lineRule="auto"/>
        <w:ind w:firstLine="420"/>
        <w:jc w:val="center"/>
        <w:rPr>
          <w:rFonts w:ascii="宋体" w:eastAsia="宋体" w:hAnsi="宋体" w:cs="宋体"/>
          <w:sz w:val="21"/>
          <w:szCs w:val="21"/>
        </w:rPr>
      </w:pPr>
      <w:bookmarkStart w:id="3" w:name="_Toc70622181"/>
      <w:bookmarkStart w:id="4" w:name="_Toc401668929"/>
      <w:bookmarkStart w:id="5" w:name="_Toc194741905"/>
      <w:r>
        <w:rPr>
          <w:rFonts w:ascii="宋体" w:eastAsia="宋体" w:hAnsi="宋体" w:cs="宋体" w:hint="eastAsia"/>
          <w:sz w:val="21"/>
          <w:szCs w:val="21"/>
        </w:rPr>
        <w:t>二、释义</w:t>
      </w:r>
      <w:bookmarkEnd w:id="3"/>
      <w:bookmarkEnd w:id="4"/>
      <w:bookmarkEnd w:id="5"/>
    </w:p>
    <w:p w14:paraId="35214F9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在本合同中，除上下文另有规定外，下列用语应当具有如下含义：</w:t>
      </w:r>
    </w:p>
    <w:p w14:paraId="59F6B9A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1、资产管理合同、本合同、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管理合同：指资产委托人、资产管理人和资产托管人签署的《光大期货-光大理财阳光精选2号集合资产管理计划资产管理合同》及其附件，以及对该合同及附件做出的任何有效变更和补充</w:t>
      </w:r>
    </w:p>
    <w:p w14:paraId="693C3FA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2、投资者、委托人、资产委托人：指签订本合同，具备相应风险识别能力和风险承担能力，投资于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管理计划不低于【40】万元人民币（不含认购费和参与费）且符合《指导意见》、《运作规定》关于合格投资者要求的投资者</w:t>
      </w:r>
    </w:p>
    <w:p w14:paraId="47631EF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3、资产管理人、管理人：指【光大期货有限公司】</w:t>
      </w:r>
    </w:p>
    <w:p w14:paraId="40A8E5F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4、资产托管人、托管人：指【中国光大银行股份有限公司上海分行】</w:t>
      </w:r>
    </w:p>
    <w:p w14:paraId="2A8C147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5、注册登记机构、份额登记机构：指资产管理人或其委托的经中国证监会认定可办理开放式证券投资基金份额登记业务的机构。本计划的注册登记机构为【光大证券股份有限公司】</w:t>
      </w:r>
    </w:p>
    <w:p w14:paraId="5AF924B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6、资产管理计划、</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本计划、计划：指按照本合同的约定设立，为资产委托人的利益，将多个资产委托人交付的资金进行集中管理、运用或处分，进行投资活动的集合资产管理安排，即光大期货-光大理财阳光精选2号集合资产管理计划</w:t>
      </w:r>
    </w:p>
    <w:p w14:paraId="23026F6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计划说明书：指《光大期货-光大理财阳光精选2号集合资产管理计划计划说明书》，内容包括资产管理计划名称和类型、资产管理人与资产托管人概况、资产管理计划的投资范围、投资策略和投资限制情况、投资风险揭示、中国证监会规定的其他事项等</w:t>
      </w:r>
    </w:p>
    <w:p w14:paraId="2F77891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8、工作日： 指资产管理人和资产托管人均办理相关业务的营业日</w:t>
      </w:r>
    </w:p>
    <w:p w14:paraId="17D43C8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9、交易日：指上海证券交易所、深圳证券交易所的正常交易日</w:t>
      </w:r>
    </w:p>
    <w:p w14:paraId="4423182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10、估值日：指资产管理计划成立后的每一个交易日及国家法律法规规定的需要进行估值的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日</w:t>
      </w:r>
    </w:p>
    <w:p w14:paraId="1163705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11、开放日：指非计划初始募集期间，资产管理人办理计划参与、退出业务的工作日</w:t>
      </w:r>
    </w:p>
    <w:p w14:paraId="2ED93BA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12、证券账户：指根据中国证监会有关规定和中国证券登记结算有限责任公司等相关机构的有关业务规则，由资产托管人为资产管理计划财产在中国证券登记结算有限责任公司上海分公司、深圳分公司开设的专用证券账户、在中央国债登记结算有限责任公司、银行间市场清算所股份有限公司开立的有关账户及其他证券类账户</w:t>
      </w:r>
    </w:p>
    <w:p w14:paraId="5ED165A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13、资金账户、托管账户：指资产托管人根据有关规定为资产管理计划财产开立的专门用于清算交收的银行账户</w:t>
      </w:r>
    </w:p>
    <w:p w14:paraId="2235B38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14、期货账户（如有）：指根据中国证监会有关规定和中国金融期货交易所等相关期货交易所的有关业务规则，资产管理人为委托资产在资产管理人选定的期货公司处开立的用于存放委托资产期货保证金的账户，其用途包括出入金、支付期货交易结算款和相关费用等，期货账户对应唯一的期货结算账户，也即资金账户</w:t>
      </w:r>
    </w:p>
    <w:p w14:paraId="0134FF3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15、资产管理计划财产、委托财产：指资产委托人拥有合法处分权、委托资产管理人管理并由资产托管人托管的作为本合同标的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财产以及对上述财产投资运作产生的损益</w:t>
      </w:r>
    </w:p>
    <w:p w14:paraId="692E904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16、计划资产总值：指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管理计划拥有的各类有价证券、银行存款本息及其他资产的价值总和</w:t>
      </w:r>
    </w:p>
    <w:p w14:paraId="3A62DF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17、计划资产净值、计划财产净值：指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管理计划资产总值减去负债后的价值</w:t>
      </w:r>
    </w:p>
    <w:p w14:paraId="7E1964D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18、计划份额净值：指计算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管理计划资产净值除以计算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管理计划份额总数所得的数值</w:t>
      </w:r>
    </w:p>
    <w:p w14:paraId="2F3D961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19、资产管理计划资产估值：指计算、评估资产管理计划资产和负债的价值，以确定</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管理计划资产净值和份额净值的过程</w:t>
      </w:r>
    </w:p>
    <w:p w14:paraId="68B3ED6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20、初始募集期间：指资产管理合同及计划说明书中载明的计划初始销售期限，</w:t>
      </w:r>
      <w:proofErr w:type="gramStart"/>
      <w:r>
        <w:rPr>
          <w:rFonts w:ascii="宋体" w:eastAsia="宋体" w:hAnsi="宋体" w:cs="宋体" w:hint="eastAsia"/>
          <w:sz w:val="21"/>
          <w:szCs w:val="21"/>
        </w:rPr>
        <w:t>自计划</w:t>
      </w:r>
      <w:proofErr w:type="gramEnd"/>
      <w:r>
        <w:rPr>
          <w:rFonts w:ascii="宋体" w:eastAsia="宋体" w:hAnsi="宋体" w:cs="宋体" w:hint="eastAsia"/>
          <w:sz w:val="21"/>
          <w:szCs w:val="21"/>
        </w:rPr>
        <w:t>份额发售之日起最长不超过60天</w:t>
      </w:r>
    </w:p>
    <w:p w14:paraId="59A7B50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21、存续期：指本计划成立至终止之间的期限</w:t>
      </w:r>
    </w:p>
    <w:p w14:paraId="11D9A0B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22、资产管理计划成立日: 指本计划的募集金额缴足之日起十个工作日内，资产管理人应当委托具有证券相关业务资格的会计师事务所进行验资并出具验资报告。本计划在取得验资报告后，由资产管理人公告资产管理计划成立之日</w:t>
      </w:r>
    </w:p>
    <w:p w14:paraId="64F87DE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23、认购：指在资产管理计划初始募集期间，资产委托人按照本合同的约定购买本计划份额的行为</w:t>
      </w:r>
    </w:p>
    <w:p w14:paraId="2C01E6F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24、参与：指在资产管理计划开放日，资产委托人按照本合同的规定参与本计划份额的行为</w:t>
      </w:r>
    </w:p>
    <w:p w14:paraId="6005B35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25、退出：指在资产管理计划开放日，资产委托人按照本合同的规定退出本计划份额的行为</w:t>
      </w:r>
    </w:p>
    <w:p w14:paraId="55BD2FB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26、违约退出：指资产委托人在非合同约定的退出开放日退出资产管理计划的行为，本计划不接受违约退出</w:t>
      </w:r>
    </w:p>
    <w:p w14:paraId="55DCAB5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27、代理销售机构：指上海基</w:t>
      </w:r>
      <w:proofErr w:type="gramStart"/>
      <w:r>
        <w:rPr>
          <w:rFonts w:ascii="宋体" w:eastAsia="宋体" w:hAnsi="宋体" w:cs="宋体" w:hint="eastAsia"/>
          <w:sz w:val="21"/>
          <w:szCs w:val="21"/>
        </w:rPr>
        <w:t>煜</w:t>
      </w:r>
      <w:proofErr w:type="gramEnd"/>
      <w:r>
        <w:rPr>
          <w:rFonts w:ascii="宋体" w:eastAsia="宋体" w:hAnsi="宋体" w:cs="宋体" w:hint="eastAsia"/>
          <w:sz w:val="21"/>
          <w:szCs w:val="21"/>
        </w:rPr>
        <w:t>基金销售有限公司及其他符合中国证监会规定的条件，取得基金销售资格并接受资产管理人委托，代为办理本计划认购、参与、退出等业务的机构</w:t>
      </w:r>
    </w:p>
    <w:p w14:paraId="0DA702D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28、销售机构：指管理人和代理销售机构</w:t>
      </w:r>
    </w:p>
    <w:p w14:paraId="5B25268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29、法律法规: 指中国现行有效并公布实施的法律、行政法规、部门规章、规范性文件、监管政策、自律规则以及对该等法律法规不时的修订和补充</w:t>
      </w:r>
    </w:p>
    <w:p w14:paraId="3B44183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30、信义义务：指托管人须恪尽职守、诚实信用和勤勉谨慎履约，依据相关法律法规，在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管理计划合同所约定的范围内履行相应的托管人职责</w:t>
      </w:r>
    </w:p>
    <w:p w14:paraId="3E626DB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31、不可抗力：指不能预见、不能避免并不能克服的客观情况，包括但不限于地震、台风、水灾、火灾、战争、暴乱、流行病、疫情、严重传染病、导致本合同不能履行的政府行为、罢工、停工、停电、通讯失败等，非因资产管理人、资产托管人自身原因导致的技术系统异常事故、导致本合同不能履行的法律法规调整等情形。因交易所、银行、登记结算机构的交易、结算系统出现故障导致的交易、结算无法进行的情形，因电信服务商原因导致资金划付的网络中断、无法使用的情形，亦构成不可抗力事件</w:t>
      </w:r>
    </w:p>
    <w:p w14:paraId="61170C78" w14:textId="77777777" w:rsidR="00D4368C" w:rsidRDefault="00D4368C">
      <w:pPr>
        <w:spacing w:line="360" w:lineRule="auto"/>
        <w:ind w:firstLine="480"/>
        <w:rPr>
          <w:rFonts w:ascii="宋体" w:eastAsia="宋体" w:hAnsi="宋体" w:cs="宋体"/>
          <w:sz w:val="21"/>
          <w:szCs w:val="21"/>
        </w:rPr>
      </w:pPr>
    </w:p>
    <w:p w14:paraId="4C464A62" w14:textId="77777777" w:rsidR="00D4368C" w:rsidRDefault="001710E2">
      <w:pPr>
        <w:pStyle w:val="Heading1"/>
        <w:spacing w:before="0" w:after="0" w:line="360" w:lineRule="auto"/>
        <w:jc w:val="center"/>
        <w:rPr>
          <w:rFonts w:ascii="宋体" w:eastAsia="宋体" w:hAnsi="宋体" w:cs="宋体"/>
          <w:sz w:val="21"/>
          <w:szCs w:val="21"/>
        </w:rPr>
      </w:pPr>
      <w:bookmarkStart w:id="6" w:name="_Toc194741906"/>
      <w:bookmarkStart w:id="7" w:name="_Toc401668930"/>
      <w:bookmarkStart w:id="8" w:name="_Toc70622182"/>
      <w:r>
        <w:rPr>
          <w:rFonts w:ascii="宋体" w:eastAsia="宋体" w:hAnsi="宋体" w:cs="宋体" w:hint="eastAsia"/>
          <w:sz w:val="21"/>
          <w:szCs w:val="21"/>
        </w:rPr>
        <w:lastRenderedPageBreak/>
        <w:t>三、承诺</w:t>
      </w:r>
      <w:bookmarkEnd w:id="6"/>
      <w:bookmarkEnd w:id="7"/>
      <w:r>
        <w:rPr>
          <w:rFonts w:ascii="宋体" w:eastAsia="宋体" w:hAnsi="宋体" w:cs="宋体" w:hint="eastAsia"/>
          <w:sz w:val="21"/>
          <w:szCs w:val="21"/>
        </w:rPr>
        <w:t>与声明</w:t>
      </w:r>
      <w:bookmarkEnd w:id="8"/>
    </w:p>
    <w:p w14:paraId="3FA075E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（一）资产管理人承诺 </w:t>
      </w:r>
    </w:p>
    <w:p w14:paraId="09D90D9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1、在签订本合同前充分向投资者说明了有关法律法规和相关投资工具的运作市场及方式，并充分揭示了相关风险。 </w:t>
      </w:r>
    </w:p>
    <w:p w14:paraId="66EC3E4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2、已经了解投资者的风险偏好、风险认知能力和承受能力，对投资者的财务状况进行了充分评估。 </w:t>
      </w:r>
    </w:p>
    <w:p w14:paraId="101E793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3、按照《基金法》恪尽职守、诚实信用、谨慎勤勉的原则管理和运用委托财产，不保证委托财产一定盈利，也不保证最低收益或本金不受损失，以及限定投资损失金额或者比例。</w:t>
      </w:r>
    </w:p>
    <w:p w14:paraId="7C1C449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4、资产管理人应承担尽职调查等反洗</w:t>
      </w:r>
      <w:proofErr w:type="gramStart"/>
      <w:r>
        <w:rPr>
          <w:rFonts w:ascii="宋体" w:eastAsia="宋体" w:hAnsi="宋体" w:cs="宋体" w:hint="eastAsia"/>
          <w:sz w:val="21"/>
          <w:szCs w:val="21"/>
        </w:rPr>
        <w:t>钱工作</w:t>
      </w:r>
      <w:proofErr w:type="gramEnd"/>
      <w:r>
        <w:rPr>
          <w:rFonts w:ascii="宋体" w:eastAsia="宋体" w:hAnsi="宋体" w:cs="宋体" w:hint="eastAsia"/>
          <w:sz w:val="21"/>
          <w:szCs w:val="21"/>
        </w:rPr>
        <w:t>职责，包括但不限于建立合理有效的反洗</w:t>
      </w:r>
      <w:proofErr w:type="gramStart"/>
      <w:r>
        <w:rPr>
          <w:rFonts w:ascii="宋体" w:eastAsia="宋体" w:hAnsi="宋体" w:cs="宋体" w:hint="eastAsia"/>
          <w:sz w:val="21"/>
          <w:szCs w:val="21"/>
        </w:rPr>
        <w:t>钱控制</w:t>
      </w:r>
      <w:proofErr w:type="gramEnd"/>
      <w:r>
        <w:rPr>
          <w:rFonts w:ascii="宋体" w:eastAsia="宋体" w:hAnsi="宋体" w:cs="宋体" w:hint="eastAsia"/>
          <w:sz w:val="21"/>
          <w:szCs w:val="21"/>
        </w:rPr>
        <w:t>措施，对其自身客户开展反洗钱尽职调查等管控工作，确保所管理的资金来源合法，资金管理及投资使用不涉及恐怖融资或其他违法犯罪活动，不涉及被联合国、美国、欧盟、英国、中国有权机关等制裁规则制裁的人员或行为等。资产管理人应建立健全客户尽职调查等反洗</w:t>
      </w:r>
      <w:proofErr w:type="gramStart"/>
      <w:r>
        <w:rPr>
          <w:rFonts w:ascii="宋体" w:eastAsia="宋体" w:hAnsi="宋体" w:cs="宋体" w:hint="eastAsia"/>
          <w:sz w:val="21"/>
          <w:szCs w:val="21"/>
        </w:rPr>
        <w:t>钱内部</w:t>
      </w:r>
      <w:proofErr w:type="gramEnd"/>
      <w:r>
        <w:rPr>
          <w:rFonts w:ascii="宋体" w:eastAsia="宋体" w:hAnsi="宋体" w:cs="宋体" w:hint="eastAsia"/>
          <w:sz w:val="21"/>
          <w:szCs w:val="21"/>
        </w:rPr>
        <w:t>控制机制，在必要情形下与资产托管人共享本业务项下客户尽职调查及其他相关情况。</w:t>
      </w:r>
    </w:p>
    <w:p w14:paraId="6380FF8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（二）资产托管人承诺</w:t>
      </w:r>
    </w:p>
    <w:p w14:paraId="66D76C0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1、按照《基金法》恪尽职守、诚实信用、谨慎勤勉的原则安全保管委托财产，履行信义义务以及本合同约定的其他义务。</w:t>
      </w:r>
    </w:p>
    <w:p w14:paraId="71592DA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2、根据法律法规、中国证监会及证券投资基金业协会的规定和资产管理合同的约定，对管理人的投资或清算指令等进行监督。</w:t>
      </w:r>
    </w:p>
    <w:p w14:paraId="05392DF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在资产管理人发生异常且无法履行管理职能时，依照法律法规的规定、本合同的约定以及中国证监会、基金业协会的要求履行相关资产托管人职责，维护投资者权益。资产管理人发生异常且无法履行管理职能的情况包括资产管理人被依法撤销资产管理业务资格或者依法解散、宣告破产。</w:t>
      </w:r>
    </w:p>
    <w:p w14:paraId="7DA555E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（三）资产委托人声明</w:t>
      </w:r>
    </w:p>
    <w:p w14:paraId="4ADCDAA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委托财产为其拥有合法所有权或处分权的资产，保证委托财产的来源及用途符合国家有关规定，保证其参与投资</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符合法律法规的规定及业务决策程序的要求，保证有完全及合法的授权委托资产管理人和资产托管人进行委托财产的投资管理和托管业务，保证没有任何其他限制性条件妨碍资产管理人和资产托管人对该委托财产行使相关权利且该权利不会为任何</w:t>
      </w:r>
      <w:proofErr w:type="gramStart"/>
      <w:r>
        <w:rPr>
          <w:rFonts w:ascii="宋体" w:eastAsia="宋体" w:hAnsi="宋体" w:cs="宋体" w:hint="eastAsia"/>
          <w:sz w:val="21"/>
          <w:szCs w:val="21"/>
        </w:rPr>
        <w:t>其他第三</w:t>
      </w:r>
      <w:proofErr w:type="gramEnd"/>
      <w:r>
        <w:rPr>
          <w:rFonts w:ascii="宋体" w:eastAsia="宋体" w:hAnsi="宋体" w:cs="宋体" w:hint="eastAsia"/>
          <w:sz w:val="21"/>
          <w:szCs w:val="21"/>
        </w:rPr>
        <w:t>方所质疑。</w:t>
      </w:r>
    </w:p>
    <w:p w14:paraId="15BD15C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资产委托人声明已充分理解本合同条款，了解相关权利、义务，了解有关法律法规及所投资资产管理计划的风险收益特征，知晓管理人、托管人及相关机构不应对资产管理计划的收益状况或本金不受损失</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任何承诺，了解“卖者尽责，买者自负”的原则，投资于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管理计划将自行承担投资风险。资产委</w:t>
      </w:r>
      <w:r>
        <w:rPr>
          <w:rFonts w:ascii="宋体" w:eastAsia="宋体" w:hAnsi="宋体" w:cs="宋体" w:hint="eastAsia"/>
          <w:sz w:val="21"/>
          <w:szCs w:val="21"/>
        </w:rPr>
        <w:lastRenderedPageBreak/>
        <w:t>托人承认，资产管理人、资产托管人未对委托财产的收益状况及本金安全</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任何承诺或担保。</w:t>
      </w:r>
    </w:p>
    <w:p w14:paraId="11FA513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委托人承诺其向资产管理人提供的（若通过代理销售机构认购、参与本计划的，则向代理销售机构提供）有关投资目的、投资偏好、投资限制、财产收入情况和风险承受能力等基本情况真实、完整、准确、合法，不存在任何虚假陈述、重大遗漏或误导。前述信息资料如发生任何实质性变更，应当及时书面告知资产管理人或代理销售机构。</w:t>
      </w:r>
    </w:p>
    <w:p w14:paraId="4B0A4222" w14:textId="77777777" w:rsidR="00D4368C" w:rsidRDefault="001710E2">
      <w:pPr>
        <w:spacing w:line="360" w:lineRule="auto"/>
        <w:ind w:firstLine="541"/>
        <w:rPr>
          <w:rFonts w:ascii="宋体" w:eastAsia="宋体" w:hAnsi="宋体" w:cs="宋体"/>
          <w:b/>
          <w:sz w:val="21"/>
          <w:szCs w:val="21"/>
        </w:rPr>
      </w:pPr>
      <w:r>
        <w:rPr>
          <w:rFonts w:ascii="宋体" w:eastAsia="宋体" w:hAnsi="宋体" w:cs="宋体" w:hint="eastAsia"/>
          <w:b/>
          <w:sz w:val="21"/>
          <w:szCs w:val="21"/>
        </w:rPr>
        <w:t>资产委托人承诺及保证：符合法律法规、监管机构及自律组织对于本计划投资者的各项要求，包括但不限于：</w:t>
      </w:r>
    </w:p>
    <w:p w14:paraId="6397F10F"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b/>
          <w:sz w:val="21"/>
          <w:szCs w:val="21"/>
        </w:rPr>
        <w:t>1、资产委托人具备相应风险识别能力和风险承担能力，为符合要求的合格投资者：1）具有2 年以上投资经历，且满足下列三项条件之一的自然人：家庭金融净资产不低于300 万元，家庭金融资产不低于500 万元，或者近3 年本人年均收入不低于40 万元；2）最近1 年末净资产不低于1000 万元的法人单位；3）依法设立并接受国务院金融监督管理机构监管的机构，包括证券公司及其子公司、基金管理公司及其子公司、期货公司及其子公司、在基金业协会登记的私募基金管理人、商业银行、金融资产投资公司、信托公司、保险公司、保险资产管理机构、财务公司及中国证监会认定的其他机构；4）接受国务院金融监督管理机构监管的机构发行的资产管理产品；5）基本养老金、社会保障基金、企业年金等养老基金，慈善基金等社会公益基金，合格境外机构投资者（QFII）、人民币合格境外机构投资者（RQFII）；6）中国证监会视为合格投资者的其他情形。</w:t>
      </w:r>
    </w:p>
    <w:p w14:paraId="5707BD11" w14:textId="77777777" w:rsidR="00D4368C" w:rsidRDefault="001710E2">
      <w:pPr>
        <w:spacing w:line="360" w:lineRule="auto"/>
        <w:ind w:firstLine="541"/>
        <w:rPr>
          <w:rFonts w:ascii="宋体" w:eastAsia="宋体" w:hAnsi="宋体" w:cs="宋体"/>
          <w:b/>
          <w:sz w:val="21"/>
          <w:szCs w:val="21"/>
        </w:rPr>
      </w:pPr>
      <w:r>
        <w:rPr>
          <w:rFonts w:ascii="宋体" w:eastAsia="宋体" w:hAnsi="宋体" w:cs="宋体" w:hint="eastAsia"/>
          <w:b/>
          <w:sz w:val="21"/>
          <w:szCs w:val="21"/>
        </w:rPr>
        <w:t>2、资产委托人的资金来源合法合</w:t>
      </w:r>
      <w:proofErr w:type="gramStart"/>
      <w:r>
        <w:rPr>
          <w:rFonts w:ascii="宋体" w:eastAsia="宋体" w:hAnsi="宋体" w:cs="宋体" w:hint="eastAsia"/>
          <w:b/>
          <w:sz w:val="21"/>
          <w:szCs w:val="21"/>
        </w:rPr>
        <w:t>规</w:t>
      </w:r>
      <w:proofErr w:type="gramEnd"/>
      <w:r>
        <w:rPr>
          <w:rFonts w:ascii="宋体" w:eastAsia="宋体" w:hAnsi="宋体" w:cs="宋体" w:hint="eastAsia"/>
          <w:b/>
          <w:sz w:val="21"/>
          <w:szCs w:val="21"/>
        </w:rPr>
        <w:t>，不存在使用贷款、发行债券等筹集的非自有资金（合法募集的理财资金除外）投资</w:t>
      </w:r>
      <w:proofErr w:type="gramStart"/>
      <w:r>
        <w:rPr>
          <w:rFonts w:ascii="宋体" w:eastAsia="宋体" w:hAnsi="宋体" w:cs="宋体" w:hint="eastAsia"/>
          <w:b/>
          <w:sz w:val="21"/>
          <w:szCs w:val="21"/>
        </w:rPr>
        <w:t>本资产</w:t>
      </w:r>
      <w:proofErr w:type="gramEnd"/>
      <w:r>
        <w:rPr>
          <w:rFonts w:ascii="宋体" w:eastAsia="宋体" w:hAnsi="宋体" w:cs="宋体" w:hint="eastAsia"/>
          <w:b/>
          <w:sz w:val="21"/>
          <w:szCs w:val="21"/>
        </w:rPr>
        <w:t xml:space="preserve">管理计划的情形。 </w:t>
      </w:r>
    </w:p>
    <w:p w14:paraId="5EED0F3D"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3、资产委托人承诺投资本计划向上穿透后不存在违反监管要求的产品嵌套，以及以投资本计划规避投资范围、杠杆约束等监管要求等违法违规行为。</w:t>
      </w:r>
    </w:p>
    <w:p w14:paraId="476E7DBD" w14:textId="77777777" w:rsidR="00D4368C" w:rsidRDefault="00D4368C">
      <w:pPr>
        <w:spacing w:line="360" w:lineRule="auto"/>
        <w:ind w:firstLine="480"/>
        <w:rPr>
          <w:rFonts w:ascii="宋体" w:eastAsia="宋体" w:hAnsi="宋体" w:cs="宋体"/>
          <w:b/>
          <w:sz w:val="21"/>
          <w:szCs w:val="21"/>
        </w:rPr>
      </w:pPr>
    </w:p>
    <w:p w14:paraId="74DA88AF" w14:textId="77777777" w:rsidR="00D4368C" w:rsidRDefault="001710E2">
      <w:pPr>
        <w:pStyle w:val="Heading1"/>
        <w:spacing w:before="0" w:after="0" w:line="360" w:lineRule="auto"/>
        <w:jc w:val="center"/>
        <w:rPr>
          <w:rFonts w:ascii="宋体" w:eastAsia="宋体" w:hAnsi="宋体" w:cs="宋体"/>
          <w:sz w:val="21"/>
          <w:szCs w:val="21"/>
        </w:rPr>
      </w:pPr>
      <w:bookmarkStart w:id="9" w:name="_Toc70622183"/>
      <w:bookmarkStart w:id="10" w:name="_Toc401668935"/>
      <w:r>
        <w:rPr>
          <w:rFonts w:ascii="宋体" w:eastAsia="宋体" w:hAnsi="宋体" w:cs="宋体" w:hint="eastAsia"/>
          <w:sz w:val="21"/>
          <w:szCs w:val="21"/>
        </w:rPr>
        <w:t>四、当事人及权利义务</w:t>
      </w:r>
      <w:bookmarkEnd w:id="9"/>
      <w:bookmarkEnd w:id="10"/>
    </w:p>
    <w:p w14:paraId="7EBA974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（一）资产委托人</w:t>
      </w:r>
    </w:p>
    <w:p w14:paraId="574AB325" w14:textId="77777777" w:rsidR="00D4368C" w:rsidRDefault="001710E2">
      <w:pPr>
        <w:pStyle w:val="a1"/>
        <w:rPr>
          <w:rFonts w:eastAsia="宋体" w:hAnsi="宋体" w:cs="宋体"/>
          <w:sz w:val="21"/>
          <w:szCs w:val="21"/>
        </w:rPr>
      </w:pPr>
      <w:r>
        <w:rPr>
          <w:rFonts w:eastAsia="宋体" w:hAnsi="宋体" w:cs="宋体" w:hint="eastAsia"/>
          <w:sz w:val="21"/>
          <w:szCs w:val="21"/>
        </w:rPr>
        <w:t>1、资产委托人基本情况</w:t>
      </w:r>
    </w:p>
    <w:p w14:paraId="67C7745F" w14:textId="77777777" w:rsidR="00D4368C" w:rsidRDefault="001710E2">
      <w:pPr>
        <w:pStyle w:val="a1"/>
        <w:rPr>
          <w:rFonts w:eastAsia="宋体" w:hAnsi="宋体" w:cs="宋体"/>
          <w:sz w:val="21"/>
          <w:szCs w:val="21"/>
        </w:rPr>
      </w:pPr>
      <w:r>
        <w:rPr>
          <w:rFonts w:eastAsia="宋体" w:hAnsi="宋体" w:cs="宋体" w:hint="eastAsia"/>
          <w:sz w:val="21"/>
          <w:szCs w:val="21"/>
        </w:rPr>
        <w:t>签署本合同且合同正式生效的投资者即为本合同的资产委托人。资产委托人的详细情况在合同签署页列示。</w:t>
      </w:r>
    </w:p>
    <w:p w14:paraId="69C849DC" w14:textId="77777777" w:rsidR="00D4368C" w:rsidRDefault="001710E2">
      <w:pPr>
        <w:pStyle w:val="a1"/>
        <w:rPr>
          <w:rFonts w:eastAsia="宋体" w:hAnsi="宋体" w:cs="宋体"/>
          <w:sz w:val="21"/>
          <w:szCs w:val="21"/>
        </w:rPr>
      </w:pPr>
      <w:r>
        <w:rPr>
          <w:rFonts w:eastAsia="宋体" w:hAnsi="宋体" w:cs="宋体" w:hint="eastAsia"/>
          <w:sz w:val="21"/>
          <w:szCs w:val="21"/>
        </w:rPr>
        <w:t>2、资产委托人的权利</w:t>
      </w:r>
    </w:p>
    <w:p w14:paraId="43C66599"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（1）分享资产管理计划财产收益；</w:t>
      </w:r>
    </w:p>
    <w:p w14:paraId="2D346EE8"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lastRenderedPageBreak/>
        <w:t>（2）取得分配清算后的剩余资产管理计划财产；</w:t>
      </w:r>
    </w:p>
    <w:p w14:paraId="4F8F8954"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（3）按照本合同的约定参与、退出和转让资产管理计划份额；</w:t>
      </w:r>
    </w:p>
    <w:p w14:paraId="50944D8E"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（4）按照法律法规及本合同约定的时间和方式获得资产管理计划的信息披露资料；</w:t>
      </w:r>
    </w:p>
    <w:p w14:paraId="64702BF5"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 xml:space="preserve">（5）监督资产管理人及资产托管人履行投资管理和托管义务的情况； </w:t>
      </w:r>
    </w:p>
    <w:p w14:paraId="3E533B02"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（6）要求管理人配合资产委托人的底层资产穿透管理；</w:t>
      </w:r>
    </w:p>
    <w:p w14:paraId="1A0B8FE0"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 xml:space="preserve">（7）资产管理计划设定为均等份额。除本合同另有约定外，每份份额具有同等的合法权益； </w:t>
      </w:r>
    </w:p>
    <w:p w14:paraId="489B372D"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 xml:space="preserve">（8）法律法规、中国证监会及基金业协会规定的及本合同约定的其他权利。   </w:t>
      </w:r>
    </w:p>
    <w:p w14:paraId="05A09909" w14:textId="77777777" w:rsidR="00D4368C" w:rsidRDefault="001710E2">
      <w:pPr>
        <w:pStyle w:val="a1"/>
        <w:rPr>
          <w:rFonts w:eastAsia="宋体" w:hAnsi="宋体" w:cs="宋体"/>
          <w:sz w:val="21"/>
          <w:szCs w:val="21"/>
        </w:rPr>
      </w:pPr>
      <w:r>
        <w:rPr>
          <w:rFonts w:eastAsia="宋体" w:hAnsi="宋体" w:cs="宋体" w:hint="eastAsia"/>
          <w:sz w:val="21"/>
          <w:szCs w:val="21"/>
        </w:rPr>
        <w:t>3、资产委托人的义务</w:t>
      </w:r>
    </w:p>
    <w:p w14:paraId="7D1BA005"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（1）认真阅读并遵守本合同，保证投资资金的来源及用途合法；</w:t>
      </w:r>
    </w:p>
    <w:p w14:paraId="27D6D109"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（2）接受合格投资者认定程序，如实填写风险识别能力和风险承担能力问卷，如实提供资金来源、金融资产、收入及负债情况（如适用），并对其真实性、准确性和完整性负责，签署合格投资者相关文件；</w:t>
      </w:r>
    </w:p>
    <w:p w14:paraId="771E0B6D"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（3）除公</w:t>
      </w:r>
      <w:proofErr w:type="gramStart"/>
      <w:r>
        <w:rPr>
          <w:rFonts w:eastAsia="宋体" w:hAnsi="宋体" w:cs="宋体" w:hint="eastAsia"/>
          <w:sz w:val="21"/>
          <w:szCs w:val="21"/>
        </w:rPr>
        <w:t>募资产</w:t>
      </w:r>
      <w:proofErr w:type="gramEnd"/>
      <w:r>
        <w:rPr>
          <w:rFonts w:eastAsia="宋体" w:hAnsi="宋体" w:cs="宋体" w:hint="eastAsia"/>
          <w:sz w:val="21"/>
          <w:szCs w:val="21"/>
        </w:rPr>
        <w:t>管理产品外，以合伙企业、契约等非法人形式直接或者间接投资于资产管理计划的，应向管理人充分披露实际投资者和最终资金来源；</w:t>
      </w:r>
    </w:p>
    <w:p w14:paraId="56A94789"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（4）认真阅读并签署风险揭示书；</w:t>
      </w:r>
    </w:p>
    <w:p w14:paraId="372A4530"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（5）按照资产管理合同约定支付资产管理计划份额的参与款项，承担资产管理合同约定的管理费、业绩报酬（如有）、托管费、审计费、税费等合理费用；</w:t>
      </w:r>
    </w:p>
    <w:p w14:paraId="6BAD03EC"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（6）在持有的资产管理计划份额范围内，承担资产管理计划亏损或者终止的有限责任；</w:t>
      </w:r>
    </w:p>
    <w:p w14:paraId="677C6B7E"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7）向管理人或资产管理计划销售机构提供法律法规规定的信息资料及身份证明文件（如适用），配合管理人或其销售机构完成投资者适当性管理、非居民金融账户涉税信息尽职调查、反洗钱等监管规定的工作；</w:t>
      </w:r>
    </w:p>
    <w:p w14:paraId="2B34BD3B"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（8）不得违反资产管理合同的约定干涉资产管理人的投资管理行为；</w:t>
      </w:r>
    </w:p>
    <w:p w14:paraId="214C4EF6"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（9）不得从事任何有损资产管理计划及其投资者、资产管理人及资产管理人管理的其他资产、资产托管人及资产托管人托管的其他资产合法权益的活动；</w:t>
      </w:r>
    </w:p>
    <w:p w14:paraId="077DF4A2"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（10）保守商业秘密，不得泄露资产管理计划的投资计划、投资意向等；不得利用资产管理计划相关信息进行内幕交易或者其他不当、违法的证券期货业务活动；</w:t>
      </w:r>
    </w:p>
    <w:p w14:paraId="061EA65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（11）在签署本合同前，向资产管理人书面告知资产委托人的关联</w:t>
      </w:r>
      <w:proofErr w:type="gramStart"/>
      <w:r>
        <w:rPr>
          <w:rFonts w:ascii="宋体" w:eastAsia="宋体" w:hAnsi="宋体" w:cs="宋体" w:hint="eastAsia"/>
          <w:sz w:val="21"/>
          <w:szCs w:val="21"/>
        </w:rPr>
        <w:t>方发行</w:t>
      </w:r>
      <w:proofErr w:type="gramEnd"/>
      <w:r>
        <w:rPr>
          <w:rFonts w:ascii="宋体" w:eastAsia="宋体" w:hAnsi="宋体" w:cs="宋体" w:hint="eastAsia"/>
          <w:sz w:val="21"/>
          <w:szCs w:val="21"/>
        </w:rPr>
        <w:t>的证券名单或其他禁止交易的证券名单，在上述证券名单发生变更时，及时书面通知资产管理人；</w:t>
      </w:r>
    </w:p>
    <w:p w14:paraId="60E0605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（12）在本计划存续期间及时关注资产管理人的短信、电话、邮件、传真以及其公司网站公告；</w:t>
      </w:r>
    </w:p>
    <w:p w14:paraId="1ADD232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（13）理解并同意承担委托财产的投资、运作、托管面临本合同之第二十四部分“风险揭示”以及风险揭示书中列举的各类风险；</w:t>
      </w:r>
    </w:p>
    <w:p w14:paraId="309978F0" w14:textId="77777777" w:rsidR="00D4368C" w:rsidRDefault="001710E2">
      <w:pPr>
        <w:pStyle w:val="a1"/>
        <w:ind w:firstLine="480"/>
        <w:rPr>
          <w:rFonts w:eastAsia="宋体" w:hAnsi="宋体" w:cs="宋体"/>
          <w:sz w:val="21"/>
          <w:szCs w:val="21"/>
        </w:rPr>
      </w:pPr>
      <w:r>
        <w:rPr>
          <w:rFonts w:eastAsia="宋体" w:hAnsi="宋体" w:cs="宋体" w:hint="eastAsia"/>
          <w:sz w:val="21"/>
          <w:szCs w:val="21"/>
        </w:rPr>
        <w:t>（14）法律法规、中国证监会及基金业协会规定和本合同约定的其他义务。</w:t>
      </w:r>
    </w:p>
    <w:p w14:paraId="0AC161C3" w14:textId="77777777" w:rsidR="00D4368C" w:rsidRDefault="001710E2">
      <w:pPr>
        <w:pStyle w:val="a1"/>
        <w:rPr>
          <w:rFonts w:eastAsia="宋体" w:hAnsi="宋体" w:cs="宋体"/>
          <w:sz w:val="21"/>
          <w:szCs w:val="21"/>
        </w:rPr>
      </w:pPr>
      <w:r>
        <w:rPr>
          <w:rFonts w:eastAsia="宋体" w:hAnsi="宋体" w:cs="宋体" w:hint="eastAsia"/>
          <w:sz w:val="21"/>
          <w:szCs w:val="21"/>
        </w:rPr>
        <w:t>（二）资产管理人</w:t>
      </w:r>
    </w:p>
    <w:p w14:paraId="37D02FC3" w14:textId="77777777" w:rsidR="00D4368C" w:rsidRDefault="001710E2">
      <w:pPr>
        <w:pStyle w:val="a1"/>
        <w:rPr>
          <w:rFonts w:eastAsia="宋体" w:hAnsi="宋体" w:cs="宋体"/>
          <w:sz w:val="21"/>
          <w:szCs w:val="21"/>
        </w:rPr>
      </w:pPr>
      <w:r>
        <w:rPr>
          <w:rFonts w:eastAsia="宋体" w:hAnsi="宋体" w:cs="宋体" w:hint="eastAsia"/>
          <w:sz w:val="21"/>
          <w:szCs w:val="21"/>
        </w:rPr>
        <w:t>1、资产管理人的基本情况</w:t>
      </w:r>
    </w:p>
    <w:p w14:paraId="48C50EFA"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名称：</w:t>
      </w:r>
      <w:r>
        <w:rPr>
          <w:rFonts w:ascii="宋体" w:eastAsia="宋体" w:hAnsi="宋体" w:cs="宋体" w:hint="eastAsia"/>
          <w:color w:val="000000"/>
          <w:sz w:val="21"/>
          <w:szCs w:val="21"/>
        </w:rPr>
        <w:t>光大期货有限公司</w:t>
      </w:r>
    </w:p>
    <w:p w14:paraId="4ADC5D11"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住所：</w:t>
      </w:r>
      <w:r>
        <w:rPr>
          <w:rFonts w:ascii="宋体" w:eastAsia="宋体" w:hAnsi="宋体" w:cs="宋体" w:hint="eastAsia"/>
          <w:color w:val="000000"/>
          <w:sz w:val="21"/>
          <w:szCs w:val="21"/>
        </w:rPr>
        <w:t>上海市杨高南路729号6楼</w:t>
      </w:r>
    </w:p>
    <w:p w14:paraId="02EB43A0"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统一社会信用代码：913100001321105353</w:t>
      </w:r>
    </w:p>
    <w:p w14:paraId="168DFA90"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法定代表人或授权代表：</w:t>
      </w:r>
      <w:r>
        <w:rPr>
          <w:rFonts w:ascii="宋体" w:eastAsia="宋体" w:hAnsi="宋体" w:cs="宋体" w:hint="eastAsia"/>
          <w:color w:val="000000"/>
          <w:sz w:val="21"/>
          <w:szCs w:val="21"/>
        </w:rPr>
        <w:t>俞大伟</w:t>
      </w:r>
    </w:p>
    <w:p w14:paraId="5FD22AF3"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联系人：</w:t>
      </w:r>
      <w:r>
        <w:rPr>
          <w:rFonts w:ascii="宋体" w:eastAsia="宋体" w:hAnsi="宋体" w:cs="宋体" w:hint="eastAsia"/>
          <w:color w:val="000000"/>
          <w:sz w:val="21"/>
          <w:szCs w:val="21"/>
        </w:rPr>
        <w:t>陈晓迪</w:t>
      </w:r>
    </w:p>
    <w:p w14:paraId="1CC68572"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通讯地址：</w:t>
      </w:r>
      <w:r>
        <w:rPr>
          <w:rFonts w:ascii="宋体" w:eastAsia="宋体" w:hAnsi="宋体" w:cs="宋体" w:hint="eastAsia"/>
          <w:color w:val="000000"/>
          <w:sz w:val="21"/>
          <w:szCs w:val="21"/>
        </w:rPr>
        <w:t>上海市杨高南路729号6楼</w:t>
      </w:r>
    </w:p>
    <w:p w14:paraId="06FA1FBD"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邮政编码：200127</w:t>
      </w:r>
    </w:p>
    <w:p w14:paraId="44A0476A"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联系电话：</w:t>
      </w:r>
      <w:r>
        <w:rPr>
          <w:rFonts w:ascii="宋体" w:eastAsia="宋体" w:hAnsi="宋体" w:cs="宋体" w:hint="eastAsia"/>
          <w:color w:val="000000"/>
          <w:sz w:val="21"/>
          <w:szCs w:val="21"/>
        </w:rPr>
        <w:t>021-80212222</w:t>
      </w:r>
    </w:p>
    <w:p w14:paraId="53E0785C"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传真：</w:t>
      </w:r>
      <w:r>
        <w:rPr>
          <w:rFonts w:ascii="宋体" w:eastAsia="宋体" w:hAnsi="宋体" w:cs="宋体" w:hint="eastAsia"/>
          <w:color w:val="000000"/>
          <w:sz w:val="21"/>
          <w:szCs w:val="21"/>
        </w:rPr>
        <w:t>021-80212200</w:t>
      </w:r>
    </w:p>
    <w:p w14:paraId="65764CD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2、资产管理人的权利</w:t>
      </w:r>
    </w:p>
    <w:p w14:paraId="066FCCA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（1）按照本合同的约定，独立管理和运用资产管理计划财产；</w:t>
      </w:r>
    </w:p>
    <w:p w14:paraId="0A09BFC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（2）依照本合同的约定，及时、足额获得资产管理人管理费用和业绩报酬（如有）；</w:t>
      </w:r>
    </w:p>
    <w:p w14:paraId="330F5B8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（3）依照有关规定和本合同约定行使因资产管理计划财产投资所产生的权利；</w:t>
      </w:r>
    </w:p>
    <w:p w14:paraId="6F38591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根据本合同及其他有关规定，监督资产托管人；对于资产托管人违反本合同或有关法律法规规定、对资产管理计划财产及其他当事人的利益造成重大损失的，应当及时采取措施制止，并报告中国证监会相关派出机构及基金业协会；</w:t>
      </w:r>
    </w:p>
    <w:p w14:paraId="5FBF710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（5）自行提供或者委托经中国证监会、基金业协会认定的服务机构为资产管理计划提供募集、份额登记、估值与核算、信息技术系统等服务，并对其行为进行必要的监督和检查；</w:t>
      </w:r>
    </w:p>
    <w:p w14:paraId="4E60A62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（6）以管理人的名义，代表资产管理计划行使投资过程中产生的权属登记等权利；</w:t>
      </w:r>
    </w:p>
    <w:p w14:paraId="6CD353B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（7）资产管理人有权根据市场情况对</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管理计划的总规模、单个资产委托人首次参与金额、每次参与金额及持有的本计划总金额限制进行调整；</w:t>
      </w:r>
    </w:p>
    <w:p w14:paraId="023EEDF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（8）法律法规、中国证监会、基金业协会规定的及本合同约定的其他权利。</w:t>
      </w:r>
    </w:p>
    <w:p w14:paraId="433B106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3、资产管理人的义务</w:t>
      </w:r>
    </w:p>
    <w:p w14:paraId="4BF09E0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（1）依法办理资产管理计划的销售、登记、备案事宜；</w:t>
      </w:r>
    </w:p>
    <w:p w14:paraId="68EA566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（2）按照基金业协会要求报送资产管理计划产品运行信息；</w:t>
      </w:r>
    </w:p>
    <w:p w14:paraId="010125D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（3）按照诚实信用、勤勉尽责的原则履行受托人义务，管理和运用资产管理计划财产；</w:t>
      </w:r>
    </w:p>
    <w:p w14:paraId="2415E8C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（4）对投资者的风险识别能力和风险承担能力进行评估，向符合法律法规规定的合格投资者非公开募集资金；</w:t>
      </w:r>
    </w:p>
    <w:p w14:paraId="778FBFD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（5）制作风险揭示书，向投资者充分揭示相关风险；</w:t>
      </w:r>
    </w:p>
    <w:p w14:paraId="60BF33C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明确牵头部门负责与委托人对接业务履行受托义务，负责资产管理人内部统筹协调工作并与投资者进行积极沟通、协调，管理资产管理计划财产，并配备足够的具有专业能力的人员进行投资分析、决策，以专业化的经营方式管理和运作资产管理计划财产；</w:t>
      </w:r>
    </w:p>
    <w:p w14:paraId="2232DA1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（7）严格按照资产管理合同管理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管理计划财产，建立健全内部风险控制、监察与稽核、消费者权益保护、财务管理及人事管理等制度，实现内部协调与统筹，保证</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与其管理的其他资产管理计划财产、资产管理人的固有财产相互独立，对所管理的不同财产分别管理、分别记账，分别投资，不得出现超范围、超比例投资等违规行为；聘请投资顾问的（如有），应制定相应利益冲突防范机制防范资产管理计划资产与其他受托资产、资产管理计划资产与管理人自有资产产生利益冲突；</w:t>
      </w:r>
    </w:p>
    <w:p w14:paraId="13E4D0E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（8）除依据法律法规、本合同及其他有关规定外，不得为资产管理人及任何第三人谋取利益，不得委托第三人运作资产管理计划财产；</w:t>
      </w:r>
    </w:p>
    <w:p w14:paraId="4C2E60F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（9）保守商业秘密，不得泄露资产管理计划的投资计划、投资意向等，依法依规提供信息的除外；</w:t>
      </w:r>
    </w:p>
    <w:p w14:paraId="2A4ACF0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（10）公平对待所管理的不同财产，不得从事任何有损资产管理计划财产及其他当事人利益的活动；</w:t>
      </w:r>
    </w:p>
    <w:p w14:paraId="12F51D9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（11）除规定情形或符合规定条件外，不得为管理人、托管人及其关联方提供融资；</w:t>
      </w:r>
    </w:p>
    <w:p w14:paraId="607C8F0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（12）按照本合同的约定接受资产委托人和资产托管人的监督；</w:t>
      </w:r>
    </w:p>
    <w:p w14:paraId="2587FEB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（13）以资产管理人的名义，代表资产委托人利益行使诉讼权利或者实施其他法律行为；</w:t>
      </w:r>
    </w:p>
    <w:p w14:paraId="6D42D5D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（14）因资产委托人穿透监控需要，资产管理人按照合同约定的估值频率计算</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管理计划份额净值，并在每个估值日向资产委托人发送产品估值表；产品若为T+0估值，则于每个估值日19:00前发送，产品若为</w:t>
      </w:r>
      <w:proofErr w:type="spellStart"/>
      <w:r>
        <w:rPr>
          <w:rFonts w:ascii="宋体" w:eastAsia="宋体" w:hAnsi="宋体" w:cs="宋体" w:hint="eastAsia"/>
          <w:sz w:val="21"/>
          <w:szCs w:val="21"/>
        </w:rPr>
        <w:t>T+n</w:t>
      </w:r>
      <w:proofErr w:type="spellEnd"/>
      <w:r>
        <w:rPr>
          <w:rFonts w:ascii="宋体" w:eastAsia="宋体" w:hAnsi="宋体" w:cs="宋体" w:hint="eastAsia"/>
          <w:sz w:val="21"/>
          <w:szCs w:val="21"/>
        </w:rPr>
        <w:t>估值，则于每个估值日12:00前发送；资产委托人和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估值频率不一致时，参照资产委托人的估值频率处理；资产管理人应以资产委托人认可的方式证明产品估值表已经托管人复核无误；估值表单次发送，除非资产委托人要求，不得重复发送；对于估值表的提供，若监管另有规定的，资产管理人按照监管规定执行；</w:t>
      </w:r>
    </w:p>
    <w:p w14:paraId="3813925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（15）召集资产管理计划份额持有人大会（如有），份额持有人大会设立日常机构的除外。</w:t>
      </w:r>
    </w:p>
    <w:p w14:paraId="61E30F9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（16）确定资产管理计划份额参与、退出价格，采取适当、合理的措施确保份额交易价格的计算方法符合法律法规的规定和本合同的约定；在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管理计划存续期内，如发生参与、退出、分红、</w:t>
      </w:r>
      <w:proofErr w:type="gramStart"/>
      <w:r>
        <w:rPr>
          <w:rFonts w:ascii="宋体" w:eastAsia="宋体" w:hAnsi="宋体" w:cs="宋体" w:hint="eastAsia"/>
          <w:sz w:val="21"/>
          <w:szCs w:val="21"/>
        </w:rPr>
        <w:t>份额强减等</w:t>
      </w:r>
      <w:proofErr w:type="gramEnd"/>
      <w:r>
        <w:rPr>
          <w:rFonts w:ascii="宋体" w:eastAsia="宋体" w:hAnsi="宋体" w:cs="宋体" w:hint="eastAsia"/>
          <w:sz w:val="21"/>
          <w:szCs w:val="21"/>
        </w:rPr>
        <w:t>业务，资产管理人应在相关业务确认日17：00前向资产委托人提供加盖资产管理人业务专用章的业务确认书;</w:t>
      </w:r>
    </w:p>
    <w:p w14:paraId="5ED90B5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（17）对非标准化资产（如有）和相关交易主体进行充分的尽职调查，形成书面工作底稿，并制作尽职调查报告；</w:t>
      </w:r>
    </w:p>
    <w:p w14:paraId="4794BE0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（18）按照本合同约定负责资产管理计划会计核算并按照资产委托人模板编制财务会计报告；</w:t>
      </w:r>
    </w:p>
    <w:p w14:paraId="304AFFF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（19）聘请具有证券相关业务资格的会计师事务所对年度财务会计报告进行审计；</w:t>
      </w:r>
    </w:p>
    <w:p w14:paraId="48497B8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（20）按照本合同约定确定收益分配方案，及时向资产委托人分配收益，并在除权日之前一个工作日向资产委托人提供分红公告；</w:t>
      </w:r>
    </w:p>
    <w:p w14:paraId="4614754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21）根据法律法规与本合同的规定，编制向投资者披露的资产管理计划季度、年度等定期报告，按照资产委托人模板编制的财务会计报告应加盖管理人业务章于每季度结束后第3个工作日内向资产委托人提供；其他信息披露材料在资产管理人正式公开披露后2个工作日内向资产委托人提供；资产管理计划季度、年度等定期报告应当向基金业协会备案，并抄报证监会相关派出机构;</w:t>
      </w:r>
    </w:p>
    <w:p w14:paraId="19E42E7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（22）如因资产管理人遗漏或误差等原因造成资产委托人产品净值计算差错，由此导致资产委托人的经济损失由资产管理人承担；</w:t>
      </w:r>
    </w:p>
    <w:p w14:paraId="61D64C0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（23）办理与受托财产管理业务活动有关的信息披露事项；</w:t>
      </w:r>
    </w:p>
    <w:p w14:paraId="752EFA4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（24）建立并保存投资者名单；</w:t>
      </w:r>
    </w:p>
    <w:p w14:paraId="2645A62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（25）组织并参加资产管理计划财产清算小组，参与资产管理财产的保管、清理、估价、变现和分配；</w:t>
      </w:r>
    </w:p>
    <w:p w14:paraId="59031C8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（26）按照法律、行政法规和中国证监会的规定，保存资产管理计划的会计账册、妥善保存有关的合同、协议、交易记录等文件、资料和数据，保存期限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管理计划终止之日起不得少于20年；</w:t>
      </w:r>
    </w:p>
    <w:p w14:paraId="676A270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（27）面临解散、依法被撤销或者被依法宣告破产时，及时报告中国证监会相关派出机构、基金业协会并通知托管人和投资者；</w:t>
      </w:r>
    </w:p>
    <w:p w14:paraId="6E683C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（28）本合同的签署采用纸质合同的方式进行的，应妥善保管并按托管人要求，于合同签署完成后的60日内，及时向托管人移交委托人签署的合同原件；</w:t>
      </w:r>
    </w:p>
    <w:p w14:paraId="2FE1A40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（29）资产管理人应按照《管理办法》的规定计提风险准备金。《管理办法》等法律法规变动的，资</w:t>
      </w:r>
      <w:r>
        <w:rPr>
          <w:rFonts w:ascii="宋体" w:eastAsia="宋体" w:hAnsi="宋体" w:cs="宋体" w:hint="eastAsia"/>
          <w:sz w:val="21"/>
          <w:szCs w:val="21"/>
        </w:rPr>
        <w:lastRenderedPageBreak/>
        <w:t>产管理人可根据最新法律法规的要求调整风险准备金的计提规则；</w:t>
      </w:r>
    </w:p>
    <w:p w14:paraId="7E5EFA0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（30）管理人应对提供给投资者的信息（包括但不限于投资标的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具体情况资产管理计划资产净值和份额净值、业绩报酬数据、资产管理计划年度报告、季度报告、净值报告、临时报告等报告）的真实性、准确性和完整性负责；</w:t>
      </w:r>
    </w:p>
    <w:p w14:paraId="1CABF6E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（31）资产管理人应基于投资者自身穿透式管理的合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性要求，如资产管理计划相关投资指标突破投资者自身适用的监管规定的，资产管理人应根据投资者要求调整相关投资指标；</w:t>
      </w:r>
    </w:p>
    <w:p w14:paraId="0C2BD3A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（32）如需投资者向管理人提供投资者的客户/投资者的姓名/名称、身份证证明文件号码等身份信息、最终投资者资金来源、认购金额的，管理人应依法合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使用信息并采取相应的保密措施确保信息安全，防范投资者信息被不当采集、使用、传输和泄露。因违反本合同约定的投资者信息保密义务造成资产管理计划财产或投资者遭受损失的，应当依法承担赔偿责任；</w:t>
      </w:r>
    </w:p>
    <w:p w14:paraId="0863C8C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（33）办理或者委托经中国证监会认定可办理开放式证券投资基金份额登记业务的其他机构代为办理资产管理计划份额的登记事宜；</w:t>
      </w:r>
    </w:p>
    <w:p w14:paraId="771A074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34）资产管理人应按照《证券法》、《证券投资基金法》、《国务院办公厅关于加强金融消费者权益保护工作的指导意见》、《中国人民银行金融消费者权益保护实施办法》、《最高人民法院全国法院民商事审判工作会议纪要》等相关规定及监管规则建立并完善消费者权益保护工作体制机制，妥善处理消费者权益保护相关纠纷；</w:t>
      </w:r>
    </w:p>
    <w:p w14:paraId="3C9532B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（35）法律法规、中国证监会及基金业协会规定的和本合同约定的其他义务。</w:t>
      </w:r>
    </w:p>
    <w:p w14:paraId="42C751C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（三）资产托管人</w:t>
      </w:r>
    </w:p>
    <w:p w14:paraId="7398003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1、资产托管人的基本情况</w:t>
      </w:r>
    </w:p>
    <w:p w14:paraId="294D83DE"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名称：中国光大银行股份有限公司上海分行</w:t>
      </w:r>
    </w:p>
    <w:p w14:paraId="1DC8AA8D"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住所：上海市世纪大道1118号</w:t>
      </w:r>
    </w:p>
    <w:p w14:paraId="3643A0F7"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法定代表人：马宁</w:t>
      </w:r>
    </w:p>
    <w:p w14:paraId="5B82F0FB"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联系人：施元斐</w:t>
      </w:r>
    </w:p>
    <w:p w14:paraId="4963B170"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通讯地址：上海市世纪大道1118号</w:t>
      </w:r>
    </w:p>
    <w:p w14:paraId="109AF0E1"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邮政编码：200120</w:t>
      </w:r>
    </w:p>
    <w:p w14:paraId="23179D64"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联系电话：021-23050080</w:t>
      </w:r>
    </w:p>
    <w:p w14:paraId="5BFDBAE7" w14:textId="77777777" w:rsidR="00D4368C" w:rsidRDefault="001710E2">
      <w:pPr>
        <w:spacing w:line="360" w:lineRule="auto"/>
        <w:ind w:firstLine="540"/>
      </w:pPr>
      <w:r>
        <w:rPr>
          <w:rFonts w:ascii="宋体" w:eastAsia="宋体" w:hAnsi="宋体" w:cs="宋体" w:hint="eastAsia"/>
          <w:sz w:val="21"/>
          <w:szCs w:val="21"/>
        </w:rPr>
        <w:t>传真：021-23050747</w:t>
      </w:r>
    </w:p>
    <w:p w14:paraId="2FF804E3"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2、资产托管人的权利</w:t>
      </w:r>
    </w:p>
    <w:p w14:paraId="58E0518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（1）按照本合同的约定，依法保管资产管理计划财产；</w:t>
      </w:r>
    </w:p>
    <w:p w14:paraId="30A58D4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（2）按照本合同的约定，及时、足额获得资产管理计划托管费用；</w:t>
      </w:r>
    </w:p>
    <w:p w14:paraId="5A2A9F3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（3）法律法规、中国证监会及基金业协会规定的和本合同约定的其他权利。</w:t>
      </w:r>
    </w:p>
    <w:p w14:paraId="302AA51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3、资产托管人的义务</w:t>
      </w:r>
    </w:p>
    <w:p w14:paraId="6F0C78A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（1）安全保管资产管理计划财产；</w:t>
      </w:r>
    </w:p>
    <w:p w14:paraId="4C7ED22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 除依据法律法规规定和本合同的约定外，不得为资产托管人及任何第三人谋取利益，不得委托第三人托管资产管理计划财产；</w:t>
      </w:r>
    </w:p>
    <w:p w14:paraId="3850F05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（3）对所托管的不同财产分别设置账户，确保资产管理计划财产的完整与独立；</w:t>
      </w:r>
    </w:p>
    <w:p w14:paraId="14203E9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（4）公平对待所托管的不同财产，不得从事任何有损资产管理计划财产及其他当事人利益的活动；</w:t>
      </w:r>
    </w:p>
    <w:p w14:paraId="340D5D8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（5）按规定开设和注销委托财产的托管账户及其他投资所需账户；</w:t>
      </w:r>
    </w:p>
    <w:p w14:paraId="7FC8D80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（6）复核资产管理计划资产净值和份额净值；</w:t>
      </w:r>
    </w:p>
    <w:p w14:paraId="57139CC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（7）办理与资产管理计划托管业务活动有关的信息披露事项；</w:t>
      </w:r>
    </w:p>
    <w:p w14:paraId="2671F58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（8）根据相关法律法规和资产管理合同约定，复核管理人编制的资产管理计划财产的定期报告，并出具书面意见；</w:t>
      </w:r>
    </w:p>
    <w:p w14:paraId="7CE50C3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（9）编制托管年度报告</w:t>
      </w:r>
      <w:r>
        <w:rPr>
          <w:rFonts w:ascii="宋体" w:eastAsia="宋体" w:hAnsi="宋体" w:cs="宋体"/>
          <w:sz w:val="21"/>
          <w:szCs w:val="21"/>
        </w:rPr>
        <w:t>，并向基金业协会备案，抄报中国证监会相关派出机构；</w:t>
      </w:r>
    </w:p>
    <w:p w14:paraId="3793AEC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（10）按照法律法规要求和本合同的约定，根据资产管理人的投资指令，及时办理清算、交割事宜；</w:t>
      </w:r>
    </w:p>
    <w:p w14:paraId="37A5DD5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（11）保守商业秘密，除法律法规、本合同及其他有关规定另有要求外，不得向他人泄露；</w:t>
      </w:r>
    </w:p>
    <w:p w14:paraId="712A326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（12）根据法律、行政法规和中国证监会的规定保存资产管理计划的会计账册，妥善保存有关的合同、协议、交易记录等文件资料，保存期限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管理计划终止之日起不得少于20年；</w:t>
      </w:r>
    </w:p>
    <w:p w14:paraId="7ADC1EF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（13）监督管理人的投资运作，发现管理人的投资或清算指令违反法律、行政法规、中国证监会的规定或资产管理合同</w:t>
      </w:r>
      <w:r>
        <w:rPr>
          <w:rFonts w:ascii="宋体" w:eastAsia="宋体" w:hAnsi="宋体" w:cs="宋体"/>
          <w:sz w:val="21"/>
          <w:szCs w:val="21"/>
        </w:rPr>
        <w:t>附件《交易监控合规表》约定的，应当拒绝执行，立即通知管理人并有权及时报告中国证监会相关派出机构和证券投资基金业协会；</w:t>
      </w:r>
    </w:p>
    <w:p w14:paraId="699CAE4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（14）设立专门的资产托管部门，具有符合要求的营业场所，配备足够的、合格的熟悉资产托管业务的专职人员，负责财产托管事宜；</w:t>
      </w:r>
    </w:p>
    <w:p w14:paraId="3AD72E8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sz w:val="21"/>
          <w:szCs w:val="21"/>
        </w:rPr>
        <w:t>5</w:t>
      </w:r>
      <w:r>
        <w:rPr>
          <w:rFonts w:ascii="宋体" w:eastAsia="宋体" w:hAnsi="宋体" w:cs="宋体" w:hint="eastAsia"/>
          <w:sz w:val="21"/>
          <w:szCs w:val="21"/>
        </w:rPr>
        <w:t>）法律法规、中国证监会及基金业协会规定的和本合同约定的其他义务。</w:t>
      </w:r>
    </w:p>
    <w:p w14:paraId="6C204B6D" w14:textId="77777777" w:rsidR="00D4368C" w:rsidRDefault="00D4368C">
      <w:pPr>
        <w:spacing w:line="360" w:lineRule="auto"/>
        <w:ind w:firstLine="480"/>
        <w:rPr>
          <w:rFonts w:ascii="宋体" w:eastAsia="宋体" w:hAnsi="宋体" w:cs="宋体"/>
          <w:sz w:val="21"/>
          <w:szCs w:val="21"/>
        </w:rPr>
      </w:pPr>
    </w:p>
    <w:p w14:paraId="2DFA8DC2" w14:textId="77777777" w:rsidR="00D4368C" w:rsidRDefault="001710E2">
      <w:pPr>
        <w:pStyle w:val="Heading1"/>
        <w:spacing w:before="0" w:after="0" w:line="360" w:lineRule="auto"/>
        <w:jc w:val="center"/>
        <w:rPr>
          <w:rFonts w:ascii="宋体" w:eastAsia="宋体" w:hAnsi="宋体" w:cs="宋体"/>
          <w:sz w:val="21"/>
          <w:szCs w:val="21"/>
        </w:rPr>
      </w:pPr>
      <w:bookmarkStart w:id="11" w:name="_Toc401668931"/>
      <w:bookmarkStart w:id="12" w:name="_Toc70622184"/>
      <w:bookmarkStart w:id="13" w:name="_Toc194741907"/>
      <w:r>
        <w:rPr>
          <w:rFonts w:ascii="宋体" w:eastAsia="宋体" w:hAnsi="宋体" w:cs="宋体" w:hint="eastAsia"/>
          <w:sz w:val="21"/>
          <w:szCs w:val="21"/>
        </w:rPr>
        <w:t>五、资产管理计划的基本情况</w:t>
      </w:r>
      <w:bookmarkEnd w:id="11"/>
      <w:bookmarkEnd w:id="12"/>
    </w:p>
    <w:p w14:paraId="001D1A6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（一）资产管理计划的名称</w:t>
      </w:r>
    </w:p>
    <w:p w14:paraId="7789B8F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color w:val="000000"/>
          <w:sz w:val="21"/>
          <w:szCs w:val="21"/>
        </w:rPr>
        <w:t>光大期货-光大理财阳光橙精选2号</w:t>
      </w:r>
      <w:r>
        <w:rPr>
          <w:rFonts w:ascii="宋体" w:eastAsia="宋体" w:hAnsi="宋体" w:cs="宋体" w:hint="eastAsia"/>
          <w:sz w:val="21"/>
          <w:szCs w:val="21"/>
        </w:rPr>
        <w:t>】集合资产管理计划。</w:t>
      </w:r>
    </w:p>
    <w:p w14:paraId="798A426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（二）资产管理计划的类别</w:t>
      </w:r>
    </w:p>
    <w:p w14:paraId="48238F0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本计划为【混合类】集合资产管理计划。</w:t>
      </w:r>
    </w:p>
    <w:p w14:paraId="1733501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（三）资产管理计划的运作方式</w:t>
      </w:r>
    </w:p>
    <w:p w14:paraId="2693896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color w:val="000000"/>
          <w:sz w:val="21"/>
          <w:szCs w:val="21"/>
        </w:rPr>
        <w:t>开放</w:t>
      </w:r>
      <w:r>
        <w:rPr>
          <w:rFonts w:ascii="宋体" w:eastAsia="宋体" w:hAnsi="宋体" w:cs="宋体" w:hint="eastAsia"/>
          <w:sz w:val="21"/>
          <w:szCs w:val="21"/>
        </w:rPr>
        <w:t>】式。开放日为每周一、二、四（如</w:t>
      </w:r>
      <w:proofErr w:type="gramStart"/>
      <w:r>
        <w:rPr>
          <w:rFonts w:ascii="宋体" w:eastAsia="宋体" w:hAnsi="宋体" w:cs="宋体" w:hint="eastAsia"/>
          <w:sz w:val="21"/>
          <w:szCs w:val="21"/>
        </w:rPr>
        <w:t>遇非交易</w:t>
      </w:r>
      <w:proofErr w:type="gramEnd"/>
      <w:r>
        <w:rPr>
          <w:rFonts w:ascii="宋体" w:eastAsia="宋体" w:hAnsi="宋体" w:cs="宋体" w:hint="eastAsia"/>
          <w:sz w:val="21"/>
          <w:szCs w:val="21"/>
        </w:rPr>
        <w:t>日，则不开放），在开放日，投资者可以参与或退出本计划。</w:t>
      </w:r>
    </w:p>
    <w:p w14:paraId="050BC7A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（四）资产管理计划的投资目标、主要投资方向、投资比例、产品风险等级</w:t>
      </w:r>
    </w:p>
    <w:p w14:paraId="2FF64BB3" w14:textId="77777777" w:rsidR="00D4368C" w:rsidRDefault="001710E2">
      <w:pPr>
        <w:pStyle w:val="13"/>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本计划的投资目标：</w:t>
      </w:r>
    </w:p>
    <w:p w14:paraId="16C2CE33"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在有效控制风险的前提下，追求委托财产的增值。</w:t>
      </w:r>
    </w:p>
    <w:p w14:paraId="4A6D2888" w14:textId="77777777" w:rsidR="00D4368C" w:rsidRDefault="001710E2">
      <w:pPr>
        <w:pStyle w:val="13"/>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本计划的主要投资方向：</w:t>
      </w:r>
    </w:p>
    <w:p w14:paraId="58B8D77A"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国内依法发行上市的股票（包括主板、中小板、创业板、</w:t>
      </w:r>
      <w:proofErr w:type="gramStart"/>
      <w:r>
        <w:rPr>
          <w:rFonts w:ascii="宋体" w:eastAsia="宋体" w:hAnsi="宋体" w:cs="宋体" w:hint="eastAsia"/>
          <w:sz w:val="21"/>
          <w:szCs w:val="21"/>
        </w:rPr>
        <w:t>科创板</w:t>
      </w:r>
      <w:proofErr w:type="gramEnd"/>
      <w:r>
        <w:rPr>
          <w:rFonts w:ascii="宋体" w:eastAsia="宋体" w:hAnsi="宋体" w:cs="宋体" w:hint="eastAsia"/>
          <w:sz w:val="21"/>
          <w:szCs w:val="21"/>
        </w:rPr>
        <w:t>、北京证券交易所发行上市的股票及其他经中国证监会核准上市的股票，含新股申购、股票定增、非公开发行股票）；港股通标的范围内的股票；银行间及交易所债券、中央银行票据、资产支持证券、资产支持票据；公募证券投资基金（含封闭式及开放式证券投资基金、LOF、ETF基金）；银行存款（含现金、定期存款、活期存款、协议存款）、债券逆回购、债券正回购、货币市场基金；股指期货、商品期货、国债期货、交易所上市的期权以及法律法规、中国证监会允许期货公司资产管理计划投资的其他金融工具。</w:t>
      </w:r>
    </w:p>
    <w:p w14:paraId="462F36A4" w14:textId="77777777" w:rsidR="00D4368C" w:rsidRDefault="001710E2">
      <w:pPr>
        <w:pStyle w:val="13"/>
        <w:spacing w:line="360" w:lineRule="auto"/>
        <w:ind w:firstLine="480"/>
        <w:rPr>
          <w:rFonts w:ascii="宋体" w:eastAsia="宋体" w:hAnsi="宋体" w:cs="宋体"/>
          <w:b/>
          <w:bCs/>
          <w:sz w:val="21"/>
          <w:szCs w:val="21"/>
        </w:rPr>
      </w:pPr>
      <w:r>
        <w:rPr>
          <w:rFonts w:ascii="宋体" w:eastAsia="宋体" w:hAnsi="宋体" w:cs="宋体" w:hint="eastAsia"/>
          <w:b/>
          <w:bCs/>
          <w:sz w:val="21"/>
          <w:szCs w:val="21"/>
        </w:rPr>
        <w:t>特别予以说明，本计划可进行债券回购（债券正回购、债券逆回购）、融资融券、转融通证券出借交易。</w:t>
      </w:r>
    </w:p>
    <w:p w14:paraId="1C500AD2"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b/>
          <w:bCs/>
          <w:sz w:val="21"/>
          <w:szCs w:val="21"/>
        </w:rPr>
        <w:t>资产管理人在进行期权、港股通标的范围内的股票投资、</w:t>
      </w:r>
      <w:r>
        <w:rPr>
          <w:rFonts w:ascii="宋体" w:eastAsia="宋体" w:hAnsi="宋体" w:cs="宋体" w:hint="eastAsia"/>
          <w:b/>
          <w:color w:val="000000"/>
          <w:sz w:val="21"/>
          <w:szCs w:val="21"/>
        </w:rPr>
        <w:t>转融通证券出借交易</w:t>
      </w:r>
      <w:r>
        <w:rPr>
          <w:rFonts w:ascii="宋体" w:eastAsia="宋体" w:hAnsi="宋体" w:cs="宋体" w:hint="eastAsia"/>
          <w:b/>
          <w:bCs/>
          <w:sz w:val="21"/>
          <w:szCs w:val="21"/>
        </w:rPr>
        <w:t>前，必须与资产托管人就交收结算、核算估值等业务规则和流程进行沟通确定，在系统测试通过后才可投资，否则，由此产生的风险由资产管理人承担。</w:t>
      </w:r>
    </w:p>
    <w:p w14:paraId="45BBDA94" w14:textId="77777777" w:rsidR="00D4368C" w:rsidRDefault="001710E2">
      <w:pPr>
        <w:pStyle w:val="13"/>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本计划的投资比例</w:t>
      </w:r>
    </w:p>
    <w:p w14:paraId="52BD33C2"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（1）投资于存款、债券等债权类资产的比例低于资产管理计划总资产的80%；</w:t>
      </w:r>
    </w:p>
    <w:p w14:paraId="3F778B11"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（2）投资于股票等权益类资产的比例低于资产管理计划总资产的80%；</w:t>
      </w:r>
    </w:p>
    <w:p w14:paraId="681EF319"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（3）投资于商品及金融衍生品的持仓合约价值比例低于资产管理计划总资产80%，或衍生品账户权益不超过资产管理计划总资产的20%；</w:t>
      </w:r>
    </w:p>
    <w:p w14:paraId="066103D1"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（4）投资于同一资产的资金，不得超过计划资产净值的25%，管理人管理的全部集合资产管理计划投资于同一资产的资金，不得超过该资产的25%，银行活期存款、国债、中央银行票据、政策性金融债、</w:t>
      </w:r>
      <w:r>
        <w:rPr>
          <w:rFonts w:ascii="宋体" w:eastAsia="宋体" w:hAnsi="宋体" w:cs="宋体" w:hint="eastAsia"/>
          <w:sz w:val="21"/>
          <w:szCs w:val="21"/>
        </w:rPr>
        <w:lastRenderedPageBreak/>
        <w:t>地方政府债券等中国证监会认可的投资品种除外。</w:t>
      </w:r>
    </w:p>
    <w:p w14:paraId="52DC1475"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本计划符合《运作规定》组合投资的要求。</w:t>
      </w:r>
    </w:p>
    <w:p w14:paraId="6009BACC"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本计划投资于其他资产管理产品的，计算本计划的总资产时按照穿透原则合并计算所投资资产管理产品的总资产。</w:t>
      </w:r>
    </w:p>
    <w:p w14:paraId="70500C55"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本计划的建仓期为自本计划成立之日起6个月。</w:t>
      </w:r>
    </w:p>
    <w:p w14:paraId="49F60C1E"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本计划建仓期的投资活动，应当符合</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管理合同约定的投向和资产管理计划的风险收益特征。以现金管理为目的，投资于银行活期存款、货币市场基金的除外。</w:t>
      </w:r>
    </w:p>
    <w:p w14:paraId="7F3BC2D2"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建仓期结束后，资产管理计划的资产组合应当符合法律、行政法规、中国证监会规定和合同约定的投向和比例。</w:t>
      </w:r>
    </w:p>
    <w:p w14:paraId="32ADF00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本计划减</w:t>
      </w:r>
      <w:proofErr w:type="gramStart"/>
      <w:r>
        <w:rPr>
          <w:rFonts w:ascii="宋体" w:eastAsia="宋体" w:hAnsi="宋体" w:cs="宋体" w:hint="eastAsia"/>
          <w:sz w:val="21"/>
          <w:szCs w:val="21"/>
        </w:rPr>
        <w:t>持期自计划</w:t>
      </w:r>
      <w:proofErr w:type="gramEnd"/>
      <w:r>
        <w:rPr>
          <w:rFonts w:ascii="宋体" w:eastAsia="宋体" w:hAnsi="宋体" w:cs="宋体" w:hint="eastAsia"/>
          <w:sz w:val="21"/>
          <w:szCs w:val="21"/>
        </w:rPr>
        <w:t>终止之日前6个月内，</w:t>
      </w:r>
      <w:proofErr w:type="gramStart"/>
      <w:r>
        <w:rPr>
          <w:rFonts w:ascii="宋体" w:eastAsia="宋体" w:hAnsi="宋体" w:cs="宋体" w:hint="eastAsia"/>
          <w:sz w:val="21"/>
          <w:szCs w:val="21"/>
        </w:rPr>
        <w:t>减持期内</w:t>
      </w:r>
      <w:proofErr w:type="gramEnd"/>
      <w:r>
        <w:rPr>
          <w:rFonts w:ascii="宋体" w:eastAsia="宋体" w:hAnsi="宋体" w:cs="宋体" w:hint="eastAsia"/>
          <w:sz w:val="21"/>
          <w:szCs w:val="21"/>
        </w:rPr>
        <w:t>的投资比例可以不受上述限制。</w:t>
      </w:r>
    </w:p>
    <w:p w14:paraId="55DDC1D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除上述情况外，本计划改变投向和比例的，应当事先取得全体资产委托人及资产托管人同意，并按规定履行合同变更程序。</w:t>
      </w:r>
    </w:p>
    <w:p w14:paraId="3763112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法律法规或监管部门取消上述限制，如适用于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管理计划，资产管理人在取得全体资产委托人及资产托管人同意后，本计划投资不再受相关限制。法律法规或监管部门另有规定的，从其规定。</w:t>
      </w:r>
    </w:p>
    <w:p w14:paraId="6E95E526" w14:textId="77777777" w:rsidR="00D4368C" w:rsidRDefault="001710E2">
      <w:pPr>
        <w:pStyle w:val="13"/>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本计划风险等级</w:t>
      </w:r>
    </w:p>
    <w:p w14:paraId="0784D6CC"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b/>
          <w:bCs/>
          <w:sz w:val="21"/>
          <w:szCs w:val="21"/>
        </w:rPr>
        <w:t>本计划风险等级为【R4】，适合专业投资者和风险识别、评估、承受能力为【C4、C5】的普通投资者</w:t>
      </w:r>
      <w:r>
        <w:rPr>
          <w:rFonts w:ascii="宋体" w:eastAsia="宋体" w:hAnsi="宋体" w:cs="宋体" w:hint="eastAsia"/>
          <w:sz w:val="21"/>
          <w:szCs w:val="21"/>
        </w:rPr>
        <w:t>。</w:t>
      </w:r>
    </w:p>
    <w:p w14:paraId="0E310A7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（五）资产管理计划的存续期限</w:t>
      </w:r>
    </w:p>
    <w:p w14:paraId="0A6BD745" w14:textId="77777777" w:rsidR="00D4368C" w:rsidRDefault="001710E2">
      <w:pPr>
        <w:spacing w:line="360" w:lineRule="auto"/>
        <w:ind w:firstLine="720"/>
        <w:rPr>
          <w:rFonts w:ascii="宋体" w:eastAsia="宋体" w:hAnsi="宋体" w:cs="宋体"/>
          <w:sz w:val="21"/>
          <w:szCs w:val="21"/>
        </w:rPr>
      </w:pPr>
      <w:r>
        <w:rPr>
          <w:rFonts w:ascii="宋体" w:eastAsia="宋体" w:hAnsi="宋体" w:cs="宋体" w:hint="eastAsia"/>
          <w:sz w:val="21"/>
          <w:szCs w:val="21"/>
        </w:rPr>
        <w:t>本计划存续期限为自本计划成立之日起至5年后年度对日止。如管理期限届满日为</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日，则管理期限届满日顺延至下一个交易日。经全体资产委托人、资产管理人和资产托管人协商一致后，可以对计划进行延期或提前终止。</w:t>
      </w:r>
    </w:p>
    <w:p w14:paraId="662E299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（六）资产管理计划的最低初始募集规模</w:t>
      </w:r>
    </w:p>
    <w:p w14:paraId="13FE5030"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管理计划成立时资产管理计划财产的初始资产不得低于1000万元人民币，但法律法规、监管机构及自律组织另有规定的除外。</w:t>
      </w:r>
    </w:p>
    <w:p w14:paraId="1E56FC1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（七）资产管理计划份额的初始募集面值</w:t>
      </w:r>
    </w:p>
    <w:p w14:paraId="0A127A4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人民币1.00元。</w:t>
      </w:r>
    </w:p>
    <w:p w14:paraId="01E9501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（八）资产管理计划的分级安排</w:t>
      </w:r>
    </w:p>
    <w:p w14:paraId="6EB2E7A2" w14:textId="77777777" w:rsidR="00D4368C" w:rsidRDefault="001710E2">
      <w:pPr>
        <w:spacing w:line="360" w:lineRule="auto"/>
        <w:ind w:firstLine="720"/>
        <w:rPr>
          <w:rFonts w:ascii="宋体" w:eastAsia="宋体" w:hAnsi="宋体" w:cs="宋体"/>
          <w:sz w:val="21"/>
          <w:szCs w:val="21"/>
        </w:rPr>
      </w:pPr>
      <w:r>
        <w:rPr>
          <w:rFonts w:ascii="宋体" w:eastAsia="宋体" w:hAnsi="宋体" w:cs="宋体" w:hint="eastAsia"/>
          <w:sz w:val="21"/>
          <w:szCs w:val="21"/>
        </w:rPr>
        <w:t>本计划不进行分级安排。</w:t>
      </w:r>
    </w:p>
    <w:p w14:paraId="606D2B2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（九）资产管理计划的份额登记、估值与核算、信息技术系统等服务机构</w:t>
      </w:r>
    </w:p>
    <w:p w14:paraId="571DB7A8" w14:textId="77777777" w:rsidR="00D4368C" w:rsidRDefault="001710E2">
      <w:pPr>
        <w:spacing w:line="360" w:lineRule="auto"/>
        <w:ind w:left="60" w:firstLine="420"/>
        <w:rPr>
          <w:rFonts w:ascii="宋体" w:eastAsia="宋体" w:hAnsi="宋体" w:cs="宋体"/>
          <w:sz w:val="21"/>
          <w:szCs w:val="21"/>
        </w:rPr>
      </w:pPr>
      <w:r>
        <w:rPr>
          <w:rFonts w:ascii="宋体" w:eastAsia="宋体" w:hAnsi="宋体" w:cs="宋体" w:hint="eastAsia"/>
          <w:sz w:val="21"/>
          <w:szCs w:val="21"/>
        </w:rPr>
        <w:t>本计划的份额登记、估值与核算机构皆为【光大证券股份有限公司】，在证券投资基金业协会登记的业务登记编码为【A00037】。</w:t>
      </w:r>
    </w:p>
    <w:p w14:paraId="2A1B9A39" w14:textId="77777777" w:rsidR="00D4368C" w:rsidRDefault="001710E2">
      <w:pPr>
        <w:spacing w:line="360" w:lineRule="auto"/>
        <w:ind w:firstLine="540"/>
        <w:rPr>
          <w:rFonts w:ascii="宋体" w:eastAsia="宋体" w:hAnsi="宋体" w:cs="宋体"/>
          <w:color w:val="000000"/>
          <w:sz w:val="21"/>
          <w:szCs w:val="21"/>
        </w:rPr>
      </w:pPr>
      <w:r>
        <w:rPr>
          <w:rFonts w:ascii="宋体" w:eastAsia="宋体" w:hAnsi="宋体" w:cs="宋体" w:hint="eastAsia"/>
          <w:color w:val="000000"/>
          <w:sz w:val="21"/>
          <w:szCs w:val="21"/>
        </w:rPr>
        <w:t>（十）投资顾问相关事项说明</w:t>
      </w:r>
    </w:p>
    <w:p w14:paraId="7FF84FA6" w14:textId="77777777" w:rsidR="00D4368C" w:rsidRDefault="001710E2">
      <w:pPr>
        <w:spacing w:line="360" w:lineRule="auto"/>
        <w:ind w:firstLine="540"/>
        <w:rPr>
          <w:rFonts w:ascii="宋体" w:eastAsia="宋体" w:hAnsi="宋体" w:cs="宋体"/>
          <w:color w:val="000000"/>
          <w:sz w:val="21"/>
          <w:szCs w:val="21"/>
        </w:rPr>
      </w:pPr>
      <w:r>
        <w:rPr>
          <w:rFonts w:ascii="宋体" w:eastAsia="宋体" w:hAnsi="宋体" w:cs="宋体" w:hint="eastAsia"/>
          <w:color w:val="000000"/>
          <w:sz w:val="21"/>
          <w:szCs w:val="21"/>
        </w:rPr>
        <w:t>本计划成立之时，</w:t>
      </w:r>
      <w:proofErr w:type="gramStart"/>
      <w:r>
        <w:rPr>
          <w:rFonts w:ascii="宋体" w:eastAsia="宋体" w:hAnsi="宋体" w:cs="宋体" w:hint="eastAsia"/>
          <w:color w:val="000000"/>
          <w:sz w:val="21"/>
          <w:szCs w:val="21"/>
        </w:rPr>
        <w:t>不</w:t>
      </w:r>
      <w:proofErr w:type="gramEnd"/>
      <w:r>
        <w:rPr>
          <w:rFonts w:ascii="宋体" w:eastAsia="宋体" w:hAnsi="宋体" w:cs="宋体" w:hint="eastAsia"/>
          <w:color w:val="000000"/>
          <w:sz w:val="21"/>
          <w:szCs w:val="21"/>
        </w:rPr>
        <w:t>聘用投资顾问。</w:t>
      </w:r>
    </w:p>
    <w:p w14:paraId="7414966D"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（十一）其他</w:t>
      </w:r>
    </w:p>
    <w:p w14:paraId="54DBCF01"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除本合同另有约定外,资产管理计划应当设定为均等份额，每份计划份额具有同等的合法权益。</w:t>
      </w:r>
    </w:p>
    <w:p w14:paraId="0FA13980" w14:textId="77777777" w:rsidR="00D4368C" w:rsidRDefault="00D4368C">
      <w:pPr>
        <w:spacing w:line="360" w:lineRule="auto"/>
        <w:ind w:firstLine="540"/>
        <w:rPr>
          <w:rFonts w:ascii="宋体" w:eastAsia="宋体" w:hAnsi="宋体" w:cs="宋体"/>
          <w:sz w:val="21"/>
          <w:szCs w:val="21"/>
        </w:rPr>
      </w:pPr>
    </w:p>
    <w:p w14:paraId="372798B3" w14:textId="77777777" w:rsidR="00D4368C" w:rsidRDefault="001710E2">
      <w:pPr>
        <w:pStyle w:val="Heading1"/>
        <w:spacing w:before="0" w:after="0" w:line="360" w:lineRule="auto"/>
        <w:jc w:val="center"/>
        <w:rPr>
          <w:rFonts w:ascii="宋体" w:eastAsia="宋体" w:hAnsi="宋体" w:cs="宋体"/>
          <w:sz w:val="21"/>
          <w:szCs w:val="21"/>
        </w:rPr>
      </w:pPr>
      <w:bookmarkStart w:id="14" w:name="_Toc401668932"/>
      <w:bookmarkStart w:id="15" w:name="_Toc70622185"/>
      <w:r>
        <w:rPr>
          <w:rFonts w:ascii="宋体" w:eastAsia="宋体" w:hAnsi="宋体" w:cs="宋体" w:hint="eastAsia"/>
          <w:sz w:val="21"/>
          <w:szCs w:val="21"/>
        </w:rPr>
        <w:t>六、资产管理计划的</w:t>
      </w:r>
      <w:bookmarkEnd w:id="14"/>
      <w:r>
        <w:rPr>
          <w:rFonts w:ascii="宋体" w:eastAsia="宋体" w:hAnsi="宋体" w:cs="宋体" w:hint="eastAsia"/>
          <w:sz w:val="21"/>
          <w:szCs w:val="21"/>
        </w:rPr>
        <w:t>募集</w:t>
      </w:r>
      <w:bookmarkEnd w:id="15"/>
    </w:p>
    <w:p w14:paraId="0519E386"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（一）资产管理计划的募集期限、募集方式、募集对象</w:t>
      </w:r>
    </w:p>
    <w:p w14:paraId="4D3A2CA6"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1、募集期限</w:t>
      </w:r>
    </w:p>
    <w:p w14:paraId="4BCFB325" w14:textId="77777777" w:rsidR="00D4368C" w:rsidRDefault="001710E2">
      <w:pPr>
        <w:spacing w:line="360" w:lineRule="auto"/>
        <w:ind w:firstLine="42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管理计划的初始募集期</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管理计划份额发售之日起最长不超过60日。具体时间由资产管理人根据相关法律法规以及本合同的规定确定，并在计划说明书中披露。在初始募集期间，资产管理人可与代理销售机构协商决定提前终止初始募集。</w:t>
      </w:r>
    </w:p>
    <w:p w14:paraId="7A18804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2、募集方式</w:t>
      </w:r>
    </w:p>
    <w:p w14:paraId="18FE554D"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管理计划通过资产管理人的直销机构及代理销售机构上海基</w:t>
      </w:r>
      <w:proofErr w:type="gramStart"/>
      <w:r>
        <w:rPr>
          <w:rFonts w:ascii="宋体" w:eastAsia="宋体" w:hAnsi="宋体" w:cs="宋体" w:hint="eastAsia"/>
          <w:sz w:val="21"/>
          <w:szCs w:val="21"/>
        </w:rPr>
        <w:t>煜</w:t>
      </w:r>
      <w:proofErr w:type="gramEnd"/>
      <w:r>
        <w:rPr>
          <w:rFonts w:ascii="宋体" w:eastAsia="宋体" w:hAnsi="宋体" w:cs="宋体" w:hint="eastAsia"/>
          <w:sz w:val="21"/>
          <w:szCs w:val="21"/>
        </w:rPr>
        <w:t>基金销售有限公司进行募集。具体销售机构名单、联系方式以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管理计划的计划说明书为准。</w:t>
      </w:r>
    </w:p>
    <w:p w14:paraId="701B2A49"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3、募集对象</w:t>
      </w:r>
    </w:p>
    <w:p w14:paraId="5D321F0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具备相应风险识别能力和风险承受能力，投资于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管理计划不低于本计划要求的最低认购金额且符合下列条件的自然人、法人或者其他组织：</w:t>
      </w:r>
    </w:p>
    <w:p w14:paraId="66DCB6E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（1）具有2 年以上投资经历，且满足下列三项条件之一的自然人：家庭金融净资产不低于300 万元，家庭金融资产不低于500 万元，或者近3 年本人年均收入不低于40 万元；</w:t>
      </w:r>
    </w:p>
    <w:p w14:paraId="3C612BE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（2）最近1 年末净资产不低于1000 万元的法人单位；</w:t>
      </w:r>
    </w:p>
    <w:p w14:paraId="76DD5BE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依法设立并接受国务院金融监督管理机构监管的机构，包括证券公司及其子公司、基金管理公司及其子公司、期货公司及其子公司、在基金业协会登记的私募基金管理人、商业银行、金融资产投资公司、信托公司、保险公司、保险资产管理机构、财务公司及中国证监会认定的其他机构；</w:t>
      </w:r>
    </w:p>
    <w:p w14:paraId="251AE4B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（4）接受国务院金融监督管理机构监管的机构发行的资产管理产品；</w:t>
      </w:r>
    </w:p>
    <w:p w14:paraId="13C409E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（5）基本养老金、社会保障基金、企业年金等养老基金，慈善基金等社会公益基金，合格境外机构</w:t>
      </w:r>
      <w:r>
        <w:rPr>
          <w:rFonts w:ascii="宋体" w:eastAsia="宋体" w:hAnsi="宋体" w:cs="宋体" w:hint="eastAsia"/>
          <w:sz w:val="21"/>
          <w:szCs w:val="21"/>
        </w:rPr>
        <w:lastRenderedPageBreak/>
        <w:t>投资者（QFII）、人民币合格境外机构投资者（RQFII）；</w:t>
      </w:r>
    </w:p>
    <w:p w14:paraId="62BBE3B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（6）中国证监会视为合格投资者的其他情形。</w:t>
      </w:r>
    </w:p>
    <w:p w14:paraId="5D1AC6C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法律法规、监管机构、自律组织对于合格投资者认定将来另有规定的，从其规定。</w:t>
      </w:r>
    </w:p>
    <w:p w14:paraId="6749ADF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（二）资产管理计划的最低认购金额和支付方式</w:t>
      </w:r>
    </w:p>
    <w:p w14:paraId="10A2DFF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认购资金应以现金形式交付。</w:t>
      </w:r>
    </w:p>
    <w:p w14:paraId="5377431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投资者在初始募集期间的认购金额不得低于【40万元】人民币（不含认购费用），并可多次认购。</w:t>
      </w:r>
    </w:p>
    <w:p w14:paraId="215608A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（三）资产管理计划份额的认购费用</w:t>
      </w:r>
    </w:p>
    <w:p w14:paraId="7C9697BA"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管理计划无认购费用。</w:t>
      </w:r>
    </w:p>
    <w:p w14:paraId="3847A91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认购份额及认购费用的计算方法如下：</w:t>
      </w:r>
    </w:p>
    <w:p w14:paraId="302EAE3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净认购金额=认购金额/（1+认购费率）</w:t>
      </w:r>
    </w:p>
    <w:p w14:paraId="09DDA20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认购费用=认购金额-净认购金额</w:t>
      </w:r>
    </w:p>
    <w:p w14:paraId="169D0B8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认购份额=（净认购金额+认购期利息）/1.00</w:t>
      </w:r>
    </w:p>
    <w:p w14:paraId="21CF397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认购份额及认购费用的计算结果保留到小数点后两位，小数点后两位以后的部分四舍五入，由此产生的误差计入资产管理计划财产。</w:t>
      </w:r>
    </w:p>
    <w:p w14:paraId="25DC6FC3"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（四）初始募集期的认购程序</w:t>
      </w:r>
    </w:p>
    <w:p w14:paraId="14B8440A"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1、资产管理人或代理销售机构需完成投资者尽职调查工作。</w:t>
      </w:r>
    </w:p>
    <w:p w14:paraId="7C16EFF2"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2、认购程序。资产委托人办理认购业务时应提交的文件和办理手续、办理时间、处理规则等在遵守本合同规定的前提下，以销售机构的具体规定为准。</w:t>
      </w:r>
    </w:p>
    <w:p w14:paraId="17001F96"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3、认购申请的确认。</w:t>
      </w:r>
    </w:p>
    <w:p w14:paraId="7AC87CF4"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销售机构受理认购申请并不表示对该申请是否成功的确认，而仅代表销售机构确实收到了认购申请。申请是否有效应以注册登记机构的确认并且资产管理合同生效为准。投资者应在本合同生效后通过销售机构查询最终确认情况和有效认购份额。</w:t>
      </w:r>
    </w:p>
    <w:p w14:paraId="786E9712"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认购申请一经受理，不得撤销。</w:t>
      </w:r>
    </w:p>
    <w:p w14:paraId="45A68640"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（五）初始认购资金的管理及利息处理方式</w:t>
      </w:r>
    </w:p>
    <w:p w14:paraId="207910B4"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应当将资产管理计划初始募集期间客户的认购资金存入资产管理计划募集结算专用账户，在资产管理计划成立前，任何机构和个人不得动用。投资者的认购参与资金（不含认购费用）在初始募集期间发生的利息将折算为资产管理计划份额，</w:t>
      </w:r>
      <w:proofErr w:type="gramStart"/>
      <w:r>
        <w:rPr>
          <w:rFonts w:ascii="宋体" w:eastAsia="宋体" w:hAnsi="宋体" w:cs="宋体" w:hint="eastAsia"/>
          <w:sz w:val="21"/>
          <w:szCs w:val="21"/>
        </w:rPr>
        <w:t>归资产</w:t>
      </w:r>
      <w:proofErr w:type="gramEnd"/>
      <w:r>
        <w:rPr>
          <w:rFonts w:ascii="宋体" w:eastAsia="宋体" w:hAnsi="宋体" w:cs="宋体" w:hint="eastAsia"/>
          <w:sz w:val="21"/>
          <w:szCs w:val="21"/>
        </w:rPr>
        <w:t>委托人所有。利息转份额以注册登记机构的记录为准。</w:t>
      </w:r>
    </w:p>
    <w:p w14:paraId="5F829FD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（六）</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管理计划销售机构（如有）账户等信息，具体以计划说明书登载为准。</w:t>
      </w:r>
    </w:p>
    <w:p w14:paraId="313B85ED" w14:textId="77777777" w:rsidR="00D4368C" w:rsidRDefault="00D4368C">
      <w:pPr>
        <w:spacing w:line="360" w:lineRule="auto"/>
        <w:ind w:firstLine="480"/>
        <w:rPr>
          <w:rFonts w:ascii="宋体" w:eastAsia="宋体" w:hAnsi="宋体" w:cs="宋体"/>
          <w:sz w:val="21"/>
          <w:szCs w:val="21"/>
        </w:rPr>
      </w:pPr>
    </w:p>
    <w:p w14:paraId="538DA81E" w14:textId="77777777" w:rsidR="00D4368C" w:rsidRDefault="001710E2">
      <w:pPr>
        <w:pStyle w:val="Heading1"/>
        <w:spacing w:before="0" w:after="0" w:line="360" w:lineRule="auto"/>
        <w:jc w:val="center"/>
        <w:rPr>
          <w:rFonts w:ascii="宋体" w:eastAsia="宋体" w:hAnsi="宋体" w:cs="宋体"/>
          <w:sz w:val="21"/>
          <w:szCs w:val="21"/>
        </w:rPr>
      </w:pPr>
      <w:bookmarkStart w:id="16" w:name="_Toc401668933"/>
      <w:bookmarkStart w:id="17" w:name="_Toc70622186"/>
      <w:r>
        <w:rPr>
          <w:rFonts w:ascii="宋体" w:eastAsia="宋体" w:hAnsi="宋体" w:cs="宋体" w:hint="eastAsia"/>
          <w:sz w:val="21"/>
          <w:szCs w:val="21"/>
        </w:rPr>
        <w:t>七、</w:t>
      </w:r>
      <w:bookmarkEnd w:id="16"/>
      <w:r>
        <w:rPr>
          <w:rFonts w:ascii="宋体" w:eastAsia="宋体" w:hAnsi="宋体" w:cs="宋体" w:hint="eastAsia"/>
          <w:sz w:val="21"/>
          <w:szCs w:val="21"/>
        </w:rPr>
        <w:t>资产管理计划的成立与备案</w:t>
      </w:r>
      <w:bookmarkEnd w:id="17"/>
    </w:p>
    <w:p w14:paraId="7C776AA0"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（一）资产管理计划成立的条件</w:t>
      </w:r>
    </w:p>
    <w:p w14:paraId="0C427344"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1、募集过程符合法律、行政法规和中国证监会的规定；</w:t>
      </w:r>
    </w:p>
    <w:p w14:paraId="6C4CA3FC"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2、初始募集规模不低于1000万元；</w:t>
      </w:r>
    </w:p>
    <w:p w14:paraId="533BE1CC"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3、投资者人数不少于2人，且不超过200人；</w:t>
      </w:r>
    </w:p>
    <w:p w14:paraId="3B5234A3"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4、符合中国证监会规定以及资产管理合同约定的其他条件。</w:t>
      </w:r>
    </w:p>
    <w:p w14:paraId="5BBA2FC6"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(二)资产管理计划的成立与备案</w:t>
      </w:r>
    </w:p>
    <w:p w14:paraId="10C7A19D"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初始募集期限届满，符合资产管理计划成立条件的，资产管理人应当自募集金额缴足之日起十个工作日内聘请具有证券相关业务资格的会计师事务所进行验资，并出具验资报告。</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管理计划在取得验资报告后，由资产管理人公告</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管理计划成立，并将成立公告发送给资产托管人。资产管理人应当在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管理计划成立之日起五个工作日内，将资产管理合同、投资者名单与认购金额、验资报告或者资产缴付证明等材料</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业协会备案，并抄报中国证监会相关派出机构。资产管理计划成立前，任何机构和个人不得动用投资者认购参与资金。</w:t>
      </w:r>
    </w:p>
    <w:p w14:paraId="558FBFFA" w14:textId="77777777" w:rsidR="00D4368C" w:rsidRDefault="001710E2">
      <w:pPr>
        <w:spacing w:line="360" w:lineRule="auto"/>
        <w:ind w:firstLine="54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管理计划完成备案前不得开展投资活动，但以现金管理为目的，投资于银行活期存款、货币市场基金的除外。</w:t>
      </w:r>
    </w:p>
    <w:p w14:paraId="06C4BFA7"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(三)资产管理合同的生效</w:t>
      </w:r>
    </w:p>
    <w:p w14:paraId="44F91760"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资产管理合同自本合同成立日生效。</w:t>
      </w:r>
    </w:p>
    <w:p w14:paraId="23029013"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(四)资产管理计划不能满足成立条件的处理方式</w:t>
      </w:r>
    </w:p>
    <w:p w14:paraId="345DE658"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资产管理计划初始募集期限届满，不能满足资产管理计划成立条件的，资产管理人应当承担下列责任：</w:t>
      </w:r>
    </w:p>
    <w:p w14:paraId="115A95B7"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1、以其固有财产承担因募集行为而产生的债务和费用；</w:t>
      </w:r>
    </w:p>
    <w:p w14:paraId="5B2E357E"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2、在初始募集期限届满后30日内返还投资者已缴纳的款项，并加计银行同期活期存款利息。</w:t>
      </w:r>
    </w:p>
    <w:p w14:paraId="16C6FC7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3、将托管人已盖章的合同及其他相关协议在募集期限届满后10日内如数原件返还托管人。未能如数返还的，应向托管人书面说明原因、去向并加盖印章。</w:t>
      </w:r>
    </w:p>
    <w:p w14:paraId="6AD024F7" w14:textId="77777777" w:rsidR="00D4368C" w:rsidRDefault="001710E2">
      <w:pPr>
        <w:pStyle w:val="NormalIndent"/>
        <w:spacing w:line="360" w:lineRule="auto"/>
        <w:rPr>
          <w:rFonts w:ascii="宋体" w:eastAsia="宋体" w:hAnsi="宋体" w:cs="宋体"/>
          <w:sz w:val="21"/>
          <w:szCs w:val="21"/>
        </w:rPr>
      </w:pPr>
      <w:r>
        <w:rPr>
          <w:rFonts w:ascii="宋体" w:eastAsia="宋体" w:hAnsi="宋体" w:cs="宋体" w:hint="eastAsia"/>
          <w:sz w:val="21"/>
          <w:szCs w:val="21"/>
        </w:rPr>
        <w:t>4、计划初始销售失败的，资产管理人、资产托管人、销售机构不得请求报酬。资产管理人、资产托管人、销售机构为资产管理计划募集所支付之一切费用应由各方各自承担。</w:t>
      </w:r>
    </w:p>
    <w:p w14:paraId="4E26F95D" w14:textId="77777777" w:rsidR="00D4368C" w:rsidRDefault="00D4368C">
      <w:pPr>
        <w:spacing w:line="360" w:lineRule="auto"/>
        <w:ind w:firstLine="540"/>
        <w:rPr>
          <w:rFonts w:ascii="宋体" w:eastAsia="宋体" w:hAnsi="宋体" w:cs="宋体"/>
          <w:sz w:val="21"/>
          <w:szCs w:val="21"/>
        </w:rPr>
      </w:pPr>
    </w:p>
    <w:p w14:paraId="48393256" w14:textId="77777777" w:rsidR="00D4368C" w:rsidRDefault="001710E2">
      <w:pPr>
        <w:pStyle w:val="Heading1"/>
        <w:spacing w:before="0" w:after="0" w:line="360" w:lineRule="auto"/>
        <w:jc w:val="center"/>
        <w:rPr>
          <w:rFonts w:ascii="宋体" w:eastAsia="宋体" w:hAnsi="宋体" w:cs="宋体"/>
          <w:sz w:val="21"/>
          <w:szCs w:val="21"/>
        </w:rPr>
      </w:pPr>
      <w:bookmarkStart w:id="18" w:name="_Toc401668934"/>
      <w:bookmarkStart w:id="19" w:name="_Toc70622187"/>
      <w:r>
        <w:rPr>
          <w:rFonts w:ascii="宋体" w:eastAsia="宋体" w:hAnsi="宋体" w:cs="宋体" w:hint="eastAsia"/>
          <w:sz w:val="21"/>
          <w:szCs w:val="21"/>
        </w:rPr>
        <w:t>八、资产管理计划的参与、退出</w:t>
      </w:r>
      <w:bookmarkEnd w:id="18"/>
      <w:r>
        <w:rPr>
          <w:rFonts w:ascii="宋体" w:eastAsia="宋体" w:hAnsi="宋体" w:cs="宋体" w:hint="eastAsia"/>
          <w:sz w:val="21"/>
          <w:szCs w:val="21"/>
        </w:rPr>
        <w:t>与转让</w:t>
      </w:r>
      <w:bookmarkEnd w:id="19"/>
    </w:p>
    <w:p w14:paraId="554CE701"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（一）参与和退出场所</w:t>
      </w:r>
    </w:p>
    <w:p w14:paraId="0247026F"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管理计划参与和退出场所为资产管理人的直销机构及代理销售机构的营业场所，或按销售机构提供的其他方式办理参与和退出。具体销售机构名单、联系方式以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管理计划的计划说明书为准。</w:t>
      </w:r>
    </w:p>
    <w:p w14:paraId="7935137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（二）参与和退出的开放日和时间</w:t>
      </w:r>
    </w:p>
    <w:p w14:paraId="0438D6D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本计划开放日为每周一、二、四（如</w:t>
      </w:r>
      <w:proofErr w:type="gramStart"/>
      <w:r>
        <w:rPr>
          <w:rFonts w:ascii="宋体" w:eastAsia="宋体" w:hAnsi="宋体" w:cs="宋体" w:hint="eastAsia"/>
          <w:sz w:val="21"/>
          <w:szCs w:val="21"/>
        </w:rPr>
        <w:t>遇非交易</w:t>
      </w:r>
      <w:proofErr w:type="gramEnd"/>
      <w:r>
        <w:rPr>
          <w:rFonts w:ascii="宋体" w:eastAsia="宋体" w:hAnsi="宋体" w:cs="宋体" w:hint="eastAsia"/>
          <w:sz w:val="21"/>
          <w:szCs w:val="21"/>
        </w:rPr>
        <w:t>日，则不开放），在开放日，投资者可以参与或退出本计划。</w:t>
      </w:r>
    </w:p>
    <w:p w14:paraId="1395A97B" w14:textId="77777777" w:rsidR="00D4368C" w:rsidRDefault="001710E2">
      <w:pPr>
        <w:spacing w:line="360" w:lineRule="auto"/>
        <w:ind w:firstLine="420"/>
        <w:rPr>
          <w:rFonts w:ascii="宋体" w:eastAsia="宋体" w:hAnsi="宋体" w:cs="宋体"/>
          <w:b/>
          <w:sz w:val="21"/>
          <w:szCs w:val="21"/>
        </w:rPr>
      </w:pPr>
      <w:r>
        <w:rPr>
          <w:rFonts w:ascii="宋体" w:eastAsia="宋体" w:hAnsi="宋体" w:cs="宋体" w:hint="eastAsia"/>
          <w:sz w:val="21"/>
          <w:szCs w:val="21"/>
        </w:rPr>
        <w:t>若中国证监会有新的规定，或出现新的证券交易市场、证券交易所交易时间变更或其他特殊情况，资产管理人将视情况对前述开放日及开放时间进行相应的调整并告知资产委托人，同时需提前书面告知资产托管人。</w:t>
      </w:r>
      <w:r>
        <w:rPr>
          <w:rFonts w:ascii="宋体" w:eastAsia="宋体" w:hAnsi="宋体" w:cs="宋体" w:hint="eastAsia"/>
          <w:b/>
          <w:sz w:val="21"/>
          <w:szCs w:val="21"/>
        </w:rPr>
        <w:t>资产管理人网站上发布公告或邮件通知即视为履行了对资产委托人的告知义务。</w:t>
      </w:r>
    </w:p>
    <w:p w14:paraId="6F9384D5"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（三）临时开放期</w:t>
      </w:r>
    </w:p>
    <w:p w14:paraId="095BE594"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因法律法规、监管规定及自律规则发生修订，或者存在其他监管或自律机构允许情形时，资产管理人为保障投资者选择退出</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管理计划的权利，资产管理人有权视本计划实际运作情况设定临时开放期，临时开放期的安排应符合</w:t>
      </w:r>
      <w:proofErr w:type="gramStart"/>
      <w:r>
        <w:rPr>
          <w:rFonts w:ascii="宋体" w:eastAsia="宋体" w:hAnsi="宋体" w:cs="宋体" w:hint="eastAsia"/>
          <w:sz w:val="21"/>
          <w:szCs w:val="21"/>
        </w:rPr>
        <w:t>资管新规</w:t>
      </w:r>
      <w:proofErr w:type="gramEnd"/>
      <w:r>
        <w:rPr>
          <w:rFonts w:ascii="宋体" w:eastAsia="宋体" w:hAnsi="宋体" w:cs="宋体" w:hint="eastAsia"/>
          <w:sz w:val="21"/>
          <w:szCs w:val="21"/>
        </w:rPr>
        <w:t>细则的规定。此等情形下，该等临时开放期安排不受前述参与和退出安排的限制。临时开放期委托人仅可办理退出业务。</w:t>
      </w:r>
      <w:r>
        <w:rPr>
          <w:rFonts w:ascii="宋体" w:eastAsia="宋体" w:hAnsi="宋体" w:cs="宋体" w:hint="eastAsia"/>
          <w:b/>
          <w:sz w:val="21"/>
          <w:szCs w:val="21"/>
        </w:rPr>
        <w:t>临时开放期的具体安排以资产管理人公告为准，届时资产管理人网站上发布公告或邮件通知即视为履行了对资产委托人的告知义务，同时临时开放期安排需提前通知资产托管人。</w:t>
      </w:r>
    </w:p>
    <w:p w14:paraId="25831E8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（四）参与和退出的方式、价格、程序及确认等</w:t>
      </w:r>
    </w:p>
    <w:p w14:paraId="323710FD"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1、“未知价”原则，即资产管理计划的参与和退出价格以申请当日的资产管理计划份额净值为基准进行计算。</w:t>
      </w:r>
    </w:p>
    <w:p w14:paraId="05937BA0"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2、资产管理计划采用金额参与和份额退出的方式，即参与以金额申请，退出以份额申请。</w:t>
      </w:r>
    </w:p>
    <w:p w14:paraId="05FA6812"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3、资产委托人办理参与、退出等业务时应提交的文件和办理手续、办理时间、处理规则等在遵守本合同规定的前提下，以各销售机构的具体规定为准。</w:t>
      </w:r>
    </w:p>
    <w:p w14:paraId="72771DD4"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4、当日的参与和退出申请可以在当日开放时间结束前撤销，在当日的开放时间结束后不得撤销。</w:t>
      </w:r>
    </w:p>
    <w:p w14:paraId="5EC03D0F"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5、参与和退出申请的确认。销售机构受理参与或退出申请并不表示对该申请是否成功的确认，而仅代表销售机构确实收到了参与或退出申请。申请是否有效应以注册登记机构的确认为准。在正常情况下，注册登记机构应在T+2日内（含T+2日）对资产委托人参与、退出申请的有效性进行确认。如遇特殊情</w:t>
      </w:r>
      <w:r>
        <w:rPr>
          <w:rFonts w:ascii="宋体" w:eastAsia="宋体" w:hAnsi="宋体" w:cs="宋体" w:hint="eastAsia"/>
          <w:sz w:val="21"/>
          <w:szCs w:val="21"/>
        </w:rPr>
        <w:lastRenderedPageBreak/>
        <w:t>况，有合理理由的，管理人有权对确认日进行调整，并通知委托人和托管人，告知具体调整原因。</w:t>
      </w:r>
    </w:p>
    <w:p w14:paraId="0FF349C9"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如将开放当日全部有效参与申请确认后，投资者总人数不超过200人，则注册登记机构对参与申请全部予以确认。如将开放当日全部有效参与申请确认后投资者总人数超过200人，则注册登记机构按照时间优先、金额优先的原则确认参与申请，确保</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管理计划的委托人数不超过200人，对未予确认的参与资金无息予以返还。</w:t>
      </w:r>
    </w:p>
    <w:p w14:paraId="036255A0"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资产委托人退出资产管理计划时，资产管理人按先进先出的原则，份额确认日期在先的计划份额先退出，确认日期在后的计划份额后退出，以确定所适用的业绩报酬。</w:t>
      </w:r>
    </w:p>
    <w:p w14:paraId="6E7B980A"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6、参与和退出申请的款项支付。参与采用全额交款方式，若资金在规定时间内未全额到账则参与不成功，已交付的委托款项将无息退回资产委托人账户。投资者退出申请成交后，资产管理人应按规定向资产委托人支付退出款项，退出款项在自受理资产委托人有效退出申请之日起不超过7个工作日的时间内</w:t>
      </w:r>
      <w:proofErr w:type="gramStart"/>
      <w:r>
        <w:rPr>
          <w:rFonts w:ascii="宋体" w:eastAsia="宋体" w:hAnsi="宋体" w:cs="宋体" w:hint="eastAsia"/>
          <w:sz w:val="21"/>
          <w:szCs w:val="21"/>
        </w:rPr>
        <w:t>划往资产</w:t>
      </w:r>
      <w:proofErr w:type="gramEnd"/>
      <w:r>
        <w:rPr>
          <w:rFonts w:ascii="宋体" w:eastAsia="宋体" w:hAnsi="宋体" w:cs="宋体" w:hint="eastAsia"/>
          <w:sz w:val="21"/>
          <w:szCs w:val="21"/>
        </w:rPr>
        <w:t>委托人银行账户。在发生巨额退出时，退出款项的支付办法按本合同和有关法律法规规定办理。</w:t>
      </w:r>
    </w:p>
    <w:p w14:paraId="1684AB53"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7、在于资产委托人协商确定后，资产管理人在不损害资产委托人权益的情况下可更改上述原则。</w:t>
      </w:r>
    </w:p>
    <w:p w14:paraId="7AAD5402"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（五）参与和退出的金额限制</w:t>
      </w:r>
    </w:p>
    <w:p w14:paraId="667CCE2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投资者在资产管理计划存续</w:t>
      </w:r>
      <w:proofErr w:type="gramStart"/>
      <w:r>
        <w:rPr>
          <w:rFonts w:ascii="宋体" w:eastAsia="宋体" w:hAnsi="宋体" w:cs="宋体" w:hint="eastAsia"/>
          <w:sz w:val="21"/>
          <w:szCs w:val="21"/>
        </w:rPr>
        <w:t>期开放日购买</w:t>
      </w:r>
      <w:proofErr w:type="gramEnd"/>
      <w:r>
        <w:rPr>
          <w:rFonts w:ascii="宋体" w:eastAsia="宋体" w:hAnsi="宋体" w:cs="宋体" w:hint="eastAsia"/>
          <w:sz w:val="21"/>
          <w:szCs w:val="21"/>
        </w:rPr>
        <w:t>资产管理计划份额的，如投资者在提交参与申请时未持有资产管理计划份额，则投资者应符合合格投资者标准且申购金额应不低于【40万元】人民币 （不含参与费用），在开放日内追加参与的，每次参与的金额应不低于【1万元】人民币。</w:t>
      </w:r>
    </w:p>
    <w:p w14:paraId="5CFDB111"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当投资者持有的计划份额资产净值高于【40万元】人民币时，投资者可以选择全部或部分退出资产管理计划份额；选择部分退出资产管理计划份额的，投资者在退出后持有的计划份额资产净值应当不低于【40万元】人民币。当资产管理人发现投资者申请部分退出资产管理计划将致使其在部分退出申请确认后持有的计划资产净值低于【40万元】人民币的，资产管理人有权适当减少该投资者的退出金额，以保证部分退出申请确认后投资者持有的计划资产净值不低于【40万元】人民币。</w:t>
      </w:r>
    </w:p>
    <w:p w14:paraId="0B7EBF8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当投资者持有的计划资产净值低于【40万元】人民币（含【40万元】人民币）时，需要退出计划的，投资者应当一次性全部退出资产管理计划。</w:t>
      </w:r>
    </w:p>
    <w:p w14:paraId="18867C8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资产管理人可根据市场情况，合理调整对参与金额和退出份额的数量限制，资产管理人进行前述调整必须提前3个工作日告知资产委托人。</w:t>
      </w:r>
      <w:r>
        <w:rPr>
          <w:rFonts w:ascii="宋体" w:eastAsia="宋体" w:hAnsi="宋体" w:cs="宋体" w:hint="eastAsia"/>
          <w:b/>
          <w:sz w:val="21"/>
          <w:szCs w:val="21"/>
        </w:rPr>
        <w:t>资产管理人在网站公告或邮件通知前述调整事项即视为履行了告知义务。</w:t>
      </w:r>
    </w:p>
    <w:p w14:paraId="7A6422C1"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（六）参与和退出的费用</w:t>
      </w:r>
    </w:p>
    <w:p w14:paraId="6E962C8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1、参与费用与参与份额的计算方式</w:t>
      </w:r>
    </w:p>
    <w:p w14:paraId="12378FA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本计划无参与费用。</w:t>
      </w:r>
    </w:p>
    <w:p w14:paraId="788F250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参与份额及参与费用的计算方法如下：</w:t>
      </w:r>
    </w:p>
    <w:p w14:paraId="268C67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参与份额=参与金额/申请</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管理计划份额净值</w:t>
      </w:r>
    </w:p>
    <w:p w14:paraId="735FA12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参与份额的计算结果按照四舍五入方式保留到小数点后两位，由此产生的误差由计划财产承担。</w:t>
      </w:r>
    </w:p>
    <w:p w14:paraId="36B5897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2、退出费用与退出金额的计算方式</w:t>
      </w:r>
    </w:p>
    <w:p w14:paraId="6D686F3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本计划无退出费用。</w:t>
      </w:r>
    </w:p>
    <w:p w14:paraId="5A7FF6B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本计划退出金额的计算方法如下：</w:t>
      </w:r>
    </w:p>
    <w:p w14:paraId="7A287AA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退出总额=退出份额×申请</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管理计划份额净值</w:t>
      </w:r>
    </w:p>
    <w:p w14:paraId="7DF6775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退出金额=退出总额-退出费用(如有)-业绩报酬（如有）</w:t>
      </w:r>
    </w:p>
    <w:p w14:paraId="734E20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其中，退出总额和退出金额的计算结果保留到小数点后2位，小数点后第3位四舍五入，由此产生的误差产生的收益或损失由计划财产承担。</w:t>
      </w:r>
    </w:p>
    <w:p w14:paraId="1736104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（七）拒绝或暂停参与、暂停退出的情形及处理</w:t>
      </w:r>
    </w:p>
    <w:p w14:paraId="101B6636"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1、在如下情况下，资产管理人可以拒绝接受投资者的参与申请：</w:t>
      </w:r>
    </w:p>
    <w:p w14:paraId="062CE71C"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（1）如接受该申请，将导致本计划的资产委托人超过200人。</w:t>
      </w:r>
    </w:p>
    <w:p w14:paraId="03AAC736"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（2）根据市场情况，资产管理人无法找到合适的投资品种，或其他可能对资产管理计划业绩产生负面影响，从而损害现有资产管理计划资产委托人的利益的情形。</w:t>
      </w:r>
    </w:p>
    <w:p w14:paraId="49A91245"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（3）因资产管理计划收益分配、或资产管理计划内某个或某些证券进行权益分派等原因，使资产管理人认为短期内接受参与可能会影响或损害现有资产管理计划资产委托人利益的。</w:t>
      </w:r>
    </w:p>
    <w:p w14:paraId="762ECEFC"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（4）资产管理人认为接受某笔或某些参与申请可能会影响或损害其他资产管理计划资产委托人利益的。</w:t>
      </w:r>
    </w:p>
    <w:p w14:paraId="7CC7854A"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（5）法律法规规定或经中国证监会认定的其他情形。</w:t>
      </w:r>
    </w:p>
    <w:p w14:paraId="0D516FE2"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资产管理人决定拒绝接受某些资产委托人的参与申请时，参与款项将无息退回资产委托人账户。</w:t>
      </w:r>
    </w:p>
    <w:p w14:paraId="083DD84B"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2、在如下情况下，资产管理人可以暂停接受投资者的参与申请：</w:t>
      </w:r>
    </w:p>
    <w:p w14:paraId="479F68A6"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（1）因不可抗力导致无法受理资产委托人的参与申请。</w:t>
      </w:r>
    </w:p>
    <w:p w14:paraId="497E7302"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（2）证券交易场所交易时间临时停市，导致资产管理人无法计算当日资产管理计划财产净值。</w:t>
      </w:r>
    </w:p>
    <w:p w14:paraId="130EF13D"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（3）发生</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管理计划合同规定的暂停资产管理计划资产估值情况。</w:t>
      </w:r>
    </w:p>
    <w:p w14:paraId="3F497F03"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（4）法律法规规定或经中国证监会认定的其他情形。</w:t>
      </w:r>
    </w:p>
    <w:p w14:paraId="019A655E"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资产管理人决定暂停接受全部或部分参与申请时，应当告知资产委托人。在暂停参与的情形消除时，</w:t>
      </w:r>
      <w:r>
        <w:rPr>
          <w:rFonts w:ascii="宋体" w:eastAsia="宋体" w:hAnsi="宋体" w:cs="宋体" w:hint="eastAsia"/>
          <w:sz w:val="21"/>
          <w:szCs w:val="21"/>
        </w:rPr>
        <w:lastRenderedPageBreak/>
        <w:t>资产管理人应及时恢复参与业务的办理并告知资产委托人。</w:t>
      </w:r>
    </w:p>
    <w:p w14:paraId="1B2F815F"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3、在如下情况下，资产管理人可以暂停接受资产委托人的退出申请：</w:t>
      </w:r>
    </w:p>
    <w:p w14:paraId="0882D22A"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（1）因不可抗力导致资产管理人无法支付退出款项。</w:t>
      </w:r>
    </w:p>
    <w:p w14:paraId="1DC53A2A"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（2）证券交易场所交易时间临时停市，导致资产管理人无法计算当日资产管理计划财产净值。</w:t>
      </w:r>
    </w:p>
    <w:p w14:paraId="32550F20"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（3）发生</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管理计划合同规定的暂停资产管理计划资产估值的情况；</w:t>
      </w:r>
    </w:p>
    <w:p w14:paraId="043200C1"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（4）发生连续巨额赎回；</w:t>
      </w:r>
    </w:p>
    <w:p w14:paraId="0D5397D6"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（5）法律法规规定或经中国证监会认定的其他情形。</w:t>
      </w:r>
    </w:p>
    <w:p w14:paraId="5AF4B2E9"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发生上述情形之一的，资产管理人应当及时告知资产委托人。已接受的退出申请，资产管理人应当足额支付；如暂时不能足额支付，应当按单个退出申请人已被接受的退出申请量占已接受的退出申请总量的比例分配给退出申请人，其余部分在后续开放日予以支付。</w:t>
      </w:r>
    </w:p>
    <w:p w14:paraId="788085BF"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在暂停退出的情况消除时，资产管理人应及时恢复退出业务的办理并及时告知资产委托人。</w:t>
      </w:r>
    </w:p>
    <w:p w14:paraId="7597E486"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4、暂停资产管理计划的参与、退出时，资产管理人应按规定告知资产委托人并履行相应报告程序。</w:t>
      </w:r>
    </w:p>
    <w:p w14:paraId="5F26D77F"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5、暂停参与或退出期间结束，资产管理计划重新开放时，资产管理人应按规定告知资产委托人并履行相应报告程序。</w:t>
      </w:r>
    </w:p>
    <w:p w14:paraId="702615D9"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（八）大额退出的通知</w:t>
      </w:r>
    </w:p>
    <w:p w14:paraId="0021298F"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任</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委托人在开放日退出金额超过人民币1000万元的，应当提前5个工作日书面通知管理人。管理人未收到该等通知的，管理人有权拒绝该委托人的退出。</w:t>
      </w:r>
    </w:p>
    <w:p w14:paraId="13441304"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（九）巨额退出的认定及处理方式</w:t>
      </w:r>
    </w:p>
    <w:p w14:paraId="359A3F8C"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1、巨额退出的认定</w:t>
      </w:r>
    </w:p>
    <w:p w14:paraId="79849D74"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单个开放日中，</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管理计划需处理的净退出</w:t>
      </w:r>
      <w:proofErr w:type="gramStart"/>
      <w:r>
        <w:rPr>
          <w:rFonts w:ascii="宋体" w:eastAsia="宋体" w:hAnsi="宋体" w:cs="宋体" w:hint="eastAsia"/>
          <w:sz w:val="21"/>
          <w:szCs w:val="21"/>
        </w:rPr>
        <w:t>申请总</w:t>
      </w:r>
      <w:proofErr w:type="gramEnd"/>
      <w:r>
        <w:rPr>
          <w:rFonts w:ascii="宋体" w:eastAsia="宋体" w:hAnsi="宋体" w:cs="宋体" w:hint="eastAsia"/>
          <w:sz w:val="21"/>
          <w:szCs w:val="21"/>
        </w:rPr>
        <w:t>份额超过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管理计划上一工作日资产管理计划总份额的20%时，即认为</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管理计划发生了巨额退出。</w:t>
      </w:r>
    </w:p>
    <w:p w14:paraId="6F995503"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2、巨额退出的处理方式</w:t>
      </w:r>
    </w:p>
    <w:p w14:paraId="685F4741"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出现巨额退出时，资产管理人可以根据</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管理计划当时的资产状况决定接受全额退出或部分退出。</w:t>
      </w:r>
    </w:p>
    <w:p w14:paraId="2A3D697F"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（1）接受全额退出：当资产管理人认为有能力兑付资产委托人的全部退出申请时，按正常退出程序执行。</w:t>
      </w:r>
    </w:p>
    <w:p w14:paraId="110501A9"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（2）部分延期退出：当资产管理人认为全额兑付资产委托人的退出申请有困难，或认为兑付资产委托人的退出申请进行的资产变现可能使资产管理计划财产净值发生较大波动时，资产管理人在接受退出比</w:t>
      </w:r>
      <w:r>
        <w:rPr>
          <w:rFonts w:ascii="宋体" w:eastAsia="宋体" w:hAnsi="宋体" w:cs="宋体" w:hint="eastAsia"/>
          <w:sz w:val="21"/>
          <w:szCs w:val="21"/>
        </w:rPr>
        <w:lastRenderedPageBreak/>
        <w:t>例不低于前一日资产管理计划总份额20%的前提下，办理部分退出，并按单个资产委托人申请退出份额占净退出</w:t>
      </w:r>
      <w:proofErr w:type="gramStart"/>
      <w:r>
        <w:rPr>
          <w:rFonts w:ascii="宋体" w:eastAsia="宋体" w:hAnsi="宋体" w:cs="宋体" w:hint="eastAsia"/>
          <w:sz w:val="21"/>
          <w:szCs w:val="21"/>
        </w:rPr>
        <w:t>申请总</w:t>
      </w:r>
      <w:proofErr w:type="gramEnd"/>
      <w:r>
        <w:rPr>
          <w:rFonts w:ascii="宋体" w:eastAsia="宋体" w:hAnsi="宋体" w:cs="宋体" w:hint="eastAsia"/>
          <w:sz w:val="21"/>
          <w:szCs w:val="21"/>
        </w:rPr>
        <w:t>份额的比例，确定该资产委托人的退出份额，未受理部分予以撤销。部分退出导致资产委托人持有的计划份额资产净值低于【40万元】的，资产管理人可按全额退出处理。</w:t>
      </w:r>
    </w:p>
    <w:p w14:paraId="081D5FAE"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（3）当发生巨额退出并只接受部分退出时，资产管理人应当通过邮寄、传真、邮件、本合同或计划说明书规定的其他方式，在开放日后的3个交易日内及时告知资产委托人，说明有关处理方法。</w:t>
      </w:r>
    </w:p>
    <w:p w14:paraId="69EC3AEC"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4）出现连续巨额退出时，即连续2个开放日以上(含本数)发生巨额赎回，如资产管理人认为有必要，可暂停接受退出申请；已经接受的退出申请可以延缓支付退出款项，但不得超过20个工作日。出现连续巨额退出并暂停接受退出申请或延缓支付退出款项时，资产管理人应当在20个交易日内通知资产委托人，并说明有关处理方法。</w:t>
      </w:r>
    </w:p>
    <w:p w14:paraId="269D7017"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（十）份额转让</w:t>
      </w:r>
    </w:p>
    <w:p w14:paraId="00E1DB9B"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在具备可行条件且经管理人公告或通知后，资产委托人可以通过证券交易所以及中国证监会认可的其他方式，向合格投资者转让其持有的</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管理计划份额，份额转让应遵守交易场所相关规定及要求，并按规定办理份额变更登记手续。转让后，持有</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管理计划份额的合格投资者合计不得超过200人。资产管理人应当在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管理计划份额转让前，对受让人的合格投资者身份和资产管理计划的投资者人数进行合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性审查。受让方首次参与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管理计划的，应当先与资产管理人、资产托管人签订资产管理合同。</w:t>
      </w:r>
    </w:p>
    <w:p w14:paraId="73B27417"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（十一）</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过户认定及处理方式</w:t>
      </w:r>
    </w:p>
    <w:p w14:paraId="201C8BB2"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1、资产管理人及注册登记机构只受理继承、捐赠、司法强制执行和经注册登记机构认可的其他情况下的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过户。其中：</w:t>
      </w:r>
    </w:p>
    <w:p w14:paraId="0227FBEB"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“继承”是指资产委托人死亡，其持有的计划份额由其合法的继承人继承。</w:t>
      </w:r>
    </w:p>
    <w:p w14:paraId="52F80817"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“捐赠”</w:t>
      </w:r>
      <w:r>
        <w:rPr>
          <w:rFonts w:ascii="宋体" w:eastAsia="宋体" w:hAnsi="宋体" w:cs="宋体" w:hint="eastAsia"/>
          <w:color w:val="000000"/>
          <w:sz w:val="21"/>
          <w:szCs w:val="21"/>
        </w:rPr>
        <w:t>是指资产委托人将其合法持有的计划份额捐赠给公益性质的基金会或社会团体。</w:t>
      </w:r>
    </w:p>
    <w:p w14:paraId="105B2A29"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“司法强制执行”是指司法机构依据生效司法文书将资产委托人持有的计划份额强制划转给其他自然人、法人、社会团体或其他组织的情形。</w:t>
      </w:r>
    </w:p>
    <w:p w14:paraId="146D1C2C"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2、办理</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过户业务必须提供注册登记机构规定的相关资料。符合条件的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过户申请自申请受理日起2个月内办理；申请人按注册登记机构规定的标准缴纳过户费用。</w:t>
      </w:r>
    </w:p>
    <w:p w14:paraId="38DE7D15"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（十二）资产管理人自有资金参与</w:t>
      </w:r>
    </w:p>
    <w:p w14:paraId="4A7151D7"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资产管理人若以自有资金参与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管理计划的，与其余投资者所持的份额享有同等权益、承担同等风险。</w:t>
      </w:r>
    </w:p>
    <w:p w14:paraId="785D7C52"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lastRenderedPageBreak/>
        <w:t>资产管理人持有的计划份额比例不得超过本计划总份额的20%，且参与本计划的持有期限不得少于6个月。同时，参与、退出本计划时，资产管理人应当提前5个工作日以邮件或网站公告的形式告知投资者和资产托管人，并按照法律法规的规定备案。为应对本计划巨额赎回（如有），解决流动性风险，在不存在利益冲突并遵守合同约定的前提下，管理人以自有资金参与及其后续退出本计划可不受前款规定限制，但应当及时告知投资者和托管人，并向相关派出机构及证券投资基金业协会报告。</w:t>
      </w:r>
    </w:p>
    <w:p w14:paraId="3577401D"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资产管理人的自有资金参与本计划的份额不得超过计划总份额的20%。资产管理人及其下设机构（含员工）以自有资金参与本计划的份额合计不得超过计划总份额的50%。因本计划规模变动等客观因素导致前述比例被动超限的，资产管理人应当依照中国证监会规定及本合同的约定及时完成调整。</w:t>
      </w:r>
    </w:p>
    <w:p w14:paraId="3AE368C9" w14:textId="77777777" w:rsidR="00D4368C" w:rsidRDefault="001710E2">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（十三）管理人应定期将资产管理计划资产委托人变更情况报送基金业协会。</w:t>
      </w:r>
      <w:bookmarkEnd w:id="13"/>
    </w:p>
    <w:p w14:paraId="4137AF1A" w14:textId="77777777" w:rsidR="00D4368C" w:rsidRDefault="00D4368C">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p>
    <w:p w14:paraId="1045483F" w14:textId="77777777" w:rsidR="00D4368C" w:rsidRDefault="001710E2">
      <w:pPr>
        <w:pStyle w:val="Heading1"/>
        <w:spacing w:line="360" w:lineRule="auto"/>
        <w:jc w:val="center"/>
        <w:rPr>
          <w:rFonts w:ascii="宋体" w:eastAsia="宋体" w:hAnsi="宋体" w:cs="宋体"/>
          <w:sz w:val="21"/>
          <w:szCs w:val="21"/>
        </w:rPr>
      </w:pPr>
      <w:bookmarkStart w:id="20" w:name="_Toc401668936"/>
      <w:bookmarkStart w:id="21" w:name="_Toc382408566"/>
      <w:bookmarkStart w:id="22" w:name="_Toc70622188"/>
      <w:bookmarkStart w:id="23" w:name="_Toc194741908"/>
      <w:r>
        <w:rPr>
          <w:rFonts w:ascii="宋体" w:eastAsia="宋体" w:hAnsi="宋体" w:cs="宋体" w:hint="eastAsia"/>
          <w:sz w:val="21"/>
          <w:szCs w:val="21"/>
        </w:rPr>
        <w:t>九、</w:t>
      </w:r>
      <w:bookmarkEnd w:id="20"/>
      <w:bookmarkEnd w:id="21"/>
      <w:r>
        <w:rPr>
          <w:rFonts w:ascii="宋体" w:eastAsia="宋体" w:hAnsi="宋体" w:cs="宋体" w:hint="eastAsia"/>
          <w:sz w:val="21"/>
          <w:szCs w:val="21"/>
        </w:rPr>
        <w:t>份额持有人大会及日常机构</w:t>
      </w:r>
      <w:bookmarkEnd w:id="22"/>
    </w:p>
    <w:p w14:paraId="4CF15D8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本计划不设置份额持有人大会机制。</w:t>
      </w:r>
    </w:p>
    <w:p w14:paraId="629D9FD7" w14:textId="77777777" w:rsidR="00D4368C" w:rsidRDefault="00D4368C">
      <w:pPr>
        <w:spacing w:line="360" w:lineRule="auto"/>
        <w:ind w:firstLine="480"/>
        <w:rPr>
          <w:rFonts w:ascii="宋体" w:eastAsia="宋体" w:hAnsi="宋体" w:cs="宋体"/>
          <w:sz w:val="21"/>
          <w:szCs w:val="21"/>
        </w:rPr>
      </w:pPr>
    </w:p>
    <w:p w14:paraId="5409E3DB" w14:textId="77777777" w:rsidR="00D4368C" w:rsidRDefault="001710E2">
      <w:pPr>
        <w:pStyle w:val="Heading1"/>
        <w:spacing w:before="0" w:after="0" w:line="360" w:lineRule="auto"/>
        <w:jc w:val="center"/>
        <w:rPr>
          <w:rFonts w:ascii="宋体" w:eastAsia="宋体" w:hAnsi="宋体" w:cs="宋体"/>
          <w:sz w:val="21"/>
          <w:szCs w:val="21"/>
        </w:rPr>
      </w:pPr>
      <w:bookmarkStart w:id="24" w:name="_Toc401668937"/>
      <w:bookmarkStart w:id="25" w:name="_Toc70622189"/>
      <w:r>
        <w:rPr>
          <w:rFonts w:ascii="宋体" w:eastAsia="宋体" w:hAnsi="宋体" w:cs="宋体" w:hint="eastAsia"/>
          <w:sz w:val="21"/>
          <w:szCs w:val="21"/>
        </w:rPr>
        <w:t>十、资产管理计划份额的登记</w:t>
      </w:r>
      <w:bookmarkEnd w:id="24"/>
      <w:bookmarkEnd w:id="25"/>
    </w:p>
    <w:p w14:paraId="1A771FD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管理计划份额的注册登记业务指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管理计划的登记、存管、清算和交收业务，具体内容包括资产委托人账户管理、份额注册登记、清算及交易确认、收益分配、建立并保管资产管理计划客户资料表等。</w:t>
      </w:r>
    </w:p>
    <w:p w14:paraId="670DB91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管理计划的注册登记业务由</w:t>
      </w:r>
      <w:r>
        <w:rPr>
          <w:rFonts w:ascii="宋体" w:eastAsia="宋体" w:hAnsi="宋体" w:cs="宋体" w:hint="eastAsia"/>
          <w:color w:val="000000"/>
          <w:sz w:val="21"/>
          <w:szCs w:val="21"/>
        </w:rPr>
        <w:t>光大证券股份有限公司</w:t>
      </w:r>
      <w:r>
        <w:rPr>
          <w:rFonts w:ascii="宋体" w:eastAsia="宋体" w:hAnsi="宋体" w:cs="宋体" w:hint="eastAsia"/>
          <w:sz w:val="21"/>
          <w:szCs w:val="21"/>
        </w:rPr>
        <w:t>负责办理，</w:t>
      </w:r>
      <w:r>
        <w:rPr>
          <w:rFonts w:ascii="宋体" w:eastAsia="宋体" w:hAnsi="宋体" w:cs="宋体" w:hint="eastAsia"/>
          <w:color w:val="000000"/>
          <w:sz w:val="21"/>
          <w:szCs w:val="21"/>
        </w:rPr>
        <w:t>管理人与注册登记机构签订</w:t>
      </w:r>
      <w:proofErr w:type="gramStart"/>
      <w:r>
        <w:rPr>
          <w:rFonts w:ascii="宋体" w:eastAsia="宋体" w:hAnsi="宋体" w:cs="宋体" w:hint="eastAsia"/>
          <w:color w:val="000000"/>
          <w:sz w:val="21"/>
          <w:szCs w:val="21"/>
        </w:rPr>
        <w:t>资管计划</w:t>
      </w:r>
      <w:proofErr w:type="gramEnd"/>
      <w:r>
        <w:rPr>
          <w:rFonts w:ascii="宋体" w:eastAsia="宋体" w:hAnsi="宋体" w:cs="宋体" w:hint="eastAsia"/>
          <w:color w:val="000000"/>
          <w:sz w:val="21"/>
          <w:szCs w:val="21"/>
        </w:rPr>
        <w:t>服务协议以确认相关权限和职责</w:t>
      </w:r>
      <w:r>
        <w:rPr>
          <w:rFonts w:ascii="宋体" w:eastAsia="宋体" w:hAnsi="宋体" w:cs="宋体" w:hint="eastAsia"/>
          <w:sz w:val="21"/>
          <w:szCs w:val="21"/>
        </w:rPr>
        <w:t>。</w:t>
      </w:r>
    </w:p>
    <w:p w14:paraId="1483CCA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（三）注册登记机构履行如下职责：</w:t>
      </w:r>
    </w:p>
    <w:p w14:paraId="1F4FF0B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1、建立和保管资产委托人账户资料、交易资料、资产管理计划客户资料表等。</w:t>
      </w:r>
    </w:p>
    <w:p w14:paraId="58D1D36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2、配备足够的专业人员办理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管理计划的注册登记业务。</w:t>
      </w:r>
    </w:p>
    <w:p w14:paraId="04A8D29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3、严格按照法律法规和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管理合同规定的条件办理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管理计划的注册登记业务。</w:t>
      </w:r>
    </w:p>
    <w:p w14:paraId="5BA4BEF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4、严格按照法律法规和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管理合同的规定计算业绩报酬（如有）。</w:t>
      </w:r>
    </w:p>
    <w:p w14:paraId="5A3E82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5、妥善保存登记数据，并将资产管理计划投资者名称、身份信息以及资产管理计划份额明细等数据备份至中国证监会认定的机构。其保存期限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管理计划账户销户之日起不得少于20 年。</w:t>
      </w:r>
    </w:p>
    <w:p w14:paraId="2B1CF17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6、对资产委托人的账户信息负有保密义务，因违反该保密义务对资产委托人或资产管理计划带来的</w:t>
      </w:r>
      <w:r>
        <w:rPr>
          <w:rFonts w:ascii="宋体" w:eastAsia="宋体" w:hAnsi="宋体" w:cs="宋体" w:hint="eastAsia"/>
          <w:sz w:val="21"/>
          <w:szCs w:val="21"/>
        </w:rPr>
        <w:lastRenderedPageBreak/>
        <w:t>损失，须承担相应的赔偿责任，但法律法规或监管机构另有规定的除外。</w:t>
      </w:r>
    </w:p>
    <w:p w14:paraId="1067885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7、按</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管理计划合同，为资产委托人提供资产管理计划收益分配等其他必要的服务。</w:t>
      </w:r>
    </w:p>
    <w:p w14:paraId="6EE5667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8、在法律法规允许的范围内，制定和调整注册登记业务的相关规则。</w:t>
      </w:r>
    </w:p>
    <w:p w14:paraId="7198B14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9、法律法规规定的其他职责。</w:t>
      </w:r>
    </w:p>
    <w:p w14:paraId="09D6E1AB" w14:textId="77777777" w:rsidR="00D4368C" w:rsidRDefault="001710E2">
      <w:pPr>
        <w:spacing w:line="360" w:lineRule="auto"/>
        <w:ind w:left="480"/>
        <w:rPr>
          <w:rFonts w:ascii="宋体" w:eastAsia="宋体" w:hAnsi="宋体" w:cs="宋体"/>
          <w:sz w:val="21"/>
          <w:szCs w:val="21"/>
        </w:rPr>
      </w:pPr>
      <w:r>
        <w:rPr>
          <w:rFonts w:ascii="宋体" w:eastAsia="宋体" w:hAnsi="宋体" w:cs="宋体" w:hint="eastAsia"/>
          <w:sz w:val="21"/>
          <w:szCs w:val="21"/>
        </w:rPr>
        <w:t>（四）注册登记机构履行上述职责后，有权取得注册登记费。</w:t>
      </w:r>
    </w:p>
    <w:p w14:paraId="139C18F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（五）全体资产管理计划份额持有人同意管理人、份额登记机构或其他份额登记义务人将集合资产管理计划投资者名称、身份信息以及集合资产管理计划份额明细等数据备份至中国证监会认定的机构。</w:t>
      </w:r>
    </w:p>
    <w:p w14:paraId="667780C4" w14:textId="77777777" w:rsidR="00D4368C" w:rsidRDefault="00D4368C">
      <w:pPr>
        <w:spacing w:line="360" w:lineRule="auto"/>
        <w:ind w:firstLine="480"/>
        <w:rPr>
          <w:rFonts w:ascii="宋体" w:eastAsia="宋体" w:hAnsi="宋体" w:cs="宋体"/>
          <w:sz w:val="21"/>
          <w:szCs w:val="21"/>
        </w:rPr>
      </w:pPr>
    </w:p>
    <w:p w14:paraId="1193DDC3" w14:textId="77777777" w:rsidR="00D4368C" w:rsidRDefault="001710E2">
      <w:pPr>
        <w:pStyle w:val="Heading1"/>
        <w:spacing w:before="0" w:after="0" w:line="360" w:lineRule="auto"/>
        <w:jc w:val="center"/>
        <w:rPr>
          <w:rFonts w:ascii="宋体" w:eastAsia="宋体" w:hAnsi="宋体" w:cs="宋体"/>
          <w:color w:val="FF0000"/>
          <w:sz w:val="21"/>
          <w:szCs w:val="21"/>
        </w:rPr>
      </w:pPr>
      <w:bookmarkStart w:id="26" w:name="_Toc401668938"/>
      <w:bookmarkStart w:id="27" w:name="_Toc70622190"/>
      <w:r>
        <w:rPr>
          <w:rFonts w:ascii="宋体" w:eastAsia="宋体" w:hAnsi="宋体" w:cs="宋体" w:hint="eastAsia"/>
          <w:sz w:val="21"/>
          <w:szCs w:val="21"/>
        </w:rPr>
        <w:t>十一、资产管理计划的投资</w:t>
      </w:r>
      <w:bookmarkEnd w:id="26"/>
      <w:bookmarkEnd w:id="27"/>
    </w:p>
    <w:p w14:paraId="70AF2D4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（一）投资目标</w:t>
      </w:r>
    </w:p>
    <w:p w14:paraId="0B69A3F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在有效控制风险的前提下，追求委托财产的增值。</w:t>
      </w:r>
    </w:p>
    <w:p w14:paraId="6EC2F43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（二）投资范围及比例</w:t>
      </w:r>
    </w:p>
    <w:p w14:paraId="4820E85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1、本计划的投资范围</w:t>
      </w:r>
    </w:p>
    <w:p w14:paraId="317ED2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本计划成立之日起至完成备案前，资产管理人以现金管理为目的，可投资于银行活期存款、货币市场基金。</w:t>
      </w:r>
    </w:p>
    <w:p w14:paraId="6959E5F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本计划完成备案后，主要投资于：</w:t>
      </w:r>
    </w:p>
    <w:p w14:paraId="38D767C8"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国内依法发行上市的</w:t>
      </w:r>
      <w:r>
        <w:rPr>
          <w:rFonts w:ascii="宋体" w:eastAsia="宋体" w:hAnsi="宋体" w:cs="宋体"/>
          <w:sz w:val="21"/>
          <w:szCs w:val="21"/>
        </w:rPr>
        <w:t>股票（包括主板、中小板、创业板、</w:t>
      </w:r>
      <w:proofErr w:type="gramStart"/>
      <w:r>
        <w:rPr>
          <w:rFonts w:ascii="宋体" w:eastAsia="宋体" w:hAnsi="宋体" w:cs="宋体"/>
          <w:sz w:val="21"/>
          <w:szCs w:val="21"/>
        </w:rPr>
        <w:t>科创板</w:t>
      </w:r>
      <w:proofErr w:type="gramEnd"/>
      <w:r>
        <w:rPr>
          <w:rFonts w:ascii="宋体" w:eastAsia="宋体" w:hAnsi="宋体" w:cs="宋体"/>
          <w:sz w:val="21"/>
          <w:szCs w:val="21"/>
        </w:rPr>
        <w:t>、北京证券交易所发行上市的股票及其他经中国证监会核准上市的股票，含新股申购</w:t>
      </w:r>
      <w:r>
        <w:rPr>
          <w:rFonts w:ascii="宋体" w:eastAsia="宋体" w:hAnsi="宋体" w:cs="宋体" w:hint="eastAsia"/>
          <w:sz w:val="21"/>
          <w:szCs w:val="21"/>
        </w:rPr>
        <w:t>、股票定增、非公开发行股票</w:t>
      </w:r>
      <w:r>
        <w:rPr>
          <w:rFonts w:ascii="宋体" w:eastAsia="宋体" w:hAnsi="宋体" w:cs="宋体"/>
          <w:sz w:val="21"/>
          <w:szCs w:val="21"/>
        </w:rPr>
        <w:t>）；港股通标的范围内的股票；银行间及交易所债券、中央银行票据、资产支持证券、资产支持票据；公募证券投资基金（含封闭式及开放式证券投资基金、LOF、ETF基金）；银行存款（含现金、定期存款、活期存款、协议存款）、债券逆回购、债券正回购、货币市场基金；股指期货、商品期货、国债期货、交易所上市的期权。</w:t>
      </w:r>
    </w:p>
    <w:p w14:paraId="52E306E4" w14:textId="77777777" w:rsidR="00D4368C" w:rsidRDefault="001710E2">
      <w:pPr>
        <w:pStyle w:val="13"/>
        <w:spacing w:line="360" w:lineRule="auto"/>
        <w:ind w:firstLine="480"/>
        <w:rPr>
          <w:rFonts w:ascii="宋体" w:eastAsia="宋体" w:hAnsi="宋体" w:cs="宋体"/>
          <w:b/>
          <w:bCs/>
          <w:sz w:val="21"/>
          <w:szCs w:val="21"/>
        </w:rPr>
      </w:pPr>
      <w:r>
        <w:rPr>
          <w:rFonts w:ascii="宋体" w:eastAsia="宋体" w:hAnsi="宋体" w:cs="宋体" w:hint="eastAsia"/>
          <w:b/>
          <w:bCs/>
          <w:sz w:val="21"/>
          <w:szCs w:val="21"/>
        </w:rPr>
        <w:t>特别予以说明，本计划可进行债券回购（债券正回购、债券逆回购）、融资融券、转融通证券出借交易。</w:t>
      </w:r>
    </w:p>
    <w:p w14:paraId="6A8C3117"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b/>
          <w:bCs/>
          <w:sz w:val="21"/>
          <w:szCs w:val="21"/>
        </w:rPr>
        <w:t>资产管理人在进行期权、融资融券、港股通标的范围内的股票投资、</w:t>
      </w:r>
      <w:r>
        <w:rPr>
          <w:rFonts w:ascii="宋体" w:eastAsia="宋体" w:hAnsi="宋体" w:cs="宋体" w:hint="eastAsia"/>
          <w:b/>
          <w:color w:val="000000"/>
          <w:sz w:val="21"/>
          <w:szCs w:val="21"/>
        </w:rPr>
        <w:t>转融通证券出借交易</w:t>
      </w:r>
      <w:r>
        <w:rPr>
          <w:rFonts w:ascii="宋体" w:eastAsia="宋体" w:hAnsi="宋体" w:cs="宋体" w:hint="eastAsia"/>
          <w:b/>
          <w:bCs/>
          <w:sz w:val="21"/>
          <w:szCs w:val="21"/>
        </w:rPr>
        <w:t>前，必须与资产托管人就交收结算、核算估值等业务规则和流程进行沟通确定，在系统测试通过后才可投资，否则，由此产生的风险由资产管理人承担。</w:t>
      </w:r>
    </w:p>
    <w:p w14:paraId="1F443E8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2、本计划的投资比例</w:t>
      </w:r>
    </w:p>
    <w:p w14:paraId="181EE46F"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（1）投资于存款、债券等债权类资产的比例低于资产管理计划总资产的80%；</w:t>
      </w:r>
    </w:p>
    <w:p w14:paraId="742E3CAE"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（2）投资于股票等权益类资产的比例低于资产管理计划总资产的80%；</w:t>
      </w:r>
    </w:p>
    <w:p w14:paraId="2CDACE8E"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（3）投资于商品及金融衍生品的持仓合约价值比例低于资产管理计划总资产80%，或衍生品账户权益不超过资产管理计划总资产的20%；</w:t>
      </w:r>
    </w:p>
    <w:p w14:paraId="6132F46D"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4）投资于同一资产的资金，不得超过计划资产净值的25%，管理人管理的全部集合资产管理计划投资于同一资产的资金，不得超过该资产的25%，银行活期存款、国债、中央银行票据、政策性金融债、地方政府债券等中国证监会认可的投资品种除外。</w:t>
      </w:r>
    </w:p>
    <w:p w14:paraId="7AD7E770"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本计划符合《运作规定》组合投资的要求。</w:t>
      </w:r>
    </w:p>
    <w:p w14:paraId="47D6BED4"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本计划投资于其他资产管理产品的，计算本计划的总资产时按照穿透原则合并计算所投资资产管理产品的总资产。</w:t>
      </w:r>
    </w:p>
    <w:p w14:paraId="1463B0B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本计划的建仓期为自本计划成立之日起6个月。</w:t>
      </w:r>
    </w:p>
    <w:p w14:paraId="4F7E62C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本计划建仓期的投资活动，应当符合</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管理合同约定的投向和资产管理计划的风险收益特征。以现金管理为目的，投资于银行活期存款、货币市场基金的除外。</w:t>
      </w:r>
    </w:p>
    <w:p w14:paraId="3EA1068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建仓期结束后，资产管理计划的资产组合应当符合法律、行政法规、中国证监会规定和合同约定的投向和比例。</w:t>
      </w:r>
    </w:p>
    <w:p w14:paraId="42850B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本计划减</w:t>
      </w:r>
      <w:proofErr w:type="gramStart"/>
      <w:r>
        <w:rPr>
          <w:rFonts w:ascii="宋体" w:eastAsia="宋体" w:hAnsi="宋体" w:cs="宋体" w:hint="eastAsia"/>
          <w:sz w:val="21"/>
          <w:szCs w:val="21"/>
        </w:rPr>
        <w:t>持期自计划</w:t>
      </w:r>
      <w:proofErr w:type="gramEnd"/>
      <w:r>
        <w:rPr>
          <w:rFonts w:ascii="宋体" w:eastAsia="宋体" w:hAnsi="宋体" w:cs="宋体" w:hint="eastAsia"/>
          <w:sz w:val="21"/>
          <w:szCs w:val="21"/>
        </w:rPr>
        <w:t>终止之日前6个月内，</w:t>
      </w:r>
      <w:proofErr w:type="gramStart"/>
      <w:r>
        <w:rPr>
          <w:rFonts w:ascii="宋体" w:eastAsia="宋体" w:hAnsi="宋体" w:cs="宋体" w:hint="eastAsia"/>
          <w:sz w:val="21"/>
          <w:szCs w:val="21"/>
        </w:rPr>
        <w:t>减持期内</w:t>
      </w:r>
      <w:proofErr w:type="gramEnd"/>
      <w:r>
        <w:rPr>
          <w:rFonts w:ascii="宋体" w:eastAsia="宋体" w:hAnsi="宋体" w:cs="宋体" w:hint="eastAsia"/>
          <w:sz w:val="21"/>
          <w:szCs w:val="21"/>
        </w:rPr>
        <w:t>的投资比例可以不受上述限制。</w:t>
      </w:r>
    </w:p>
    <w:p w14:paraId="0526EEC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除上述情况外，本计划改变投向和比例的，应当事先取得全体资产委托人及资产托管人同意，并按规定履行合同变更程序。</w:t>
      </w:r>
    </w:p>
    <w:p w14:paraId="41A3B2F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法律法规或监管部门取消上述限制，如适用于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管理计划，资产管理人在取得全体资产委托人及资产托管人同意后，本计划投资不再受相关限制。法律法规或监管部门另有规定的，从其规定。</w:t>
      </w:r>
    </w:p>
    <w:p w14:paraId="4015AA0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（三）投资比例超限的处理方式</w:t>
      </w:r>
    </w:p>
    <w:p w14:paraId="1A29023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存续期间，资产管理人应当严格按照法律、行政法规、中国证监会规定以及合同约定的投向和比例进行资产管理计划的投资运作。资产管理计划改变投向和比例的，应当事先取得全体投资者及资产托管人同意，并按规定履行合同变更程序。</w:t>
      </w:r>
    </w:p>
    <w:p w14:paraId="32470E3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因证券期货市场波动、证券发行人合并、资产管理计划规模变动等资产管理人之外的因素导致资产管理计划投资不符合法律、行政法规和中国证监会规定的投资比例或者合同约定的投资比例的，资产管理人应当在流动性受限资产可出售、可转让或者恢复交易的十五个交易日内调整至符合相关要求。确有特殊事由未能在规定时间内完成调整的，管理人应当及时向中国证监会相关派出机构和证券投资基金业协会报告。</w:t>
      </w:r>
    </w:p>
    <w:p w14:paraId="6AF90EB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（四）投资策略</w:t>
      </w:r>
    </w:p>
    <w:p w14:paraId="6FB6B8A1"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1、股票投资策略</w:t>
      </w:r>
    </w:p>
    <w:p w14:paraId="4FD5E835"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结合市场环境灵活运用多种投资策略，多维</w:t>
      </w:r>
      <w:proofErr w:type="gramStart"/>
      <w:r>
        <w:rPr>
          <w:rFonts w:ascii="宋体" w:eastAsia="宋体" w:hAnsi="宋体" w:cs="宋体" w:hint="eastAsia"/>
          <w:bCs/>
          <w:sz w:val="21"/>
          <w:szCs w:val="21"/>
          <w:lang w:val="en-GB"/>
        </w:rPr>
        <w:t>度分析</w:t>
      </w:r>
      <w:proofErr w:type="gramEnd"/>
      <w:r>
        <w:rPr>
          <w:rFonts w:ascii="宋体" w:eastAsia="宋体" w:hAnsi="宋体" w:cs="宋体" w:hint="eastAsia"/>
          <w:bCs/>
          <w:sz w:val="21"/>
          <w:szCs w:val="21"/>
          <w:lang w:val="en-GB"/>
        </w:rPr>
        <w:t>股票的投资价值，挖掘市场中潜在的投资机会。</w:t>
      </w:r>
    </w:p>
    <w:p w14:paraId="5C3A0C7F"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2、期货等衍生</w:t>
      </w:r>
      <w:proofErr w:type="gramStart"/>
      <w:r>
        <w:rPr>
          <w:rFonts w:ascii="宋体" w:eastAsia="宋体" w:hAnsi="宋体" w:cs="宋体" w:hint="eastAsia"/>
          <w:bCs/>
          <w:sz w:val="21"/>
          <w:szCs w:val="21"/>
          <w:lang w:val="en-GB"/>
        </w:rPr>
        <w:t>品投资</w:t>
      </w:r>
      <w:proofErr w:type="gramEnd"/>
      <w:r>
        <w:rPr>
          <w:rFonts w:ascii="宋体" w:eastAsia="宋体" w:hAnsi="宋体" w:cs="宋体" w:hint="eastAsia"/>
          <w:bCs/>
          <w:sz w:val="21"/>
          <w:szCs w:val="21"/>
          <w:lang w:val="en-GB"/>
        </w:rPr>
        <w:t>策略</w:t>
      </w:r>
    </w:p>
    <w:p w14:paraId="39FE5CC6"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根据市场环境可采用趋势交易、套期保值、商品CTA、跨期</w:t>
      </w:r>
      <w:proofErr w:type="gramStart"/>
      <w:r>
        <w:rPr>
          <w:rFonts w:ascii="宋体" w:eastAsia="宋体" w:hAnsi="宋体" w:cs="宋体" w:hint="eastAsia"/>
          <w:bCs/>
          <w:sz w:val="21"/>
          <w:szCs w:val="21"/>
          <w:lang w:val="en-GB"/>
        </w:rPr>
        <w:t>跨品种</w:t>
      </w:r>
      <w:proofErr w:type="gramEnd"/>
      <w:r>
        <w:rPr>
          <w:rFonts w:ascii="宋体" w:eastAsia="宋体" w:hAnsi="宋体" w:cs="宋体" w:hint="eastAsia"/>
          <w:bCs/>
          <w:sz w:val="21"/>
          <w:szCs w:val="21"/>
          <w:lang w:val="en-GB"/>
        </w:rPr>
        <w:t>套利、期权套利等策略。</w:t>
      </w:r>
    </w:p>
    <w:p w14:paraId="6E39DC56"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3、基金投资策略</w:t>
      </w:r>
    </w:p>
    <w:p w14:paraId="3CC6C93A"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结合定量分析与定性分析，从基金分类、风险收益特征等方面对公</w:t>
      </w:r>
      <w:proofErr w:type="gramStart"/>
      <w:r>
        <w:rPr>
          <w:rFonts w:ascii="宋体" w:eastAsia="宋体" w:hAnsi="宋体" w:cs="宋体" w:hint="eastAsia"/>
          <w:bCs/>
          <w:sz w:val="21"/>
          <w:szCs w:val="21"/>
          <w:lang w:val="en-GB"/>
        </w:rPr>
        <w:t>募</w:t>
      </w:r>
      <w:proofErr w:type="gramEnd"/>
      <w:r>
        <w:rPr>
          <w:rFonts w:ascii="宋体" w:eastAsia="宋体" w:hAnsi="宋体" w:cs="宋体" w:hint="eastAsia"/>
          <w:bCs/>
          <w:sz w:val="21"/>
          <w:szCs w:val="21"/>
          <w:lang w:val="en-GB"/>
        </w:rPr>
        <w:t>基金进行评估，精选合适的投资标的，建立公</w:t>
      </w:r>
      <w:proofErr w:type="gramStart"/>
      <w:r>
        <w:rPr>
          <w:rFonts w:ascii="宋体" w:eastAsia="宋体" w:hAnsi="宋体" w:cs="宋体" w:hint="eastAsia"/>
          <w:bCs/>
          <w:sz w:val="21"/>
          <w:szCs w:val="21"/>
          <w:lang w:val="en-GB"/>
        </w:rPr>
        <w:t>募基金</w:t>
      </w:r>
      <w:proofErr w:type="gramEnd"/>
      <w:r>
        <w:rPr>
          <w:rFonts w:ascii="宋体" w:eastAsia="宋体" w:hAnsi="宋体" w:cs="宋体" w:hint="eastAsia"/>
          <w:bCs/>
          <w:sz w:val="21"/>
          <w:szCs w:val="21"/>
          <w:lang w:val="en-GB"/>
        </w:rPr>
        <w:t>投资组合。</w:t>
      </w:r>
    </w:p>
    <w:p w14:paraId="312284D2"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rPr>
        <w:t>4</w:t>
      </w:r>
      <w:r>
        <w:rPr>
          <w:rFonts w:ascii="宋体" w:eastAsia="宋体" w:hAnsi="宋体" w:cs="宋体" w:hint="eastAsia"/>
          <w:bCs/>
          <w:sz w:val="21"/>
          <w:szCs w:val="21"/>
          <w:lang w:val="en-GB"/>
        </w:rPr>
        <w:t>、债券投资策略</w:t>
      </w:r>
    </w:p>
    <w:p w14:paraId="144E4276"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坚守配置：底仓严控信用风险，秉持分散化为原则，完成基础配置工作；通过长期持有合意资产，在账户生命周期中，力争赚取稳定的利息收益；</w:t>
      </w:r>
    </w:p>
    <w:p w14:paraId="19585800" w14:textId="77777777" w:rsidR="00D4368C" w:rsidRDefault="001710E2">
      <w:pPr>
        <w:spacing w:line="360" w:lineRule="auto"/>
        <w:ind w:firstLine="480"/>
        <w:rPr>
          <w:rFonts w:eastAsia="宋体"/>
        </w:rPr>
      </w:pPr>
      <w:r>
        <w:rPr>
          <w:rFonts w:ascii="宋体" w:eastAsia="宋体" w:hAnsi="宋体" w:cs="宋体" w:hint="eastAsia"/>
          <w:bCs/>
          <w:sz w:val="21"/>
          <w:szCs w:val="21"/>
          <w:lang w:val="en-GB"/>
        </w:rPr>
        <w:t>择机交易：存续期内，视市场情况变化，通过杠杆的调整，来捕捉交易性机会，力争赚取资本利得。</w:t>
      </w:r>
    </w:p>
    <w:p w14:paraId="6D34B524"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rPr>
        <w:t>5</w:t>
      </w:r>
      <w:r>
        <w:rPr>
          <w:rFonts w:ascii="宋体" w:eastAsia="宋体" w:hAnsi="宋体" w:cs="宋体" w:hint="eastAsia"/>
          <w:bCs/>
          <w:sz w:val="21"/>
          <w:szCs w:val="21"/>
          <w:lang w:val="en-GB"/>
        </w:rPr>
        <w:t xml:space="preserve">、现金类资产投资策略 </w:t>
      </w:r>
    </w:p>
    <w:p w14:paraId="1A160850" w14:textId="77777777" w:rsidR="00D4368C" w:rsidRDefault="001710E2">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在确定总体流动性要求的基础上，结合不同类型货币市场工具的流动性和货币市场预期收益水平对现金类资产进行配置。</w:t>
      </w:r>
    </w:p>
    <w:p w14:paraId="5A499DA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（五）投资限制</w:t>
      </w:r>
    </w:p>
    <w:p w14:paraId="55312F0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除投资范围部分规定的投资比例限制外，本计划还需遵循以下限制： </w:t>
      </w:r>
    </w:p>
    <w:p w14:paraId="5AE553C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1、本计划不得投资除公</w:t>
      </w:r>
      <w:proofErr w:type="gramStart"/>
      <w:r>
        <w:rPr>
          <w:rFonts w:ascii="宋体" w:eastAsia="宋体" w:hAnsi="宋体" w:cs="宋体" w:hint="eastAsia"/>
          <w:sz w:val="21"/>
          <w:szCs w:val="21"/>
        </w:rPr>
        <w:t>募基金</w:t>
      </w:r>
      <w:proofErr w:type="gramEnd"/>
      <w:r>
        <w:rPr>
          <w:rFonts w:ascii="宋体" w:eastAsia="宋体" w:hAnsi="宋体" w:cs="宋体" w:hint="eastAsia"/>
          <w:sz w:val="21"/>
          <w:szCs w:val="21"/>
        </w:rPr>
        <w:t>以外的其他资产管理产品；</w:t>
      </w:r>
    </w:p>
    <w:p w14:paraId="2ACC541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2、本计划不得主动投资S、ST、*ST、S*ST及SST类股票；</w:t>
      </w:r>
    </w:p>
    <w:p w14:paraId="7BC2927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3、参与股票等证券发行申购时，所申报的金额不得超过计划的总资产，所申报的数量不得超过拟发行公司本次发行的总量；</w:t>
      </w:r>
    </w:p>
    <w:p w14:paraId="72794A6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4、本计划总资产不得超过本计划净资产的200%；</w:t>
      </w:r>
    </w:p>
    <w:p w14:paraId="3228186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5、本计划开放退出期内，资产组合中7个工作日可变现资产的价值，不低于本计划资产净值的10%；</w:t>
      </w:r>
    </w:p>
    <w:p w14:paraId="473BF55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6、本计划主动投资于流动性受限资产的市值在开放退出期内合计不得超过本计划资产净值的20%；</w:t>
      </w:r>
    </w:p>
    <w:p w14:paraId="623EE11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7、本计划投资资产支持证券所投资基础资产不包含信托计划、私募基金、</w:t>
      </w:r>
      <w:proofErr w:type="gramStart"/>
      <w:r>
        <w:rPr>
          <w:rFonts w:ascii="宋体" w:eastAsia="宋体" w:hAnsi="宋体" w:cs="宋体" w:hint="eastAsia"/>
          <w:sz w:val="21"/>
          <w:szCs w:val="21"/>
        </w:rPr>
        <w:t>资管产品</w:t>
      </w:r>
      <w:proofErr w:type="gramEnd"/>
      <w:r>
        <w:rPr>
          <w:rFonts w:ascii="宋体" w:eastAsia="宋体" w:hAnsi="宋体" w:cs="宋体" w:hint="eastAsia"/>
          <w:sz w:val="21"/>
          <w:szCs w:val="21"/>
        </w:rPr>
        <w:t>和其他收（受）益权；</w:t>
      </w:r>
    </w:p>
    <w:p w14:paraId="214F1AA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8、本计划不得投资资产支持证券、资产支持票据的劣后级；</w:t>
      </w:r>
    </w:p>
    <w:p w14:paraId="72BF7CC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9、法律法规、中国证监会规定、自律规则及其他有关规定和合同约定禁止或限制的投资事项。</w:t>
      </w:r>
    </w:p>
    <w:p w14:paraId="3723740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计划存续期间有新的法律法规、监管政策对上述限制做出不同规定的，上述限制根据规定</w:t>
      </w:r>
      <w:r>
        <w:rPr>
          <w:rFonts w:ascii="宋体" w:eastAsia="宋体" w:hAnsi="宋体" w:cs="宋体"/>
          <w:sz w:val="21"/>
          <w:szCs w:val="21"/>
        </w:rPr>
        <w:t>履行相应手续后做相应调整。</w:t>
      </w:r>
    </w:p>
    <w:p w14:paraId="6627FDB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因证券期货市场波动、证券发行人合并、资产管理计划规模变动等资产管理人之外的因素导致资产管理计划投资不符合法律法规和中国证监会规定的投资比例或者合同约定的投资比例的，资产管理人应当在流动性受限资产可出售、可转让或者恢复交易的十五个交易日内调整至符合相关要求。确有特殊事由未能在规定时间内完成调整的，资产管理人应当及时向中国证监会相关派出机构和证券投资基金业协会报告。</w:t>
      </w:r>
    </w:p>
    <w:p w14:paraId="273E7F3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（六）投资禁止</w:t>
      </w:r>
    </w:p>
    <w:p w14:paraId="23A38AB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本合同委托财产的投资禁止行为包括：</w:t>
      </w:r>
    </w:p>
    <w:p w14:paraId="540C921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1、承销证券；</w:t>
      </w:r>
    </w:p>
    <w:p w14:paraId="014DB53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2、违反规定向他人贷款或者提供担保；</w:t>
      </w:r>
    </w:p>
    <w:p w14:paraId="1D2D69D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3、从事承担无限责任的投资；</w:t>
      </w:r>
    </w:p>
    <w:p w14:paraId="7242A17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4、从事内幕交易、操纵证券交易价格及其他不正当的证券交易活动；</w:t>
      </w:r>
    </w:p>
    <w:p w14:paraId="013A473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5、不得直接投资于商业银行信贷资产；</w:t>
      </w:r>
    </w:p>
    <w:p w14:paraId="33C9C79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6、不得违规为地方政府及其部门提供融资，不得要求或者接受地方政府及其部门违规提供担保；</w:t>
      </w:r>
    </w:p>
    <w:p w14:paraId="5EFACCD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7、不得直接或者间接投资法律、行政法规和国家政策禁止投资的行业或领域；</w:t>
      </w:r>
    </w:p>
    <w:p w14:paraId="56902E8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8、不得直接或者间接投资于违反国家产业政策、环境保护政策的项目（证券市场投资除外）；</w:t>
      </w:r>
    </w:p>
    <w:p w14:paraId="7456B76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9、法律法规、监管机构、自律组织禁止的其他活动。</w:t>
      </w:r>
    </w:p>
    <w:p w14:paraId="3DC7D97E" w14:textId="77777777" w:rsidR="00D4368C" w:rsidRDefault="001710E2">
      <w:pPr>
        <w:spacing w:line="360" w:lineRule="auto"/>
        <w:ind w:firstLine="420"/>
        <w:rPr>
          <w:rFonts w:ascii="宋体" w:eastAsia="宋体" w:hAnsi="宋体" w:cs="宋体"/>
          <w:sz w:val="21"/>
          <w:szCs w:val="21"/>
        </w:rPr>
      </w:pPr>
      <w:proofErr w:type="gramStart"/>
      <w:r>
        <w:rPr>
          <w:rFonts w:ascii="宋体" w:eastAsia="宋体" w:hAnsi="宋体" w:cs="宋体" w:hint="eastAsia"/>
          <w:color w:val="000000"/>
          <w:sz w:val="21"/>
          <w:szCs w:val="21"/>
        </w:rPr>
        <w:t>若法律</w:t>
      </w:r>
      <w:proofErr w:type="gramEnd"/>
      <w:r>
        <w:rPr>
          <w:rFonts w:ascii="宋体" w:eastAsia="宋体" w:hAnsi="宋体" w:cs="宋体" w:hint="eastAsia"/>
          <w:color w:val="000000"/>
          <w:sz w:val="21"/>
          <w:szCs w:val="21"/>
        </w:rPr>
        <w:t>法规或监管部门取消或变更上述限制，则</w:t>
      </w:r>
      <w:proofErr w:type="gramStart"/>
      <w:r>
        <w:rPr>
          <w:rFonts w:ascii="宋体" w:eastAsia="宋体" w:hAnsi="宋体" w:cs="宋体" w:hint="eastAsia"/>
          <w:color w:val="000000"/>
          <w:sz w:val="21"/>
          <w:szCs w:val="21"/>
        </w:rPr>
        <w:t>本资产</w:t>
      </w:r>
      <w:proofErr w:type="gramEnd"/>
      <w:r>
        <w:rPr>
          <w:rFonts w:ascii="宋体" w:eastAsia="宋体" w:hAnsi="宋体" w:cs="宋体" w:hint="eastAsia"/>
          <w:color w:val="000000"/>
          <w:sz w:val="21"/>
          <w:szCs w:val="21"/>
        </w:rPr>
        <w:t>管理计划不再受相关限制或以变更后的规定为准。</w:t>
      </w:r>
    </w:p>
    <w:p w14:paraId="36EF8B38" w14:textId="77777777" w:rsidR="00D4368C" w:rsidRDefault="001710E2">
      <w:pPr>
        <w:spacing w:line="360" w:lineRule="auto"/>
        <w:ind w:firstLine="480"/>
        <w:rPr>
          <w:rFonts w:ascii="宋体" w:eastAsia="宋体" w:hAnsi="宋体" w:cs="宋体"/>
          <w:sz w:val="21"/>
          <w:szCs w:val="21"/>
        </w:rPr>
      </w:pPr>
      <w:bookmarkStart w:id="28" w:name="_Toc78208364"/>
      <w:r>
        <w:rPr>
          <w:rFonts w:ascii="宋体" w:eastAsia="宋体" w:hAnsi="宋体" w:cs="宋体" w:hint="eastAsia"/>
          <w:sz w:val="21"/>
          <w:szCs w:val="21"/>
        </w:rPr>
        <w:t>（七）投资政策的变更</w:t>
      </w:r>
    </w:p>
    <w:p w14:paraId="1EBCB205"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经全体资产委托人与资产管理人、资产托管人协商一致可对投资政策进行变更，变更投资政策应以书面形式</w:t>
      </w:r>
      <w:proofErr w:type="gramStart"/>
      <w:r>
        <w:rPr>
          <w:rFonts w:ascii="宋体" w:eastAsia="宋体" w:hAnsi="宋体" w:cs="宋体" w:hint="eastAsia"/>
          <w:bCs/>
          <w:sz w:val="21"/>
          <w:szCs w:val="21"/>
        </w:rPr>
        <w:t>作出</w:t>
      </w:r>
      <w:proofErr w:type="gramEnd"/>
      <w:r>
        <w:rPr>
          <w:rFonts w:ascii="宋体" w:eastAsia="宋体" w:hAnsi="宋体" w:cs="宋体" w:hint="eastAsia"/>
          <w:bCs/>
          <w:sz w:val="21"/>
          <w:szCs w:val="21"/>
        </w:rPr>
        <w:t>。投资政策变更应为调整投资组合及资产托管人做好营运准备留出必要、合理的时间。</w:t>
      </w:r>
      <w:bookmarkEnd w:id="28"/>
      <w:r>
        <w:rPr>
          <w:rFonts w:ascii="宋体" w:eastAsia="宋体" w:hAnsi="宋体" w:cs="宋体" w:hint="eastAsia"/>
          <w:bCs/>
          <w:sz w:val="21"/>
          <w:szCs w:val="21"/>
        </w:rPr>
        <w:t>资产管理人应及时告知资产托管人该等变更。</w:t>
      </w:r>
    </w:p>
    <w:p w14:paraId="48063904"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（八）建仓期</w:t>
      </w:r>
    </w:p>
    <w:p w14:paraId="31C62812"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本计划的建仓期为自本计划成立之日起6个月。</w:t>
      </w:r>
    </w:p>
    <w:p w14:paraId="19FBF74F"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本计划建仓期的投资活动，应当符合</w:t>
      </w:r>
      <w:proofErr w:type="gramStart"/>
      <w:r>
        <w:rPr>
          <w:rFonts w:ascii="宋体" w:eastAsia="宋体" w:hAnsi="宋体" w:cs="宋体" w:hint="eastAsia"/>
          <w:bCs/>
          <w:sz w:val="21"/>
          <w:szCs w:val="21"/>
        </w:rPr>
        <w:t>本资产</w:t>
      </w:r>
      <w:proofErr w:type="gramEnd"/>
      <w:r>
        <w:rPr>
          <w:rFonts w:ascii="宋体" w:eastAsia="宋体" w:hAnsi="宋体" w:cs="宋体" w:hint="eastAsia"/>
          <w:bCs/>
          <w:sz w:val="21"/>
          <w:szCs w:val="21"/>
        </w:rPr>
        <w:t>管理合同约定的投向和资产管理计划的风险收益特征。以现金管理为目的，投资于银行活期存款、货币市场基金的除外。</w:t>
      </w:r>
    </w:p>
    <w:p w14:paraId="724B5116"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建仓期结束后，资产管理计划的资产组合应当符合法律、行政法规、中国证监会规定和合同约定的投</w:t>
      </w:r>
      <w:r>
        <w:rPr>
          <w:rFonts w:ascii="宋体" w:eastAsia="宋体" w:hAnsi="宋体" w:cs="宋体" w:hint="eastAsia"/>
          <w:bCs/>
          <w:sz w:val="21"/>
          <w:szCs w:val="21"/>
        </w:rPr>
        <w:lastRenderedPageBreak/>
        <w:t>向和比例。</w:t>
      </w:r>
    </w:p>
    <w:p w14:paraId="4E72AC75"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（九）风险收益特征</w:t>
      </w:r>
    </w:p>
    <w:p w14:paraId="204EDAE6"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本计划风险等级为【R4】，适合专业投资者和风险识别、评估、承受能力为【C4、C5】的普通投资者。</w:t>
      </w:r>
    </w:p>
    <w:p w14:paraId="0C306D98"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本计划应开放期流动性需要，为保护计划份额持有人利益，开放期前资产管理人提前做好组合流动性管理。本计划每季度多次开放，在计划开放退出期内，资产组合中7个工作日可变现资产的价值，不低于本计划资产净值的10%，且本计划主动投资于流动性受限资产的市值在开放退出期内合计不得超过本计划资产净值的20%。本计划投资的资产组合的流动性与参与、退出安排相匹配。</w:t>
      </w:r>
    </w:p>
    <w:p w14:paraId="38E910FF"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（十一）业绩比较基准测算依据及测算过程</w:t>
      </w:r>
    </w:p>
    <w:p w14:paraId="603DE9FD"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本计划不设业绩比较基准。</w:t>
      </w:r>
    </w:p>
    <w:p w14:paraId="42468991"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（十二）预警止损安排</w:t>
      </w:r>
    </w:p>
    <w:p w14:paraId="271866C7"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1、预警线：本计划份额净值【0.7500】元。</w:t>
      </w:r>
    </w:p>
    <w:p w14:paraId="6E2BB7BB"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在本计划存续期内任何一个交易日T日，经托管人复核的T日计划份额净值不高于【0.7500】元的，管理人应于T+2日以电子邮件、电话或传真形式（以上任</w:t>
      </w:r>
      <w:proofErr w:type="gramStart"/>
      <w:r>
        <w:rPr>
          <w:rFonts w:ascii="宋体" w:eastAsia="宋体" w:hAnsi="宋体" w:cs="宋体" w:hint="eastAsia"/>
          <w:bCs/>
          <w:sz w:val="21"/>
          <w:szCs w:val="21"/>
        </w:rPr>
        <w:t>一</w:t>
      </w:r>
      <w:proofErr w:type="gramEnd"/>
      <w:r>
        <w:rPr>
          <w:rFonts w:ascii="宋体" w:eastAsia="宋体" w:hAnsi="宋体" w:cs="宋体" w:hint="eastAsia"/>
          <w:bCs/>
          <w:sz w:val="21"/>
          <w:szCs w:val="21"/>
        </w:rPr>
        <w:t>形式）向资产委托人提示投资风险。</w:t>
      </w:r>
    </w:p>
    <w:p w14:paraId="1E34802A"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2、本计划不设止损线。</w:t>
      </w:r>
    </w:p>
    <w:p w14:paraId="5F258F37"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（十三）计提或预留风险准备金</w:t>
      </w:r>
    </w:p>
    <w:p w14:paraId="3EF42784"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管理人应按照法律、行政法规以及中国证监会的规定计提或预留风险准备金，风险准备金计提比例不得低于管理费收入的10%，风险准备金余额达到上季末资产管理计划资产净值的1%时可以不再提取。管理人按照规定计量操作风险资本或相应风险资本准备，视为管理人已计提风险准备金。</w:t>
      </w:r>
      <w:proofErr w:type="gramStart"/>
      <w:r>
        <w:rPr>
          <w:rFonts w:ascii="宋体" w:eastAsia="宋体" w:hAnsi="宋体" w:cs="宋体" w:hint="eastAsia"/>
          <w:bCs/>
          <w:sz w:val="21"/>
          <w:szCs w:val="21"/>
        </w:rPr>
        <w:t>若资产</w:t>
      </w:r>
      <w:proofErr w:type="gramEnd"/>
      <w:r>
        <w:rPr>
          <w:rFonts w:ascii="宋体" w:eastAsia="宋体" w:hAnsi="宋体" w:cs="宋体" w:hint="eastAsia"/>
          <w:bCs/>
          <w:sz w:val="21"/>
          <w:szCs w:val="21"/>
        </w:rPr>
        <w:t>管理人未根据上述要求计提风险准备金的，资产委托人有权要求在支付管理费时扣除一定费用作为预留风险准备金。</w:t>
      </w:r>
    </w:p>
    <w:p w14:paraId="379CDA6E" w14:textId="77777777" w:rsidR="00D4368C" w:rsidRDefault="00D4368C">
      <w:pPr>
        <w:spacing w:line="360" w:lineRule="auto"/>
        <w:ind w:firstLine="480"/>
        <w:rPr>
          <w:rFonts w:ascii="宋体" w:eastAsia="宋体" w:hAnsi="宋体" w:cs="宋体"/>
          <w:bCs/>
          <w:sz w:val="21"/>
          <w:szCs w:val="21"/>
        </w:rPr>
      </w:pPr>
    </w:p>
    <w:p w14:paraId="177481E2" w14:textId="77777777" w:rsidR="00D4368C" w:rsidRDefault="001710E2">
      <w:pPr>
        <w:pStyle w:val="Heading1"/>
        <w:spacing w:before="0" w:after="0" w:line="360" w:lineRule="auto"/>
        <w:jc w:val="center"/>
        <w:rPr>
          <w:rFonts w:ascii="宋体" w:eastAsia="宋体" w:hAnsi="宋体" w:cs="宋体"/>
          <w:sz w:val="21"/>
          <w:szCs w:val="21"/>
        </w:rPr>
      </w:pPr>
      <w:bookmarkStart w:id="29" w:name="_Toc70622191"/>
      <w:r>
        <w:rPr>
          <w:rFonts w:ascii="宋体" w:eastAsia="宋体" w:hAnsi="宋体" w:cs="宋体" w:hint="eastAsia"/>
          <w:sz w:val="21"/>
          <w:szCs w:val="21"/>
        </w:rPr>
        <w:t>十二、投资顾问</w:t>
      </w:r>
      <w:bookmarkEnd w:id="29"/>
    </w:p>
    <w:p w14:paraId="6BA77F5C" w14:textId="77777777" w:rsidR="00D4368C" w:rsidRDefault="001710E2">
      <w:pPr>
        <w:pStyle w:val="13"/>
        <w:spacing w:line="360" w:lineRule="auto"/>
        <w:ind w:firstLine="480"/>
        <w:rPr>
          <w:rFonts w:ascii="宋体" w:eastAsia="宋体" w:hAnsi="宋体" w:cs="宋体"/>
          <w:sz w:val="21"/>
          <w:szCs w:val="21"/>
        </w:rPr>
      </w:pPr>
      <w:r>
        <w:rPr>
          <w:rFonts w:ascii="宋体" w:eastAsia="宋体" w:hAnsi="宋体" w:cs="宋体" w:hint="eastAsia"/>
          <w:sz w:val="21"/>
          <w:szCs w:val="21"/>
        </w:rPr>
        <w:t>本计划成立之时不聘请投资顾问。</w:t>
      </w:r>
    </w:p>
    <w:p w14:paraId="13CDD879" w14:textId="77777777" w:rsidR="00D4368C" w:rsidRDefault="00D4368C">
      <w:pPr>
        <w:pStyle w:val="13"/>
        <w:spacing w:line="360" w:lineRule="auto"/>
        <w:ind w:left="240" w:firstLine="180"/>
        <w:rPr>
          <w:rFonts w:ascii="宋体" w:eastAsia="宋体" w:hAnsi="宋体" w:cs="宋体"/>
          <w:sz w:val="21"/>
          <w:szCs w:val="21"/>
        </w:rPr>
      </w:pPr>
    </w:p>
    <w:p w14:paraId="5AF64ABC" w14:textId="77777777" w:rsidR="00D4368C" w:rsidRDefault="001710E2">
      <w:pPr>
        <w:pStyle w:val="Heading1"/>
        <w:spacing w:before="0" w:after="0" w:line="360" w:lineRule="auto"/>
        <w:jc w:val="center"/>
        <w:rPr>
          <w:rFonts w:ascii="宋体" w:eastAsia="宋体" w:hAnsi="宋体" w:cs="宋体"/>
          <w:sz w:val="21"/>
          <w:szCs w:val="21"/>
        </w:rPr>
      </w:pPr>
      <w:bookmarkStart w:id="30" w:name="_Toc70622192"/>
      <w:r>
        <w:rPr>
          <w:rFonts w:ascii="宋体" w:eastAsia="宋体" w:hAnsi="宋体" w:cs="宋体" w:hint="eastAsia"/>
          <w:sz w:val="21"/>
          <w:szCs w:val="21"/>
        </w:rPr>
        <w:t>十三、分级安排</w:t>
      </w:r>
      <w:bookmarkEnd w:id="30"/>
    </w:p>
    <w:p w14:paraId="359DF1A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本计划不设分级安排。</w:t>
      </w:r>
    </w:p>
    <w:p w14:paraId="074C67F7" w14:textId="77777777" w:rsidR="00D4368C" w:rsidRDefault="00D4368C">
      <w:pPr>
        <w:spacing w:line="360" w:lineRule="auto"/>
        <w:ind w:firstLine="480"/>
        <w:rPr>
          <w:rFonts w:ascii="宋体" w:eastAsia="宋体" w:hAnsi="宋体" w:cs="宋体"/>
          <w:sz w:val="21"/>
          <w:szCs w:val="21"/>
        </w:rPr>
      </w:pPr>
    </w:p>
    <w:p w14:paraId="193D2F79" w14:textId="77777777" w:rsidR="00D4368C" w:rsidRDefault="001710E2">
      <w:pPr>
        <w:pStyle w:val="Heading1"/>
        <w:spacing w:before="0" w:after="0" w:line="360" w:lineRule="auto"/>
        <w:jc w:val="center"/>
        <w:rPr>
          <w:rFonts w:ascii="宋体" w:eastAsia="宋体" w:hAnsi="宋体" w:cs="宋体"/>
          <w:sz w:val="21"/>
          <w:szCs w:val="21"/>
        </w:rPr>
      </w:pPr>
      <w:bookmarkStart w:id="31" w:name="_Toc70622193"/>
      <w:r>
        <w:rPr>
          <w:rFonts w:ascii="宋体" w:eastAsia="宋体" w:hAnsi="宋体" w:cs="宋体" w:hint="eastAsia"/>
          <w:sz w:val="21"/>
          <w:szCs w:val="21"/>
        </w:rPr>
        <w:lastRenderedPageBreak/>
        <w:t>十四、利益冲突及关联交易</w:t>
      </w:r>
      <w:bookmarkEnd w:id="31"/>
    </w:p>
    <w:p w14:paraId="5B52E60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（一）关联交易及利益冲突情形</w:t>
      </w:r>
    </w:p>
    <w:p w14:paraId="164FC02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投资者在此同意并授权管理人在本合同约定的投资范围内，将本计划资产投资于管理人、托管人及前述机构的控股股东、实际控制人或者其他关联</w:t>
      </w:r>
      <w:proofErr w:type="gramStart"/>
      <w:r>
        <w:rPr>
          <w:rFonts w:ascii="宋体" w:eastAsia="宋体" w:hAnsi="宋体" w:cs="宋体" w:hint="eastAsia"/>
          <w:sz w:val="21"/>
          <w:szCs w:val="21"/>
        </w:rPr>
        <w:t>方发行</w:t>
      </w:r>
      <w:proofErr w:type="gramEnd"/>
      <w:r>
        <w:rPr>
          <w:rFonts w:ascii="宋体" w:eastAsia="宋体" w:hAnsi="宋体" w:cs="宋体" w:hint="eastAsia"/>
          <w:sz w:val="21"/>
          <w:szCs w:val="21"/>
        </w:rPr>
        <w:t>的证券或者承销期内承销的证券。资产管理人应当建立健全内部审批机制和评估机制，并应当遵循投资者利益优先原则，告知投资者和托管人，并采取切实有效措施，防范利益冲突，保护投资者合法权益。</w:t>
      </w:r>
      <w:r>
        <w:rPr>
          <w:rFonts w:ascii="宋体" w:eastAsia="宋体" w:hAnsi="宋体" w:cs="宋体" w:hint="eastAsia"/>
          <w:bCs/>
          <w:sz w:val="21"/>
          <w:szCs w:val="21"/>
        </w:rPr>
        <w:t>从事重大关联交易的，应向中国证监会相关派出机构和证券投资基金业协会报告，投资于证券期货的关联交易还应当向证券期货交易所报告。</w:t>
      </w:r>
    </w:p>
    <w:p w14:paraId="0C8AC287"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管理计划根据合同约定可在符合投资范围的情况下投资资产管理人所管理的基金，</w:t>
      </w:r>
      <w:r>
        <w:rPr>
          <w:rFonts w:ascii="宋体" w:eastAsia="宋体" w:hAnsi="宋体" w:cs="宋体" w:hint="eastAsia"/>
          <w:b/>
          <w:sz w:val="21"/>
          <w:szCs w:val="21"/>
        </w:rPr>
        <w:t>资产委托人同意</w:t>
      </w:r>
      <w:r>
        <w:rPr>
          <w:rFonts w:ascii="宋体" w:eastAsia="宋体" w:hAnsi="宋体" w:cs="宋体" w:hint="eastAsia"/>
          <w:sz w:val="21"/>
          <w:szCs w:val="21"/>
        </w:rPr>
        <w:t>本计划从事该等关联交易。</w:t>
      </w:r>
    </w:p>
    <w:p w14:paraId="4255774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不违反法律法规的强制性规定、不违反本合同约定的前提下，本计划可能投资于资产委托人、资产管理人、资产托管人及其关联方所发行、管理、保荐、托管、销售或存在其他法律关系或利益联系的金融产品，或者与该等金融产品以公平合理的价格进行交易。</w:t>
      </w:r>
    </w:p>
    <w:p w14:paraId="63CDCE8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管理人光大期货有限公司为光大证券股份有限公司的全资子公司。全体委托人知晓并同意本计划聘请光大证券股份有限公司担任</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服务商、注册登记机构。</w:t>
      </w:r>
    </w:p>
    <w:p w14:paraId="69784AC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（二）关联交易及利益冲突的应对及处理</w:t>
      </w:r>
    </w:p>
    <w:p w14:paraId="46D8E625"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bCs/>
          <w:sz w:val="21"/>
          <w:szCs w:val="21"/>
        </w:rPr>
        <w:t>资产管理人应建立健全内部控制和风险合</w:t>
      </w:r>
      <w:proofErr w:type="gramStart"/>
      <w:r>
        <w:rPr>
          <w:rFonts w:ascii="宋体" w:eastAsia="宋体" w:hAnsi="宋体" w:cs="宋体"/>
          <w:bCs/>
          <w:sz w:val="21"/>
          <w:szCs w:val="21"/>
        </w:rPr>
        <w:t>规</w:t>
      </w:r>
      <w:proofErr w:type="gramEnd"/>
      <w:r>
        <w:rPr>
          <w:rFonts w:ascii="宋体" w:eastAsia="宋体" w:hAnsi="宋体" w:cs="宋体"/>
          <w:bCs/>
          <w:sz w:val="21"/>
          <w:szCs w:val="21"/>
        </w:rPr>
        <w:t>管理制度，采取有效措施，做好充分的信息隔离和利益冲突管理，遵循投资者利益优先的原则，防范、管</w:t>
      </w:r>
      <w:proofErr w:type="gramStart"/>
      <w:r>
        <w:rPr>
          <w:rFonts w:ascii="宋体" w:eastAsia="宋体" w:hAnsi="宋体" w:cs="宋体"/>
          <w:bCs/>
          <w:sz w:val="21"/>
          <w:szCs w:val="21"/>
        </w:rPr>
        <w:t>控可能</w:t>
      </w:r>
      <w:proofErr w:type="gramEnd"/>
      <w:r>
        <w:rPr>
          <w:rFonts w:ascii="宋体" w:eastAsia="宋体" w:hAnsi="宋体" w:cs="宋体"/>
          <w:bCs/>
          <w:sz w:val="21"/>
          <w:szCs w:val="21"/>
        </w:rPr>
        <w:t>的利益冲突。资产委托人签署本合同即视为已经充分理解并同意资产管理人从事前文已经明确列明的关联交易情形，资产管理人无需就前述具体关联交易再行分别取得资产委托人的授权，但该等关联交易投资应按照市场通行的方式和条件参与，公平对待委托财产，不得存在内幕交易、利用非公开信息交易、操纵市场、利益输送等任何违法违规行为，防止利益冲突，不得损害投资者利益。对于资产管理计划在投资运作过程中从事关联交易的，事后应当及时、全面、客观的向资产委托人和托管人进行披露，并通过定期报告及时、全面、客观的向资产委托人和资产托管人进行披露及按相关规定进行报告或备案。若该等关联交易构成重大关联交易的，管理人应严格遵守法律、行政法规和中国证监会的规定以及本合同的约定，且应当事先取得资产委托人的同意，并应当提供充分证据证明未损害资产委托人利益。在交易完成后及时书面通知托管人，通过电子邮件告知投资者，并按相关规定报告或备案。</w:t>
      </w:r>
    </w:p>
    <w:p w14:paraId="0A01E1FA"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资产管理计划在投资运作过程中存在利益冲突情形的，资产管理人应当坚持资产委托人利益优先原则，从充分维护资产委托人利益角度积极处理该等利益冲突情形，防范利益输送等违法违规行为。在发生</w:t>
      </w:r>
      <w:r>
        <w:rPr>
          <w:rFonts w:ascii="宋体" w:eastAsia="宋体" w:hAnsi="宋体" w:cs="宋体" w:hint="eastAsia"/>
          <w:bCs/>
          <w:sz w:val="21"/>
          <w:szCs w:val="21"/>
        </w:rPr>
        <w:lastRenderedPageBreak/>
        <w:t>该等利益冲突时，资产管理人应当视具体利益冲突情形选择在向资产委托人提供的定期报告或临时报告中进行披露，具体披露内容包括利益冲突情形、处置方式、对资产委托人利益的影响等。</w:t>
      </w:r>
    </w:p>
    <w:p w14:paraId="0546E0B5"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（三）托管人应根据管理人的要求</w:t>
      </w:r>
      <w:r>
        <w:rPr>
          <w:rFonts w:ascii="宋体" w:eastAsia="宋体" w:hAnsi="宋体" w:cs="宋体"/>
          <w:bCs/>
          <w:sz w:val="21"/>
          <w:szCs w:val="21"/>
        </w:rPr>
        <w:t>及时提供关联方名单。</w:t>
      </w:r>
    </w:p>
    <w:p w14:paraId="0B272BAA" w14:textId="77777777" w:rsidR="00D4368C" w:rsidRDefault="001710E2">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（四）</w:t>
      </w:r>
      <w:r>
        <w:rPr>
          <w:rFonts w:ascii="宋体" w:eastAsia="宋体" w:hAnsi="宋体" w:cs="宋体" w:hint="eastAsia"/>
          <w:b/>
          <w:sz w:val="21"/>
          <w:szCs w:val="21"/>
        </w:rPr>
        <w:t>资产委托人签署本合同即表明其已经知晓并同意本计划可进行上述关联交易。资产委托人不得因本计划投资收益劣于管理人及其关联方管理的其他类似投资产品，而向管理人或托管人提出任何损失或损害补偿的要求。</w:t>
      </w:r>
    </w:p>
    <w:p w14:paraId="78C2DD2A" w14:textId="77777777" w:rsidR="00D4368C" w:rsidRDefault="00D4368C">
      <w:pPr>
        <w:spacing w:line="360" w:lineRule="auto"/>
        <w:ind w:firstLine="480"/>
        <w:rPr>
          <w:rFonts w:ascii="宋体" w:eastAsia="宋体" w:hAnsi="宋体" w:cs="宋体"/>
          <w:bCs/>
          <w:sz w:val="21"/>
          <w:szCs w:val="21"/>
        </w:rPr>
      </w:pPr>
    </w:p>
    <w:p w14:paraId="66AB8E3D" w14:textId="77777777" w:rsidR="00D4368C" w:rsidRDefault="001710E2">
      <w:pPr>
        <w:pStyle w:val="Heading1"/>
        <w:spacing w:before="0" w:after="0" w:line="360" w:lineRule="auto"/>
        <w:jc w:val="center"/>
        <w:rPr>
          <w:rFonts w:ascii="宋体" w:eastAsia="宋体" w:hAnsi="宋体" w:cs="宋体"/>
          <w:sz w:val="21"/>
          <w:szCs w:val="21"/>
        </w:rPr>
      </w:pPr>
      <w:bookmarkStart w:id="32" w:name="_Toc401668939"/>
      <w:bookmarkStart w:id="33" w:name="_Toc70622194"/>
      <w:r>
        <w:rPr>
          <w:rFonts w:ascii="宋体" w:eastAsia="宋体" w:hAnsi="宋体" w:cs="宋体" w:hint="eastAsia"/>
          <w:sz w:val="21"/>
          <w:szCs w:val="21"/>
        </w:rPr>
        <w:t>十五、投资经理的指定与变更</w:t>
      </w:r>
      <w:bookmarkEnd w:id="32"/>
      <w:bookmarkEnd w:id="33"/>
    </w:p>
    <w:p w14:paraId="5E7CAF4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本计划投资经理由资产管理人负责指定。</w:t>
      </w:r>
    </w:p>
    <w:p w14:paraId="705CE69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本计划投资经理基本信息如下：</w:t>
      </w:r>
    </w:p>
    <w:p w14:paraId="3707511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徐浩先生，上海交通大学工学硕士，现任光大期货有限公司资产管理部投资经理，无兼职情况，具有7年投资研究、投资管理等相关业务经验，熟悉量化策略研究。曾供职于中银国际期货有限责任公司、</w:t>
      </w:r>
      <w:proofErr w:type="gramStart"/>
      <w:r>
        <w:rPr>
          <w:rFonts w:ascii="宋体" w:eastAsia="宋体" w:hAnsi="宋体" w:cs="宋体" w:hint="eastAsia"/>
          <w:sz w:val="21"/>
          <w:szCs w:val="21"/>
        </w:rPr>
        <w:t>上海君耀投资</w:t>
      </w:r>
      <w:proofErr w:type="gramEnd"/>
      <w:r>
        <w:rPr>
          <w:rFonts w:ascii="宋体" w:eastAsia="宋体" w:hAnsi="宋体" w:cs="宋体" w:hint="eastAsia"/>
          <w:sz w:val="21"/>
          <w:szCs w:val="21"/>
        </w:rPr>
        <w:t>管理咨询合伙企业（有限合伙）、北京天演资本管理有限公司，从事投资研究、投资管理相关工作。</w:t>
      </w:r>
    </w:p>
    <w:p w14:paraId="2EBE297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14:paraId="504A3CE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需更换投资经理的情形包括但不限于：（1）投资经理辞职/离职；（2）投资经理内部调整；（3）其他原因需要更换投资经理。</w:t>
      </w:r>
    </w:p>
    <w:p w14:paraId="4B0E84D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若发生上述情形或其他原因变更投资经理，资产管理人需在变更后5个工作日内将新投资经理的姓名和简历以管理人网站公告或其他符合合同约定的方式告知资产委托人和资产托管人。</w:t>
      </w:r>
    </w:p>
    <w:p w14:paraId="070B04AD" w14:textId="77777777" w:rsidR="00D4368C" w:rsidRDefault="00D4368C">
      <w:pPr>
        <w:spacing w:line="360" w:lineRule="auto"/>
        <w:ind w:firstLine="480"/>
        <w:rPr>
          <w:rFonts w:ascii="宋体" w:eastAsia="宋体" w:hAnsi="宋体" w:cs="宋体"/>
          <w:b/>
          <w:sz w:val="21"/>
          <w:szCs w:val="21"/>
        </w:rPr>
      </w:pPr>
    </w:p>
    <w:p w14:paraId="4CBF08C9" w14:textId="77777777" w:rsidR="00D4368C" w:rsidRDefault="001710E2">
      <w:pPr>
        <w:pStyle w:val="Heading1"/>
        <w:spacing w:before="0" w:after="0" w:line="360" w:lineRule="auto"/>
        <w:jc w:val="center"/>
        <w:rPr>
          <w:rFonts w:ascii="宋体" w:eastAsia="宋体" w:hAnsi="宋体" w:cs="宋体"/>
          <w:sz w:val="21"/>
          <w:szCs w:val="21"/>
        </w:rPr>
      </w:pPr>
      <w:bookmarkStart w:id="34" w:name="_Toc70622195"/>
      <w:bookmarkStart w:id="35" w:name="_Toc401668940"/>
      <w:r>
        <w:rPr>
          <w:rFonts w:ascii="宋体" w:eastAsia="宋体" w:hAnsi="宋体" w:cs="宋体" w:hint="eastAsia"/>
          <w:sz w:val="21"/>
          <w:szCs w:val="21"/>
        </w:rPr>
        <w:t>十六、资产管理计划的财产</w:t>
      </w:r>
      <w:bookmarkEnd w:id="23"/>
      <w:bookmarkEnd w:id="34"/>
      <w:bookmarkEnd w:id="35"/>
    </w:p>
    <w:p w14:paraId="57C0D9B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（一）资产管理计划财产的保管与处分</w:t>
      </w:r>
    </w:p>
    <w:p w14:paraId="1C6E15E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1、资产管理计划财产的债务由资产管理计划财产本身承担责任，资产委托人以其出资为限对资产管理计划财产的债务承担责任。</w:t>
      </w:r>
    </w:p>
    <w:p w14:paraId="464A39F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2、资产管理计划财产独立于资产管理人、资产托管人的固有财产，并独立于管理人管理的和托管人托管的其他财产。资产管理人、资产托管人不得将资产管理计划财产归入其固有财产。</w:t>
      </w:r>
    </w:p>
    <w:p w14:paraId="289FBCA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3、资产管理人、资产托管人因资产管理计划财产的管理、运用或者其他情形而取得的财产和收益，</w:t>
      </w:r>
      <w:r>
        <w:rPr>
          <w:rFonts w:ascii="宋体" w:eastAsia="宋体" w:hAnsi="宋体" w:cs="宋体" w:hint="eastAsia"/>
          <w:sz w:val="21"/>
          <w:szCs w:val="21"/>
        </w:rPr>
        <w:lastRenderedPageBreak/>
        <w:t>归入资产管理计划财产。</w:t>
      </w:r>
    </w:p>
    <w:p w14:paraId="13147A4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管理人、资产托管人可以按照本合同的约定收取管理费、托管费以及本合同约定的其他费用。资产管理人、资产托管人以其固有财产承担法律责任，其债权人不得对资产管理计划财产行使请求冻结、扣押和其他权利。资产管理人、资产托管人因依法解散、被依法撤销或者被依法宣告破产等原因进行清算的，资产管理计划财产不属于其清算财产。</w:t>
      </w:r>
    </w:p>
    <w:p w14:paraId="13A2DC9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5、资产管理计划财产产生的债权不得与不属于资产管理计划财产本身的债务相互</w:t>
      </w:r>
      <w:proofErr w:type="gramStart"/>
      <w:r>
        <w:rPr>
          <w:rFonts w:ascii="宋体" w:eastAsia="宋体" w:hAnsi="宋体" w:cs="宋体" w:hint="eastAsia"/>
          <w:sz w:val="21"/>
          <w:szCs w:val="21"/>
        </w:rPr>
        <w:t>抵销</w:t>
      </w:r>
      <w:proofErr w:type="gramEnd"/>
      <w:r>
        <w:rPr>
          <w:rFonts w:ascii="宋体" w:eastAsia="宋体" w:hAnsi="宋体" w:cs="宋体" w:hint="eastAsia"/>
          <w:sz w:val="21"/>
          <w:szCs w:val="21"/>
        </w:rPr>
        <w:t>。非因资产管理计划财产本身承担的债务，资产管理人、资产托管人不得主张其债权人对资产管理计划财产强制执行。上述债权人对资产管理计划财产主张权利时，资产管理人、资产托管人应明确告知资产管理计划财产的独立性，采取合理措施并及时通知投资者。</w:t>
      </w:r>
    </w:p>
    <w:p w14:paraId="69F46F0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（二）资产管理计划财产相关账户的开立和管理</w:t>
      </w:r>
    </w:p>
    <w:p w14:paraId="615557C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资产托管人按照规定开立资产管理计划财产的资金账户、证券账户等投资所需账户，资产管理人应给予必要的配合，并提供所需资料。</w:t>
      </w:r>
    </w:p>
    <w:p w14:paraId="221487F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托管资金账户户名为：光大期货-光大理财阳光精选2号集合资产管理计划</w:t>
      </w:r>
    </w:p>
    <w:p w14:paraId="08B1DEF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开户行：中国光大银行上海分行营业部</w:t>
      </w:r>
    </w:p>
    <w:p w14:paraId="2AC2517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银行托管账户由资产托管人负责管理和使用。计划财产的一切货币收支活动均通过该资金账户进行。</w:t>
      </w:r>
    </w:p>
    <w:p w14:paraId="7BBCFA0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开立定期存款账户时，定期存款账户的户名应与托管账户户名一致，本着便于委托资产的安全保管和日常监督核查的原则，存款行应尽量选择托管账户所在地的分支机构。对于跨行定期存款投资，管理人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专户（明确户名、开户行、账号等），不得划入其他任何账户”。并依照本协议交接原则对存单交接流程予以明确。如定期存款协议中未体现前述条款，托管人有权拒绝定期存款投资的划款指令。对于跨行存款，管理人需提前与托管人就定期存款协议及存单交接流程进行沟通（托管人定期存款业务联系人：【王晶010-63639140；wangjing321@cebbank.com】）。除非存款协议中规定存款证实书由存款行保管或存款协议作为存款支取的依据，存单交接原则上采用存款行上门服务、资产管理人负责监交的方式。特殊情况下，采用资产管理人交接存单的方式。在取得存款证实书后，托管人保管证实书正本。管理人需对存款行的选择承担责任，并指定专人在核实存款行授权人员身份信息后，负责印鉴卡与存款证实书等凭证的监交或交接，以确保与托管人所交接凭证的真实性、准确性和完整性。对于托管人实际控制外的资产产生的风险，由过错方或侵权方承担责任。跨行定期存款账户的预留印鉴为托管人托</w:t>
      </w:r>
      <w:r>
        <w:rPr>
          <w:rFonts w:ascii="宋体" w:eastAsia="宋体" w:hAnsi="宋体" w:cs="宋体"/>
          <w:sz w:val="21"/>
          <w:szCs w:val="21"/>
        </w:rPr>
        <w:lastRenderedPageBreak/>
        <w:t>管业务专用章与托管业务授权人名章。</w:t>
      </w:r>
    </w:p>
    <w:p w14:paraId="1BCFF12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证券账户和期货账户的持有人名称应当符合证券、期货登记结算机构的有关规定。资金账户名称以实际开立账户名称为准，证券账户、期货账户名称应当是“证券期货经营机构名称－托管人名称－资产管理计划名称”， 具体以实际开立为准。</w:t>
      </w:r>
    </w:p>
    <w:p w14:paraId="1363112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委托财产存放于资产托管人开立的资金账户中的存款利率适用托管人公布的存款利率。</w:t>
      </w:r>
    </w:p>
    <w:p w14:paraId="5A95D08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（三）其他账户的开设和管理</w:t>
      </w:r>
    </w:p>
    <w:p w14:paraId="406E5A5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因业务发展而需要开立的其他账户，应由托管人或管理人根据有关法律法规的规定开立。新账户按有关规则管理并使用。因投资运作而需要开立的其他账户，由托管人或管理人根据有关法律法规或注册机构的规定开立。如该账户是以管理人名义开立，由管理人负责开立的，管理人应保证该账户专款专用，可聘请资金监管机构对该账户的资金划付进行监管。相应的投资回款及收益，也由管理人负责及时原路划回托管账户，已聘请资金监管机构的，管理人应配合资金监管机构完成投资回款的划付。管理人开立此类账户后需及时通知托管人。</w:t>
      </w:r>
    </w:p>
    <w:p w14:paraId="648D4A8B" w14:textId="77777777" w:rsidR="00D4368C" w:rsidRDefault="001710E2">
      <w:pPr>
        <w:pStyle w:val="Heading1"/>
        <w:spacing w:before="0" w:after="0" w:line="360" w:lineRule="auto"/>
        <w:jc w:val="center"/>
        <w:rPr>
          <w:rFonts w:ascii="宋体" w:eastAsia="宋体" w:hAnsi="宋体" w:cs="宋体"/>
          <w:sz w:val="21"/>
          <w:szCs w:val="21"/>
        </w:rPr>
      </w:pPr>
      <w:bookmarkStart w:id="36" w:name="_Toc194741911"/>
      <w:bookmarkStart w:id="37" w:name="_Toc70622196"/>
      <w:bookmarkStart w:id="38" w:name="_Toc401668941"/>
      <w:r>
        <w:rPr>
          <w:rFonts w:ascii="宋体" w:eastAsia="宋体" w:hAnsi="宋体" w:cs="宋体" w:hint="eastAsia"/>
          <w:sz w:val="21"/>
          <w:szCs w:val="21"/>
        </w:rPr>
        <w:t>十七、投资指令的发送、确认与执行</w:t>
      </w:r>
      <w:bookmarkEnd w:id="36"/>
      <w:bookmarkEnd w:id="37"/>
      <w:bookmarkEnd w:id="38"/>
    </w:p>
    <w:p w14:paraId="1B71AF82"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（一）交易清算授权</w:t>
      </w:r>
    </w:p>
    <w:p w14:paraId="7366CF1D"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资产管理人应当事先向资产托管人发出《划款指令授权书》（附件4，以下简称“划款指令授权书”），划款指令授权书中应包括被授权签发人的名单、权限、预留印鉴和签字样本，并注明相应的交易权限。划款指令授权书应由资产管理人加盖公章并由法定代表人或其授权签字人签署，若由授权签字人签署，还应附上法定代表人的授权书。资产管理人发出划款指令授权书后向托管人电话确认。划款指令授权书应以原件形式送达资产托管人，划款指令授权书于通知载明时间生效。若托管人收到划款指令授权书的日期晚于其中注明的生效日期，划款指令授权书自托管人收到的日期起开始生效。管理人应于之后的5个交易日内将授权文件原件送达托管人。传真件与原件记载不一致的，以传真件为准。管理人、委托人和托管人对划款指令授权书负有保密义务，其内容不得向授权人、被授权人及相关操作人员以外的任何人泄露, 但法律法规或有权机关另有要求除外。</w:t>
      </w:r>
    </w:p>
    <w:p w14:paraId="4A2470EA" w14:textId="77777777" w:rsidR="00D4368C" w:rsidRDefault="001710E2">
      <w:pPr>
        <w:spacing w:line="360" w:lineRule="auto"/>
        <w:ind w:firstLine="435"/>
        <w:jc w:val="left"/>
        <w:rPr>
          <w:rFonts w:ascii="宋体" w:eastAsia="宋体" w:hAnsi="宋体" w:cs="宋体"/>
          <w:sz w:val="21"/>
          <w:szCs w:val="21"/>
        </w:rPr>
      </w:pPr>
      <w:r>
        <w:rPr>
          <w:rFonts w:ascii="宋体" w:eastAsia="宋体" w:hAnsi="宋体" w:cs="宋体" w:hint="eastAsia"/>
          <w:sz w:val="21"/>
          <w:szCs w:val="21"/>
        </w:rPr>
        <w:t>（二）投资指令的内容</w:t>
      </w:r>
    </w:p>
    <w:p w14:paraId="730C91B4" w14:textId="77777777" w:rsidR="00D4368C" w:rsidRDefault="001710E2">
      <w:pPr>
        <w:spacing w:line="360" w:lineRule="auto"/>
        <w:ind w:firstLine="435"/>
        <w:jc w:val="left"/>
        <w:rPr>
          <w:rFonts w:ascii="宋体" w:eastAsia="宋体" w:hAnsi="宋体" w:cs="宋体"/>
          <w:sz w:val="21"/>
          <w:szCs w:val="21"/>
        </w:rPr>
      </w:pPr>
      <w:r>
        <w:rPr>
          <w:rFonts w:ascii="宋体" w:eastAsia="宋体" w:hAnsi="宋体" w:cs="宋体" w:hint="eastAsia"/>
          <w:sz w:val="21"/>
          <w:szCs w:val="21"/>
        </w:rPr>
        <w:t>1、指令包括资产管理人在运作计划资产时，向资产托管人发出的资金划拨指令，包括付款指令（含退出、收益分配付款指令）及其他资金划拨指令等。</w:t>
      </w:r>
    </w:p>
    <w:p w14:paraId="443E9848" w14:textId="77777777" w:rsidR="00D4368C" w:rsidRDefault="001710E2">
      <w:pPr>
        <w:spacing w:line="360" w:lineRule="auto"/>
        <w:ind w:firstLine="420"/>
        <w:rPr>
          <w:rFonts w:ascii="宋体" w:eastAsia="宋体" w:hAnsi="宋体" w:cs="宋体"/>
          <w:sz w:val="21"/>
          <w:szCs w:val="21"/>
        </w:rPr>
      </w:pPr>
      <w:r>
        <w:rPr>
          <w:rFonts w:ascii="宋体" w:eastAsia="宋体" w:hAnsi="宋体" w:cs="宋体" w:hint="eastAsia"/>
          <w:sz w:val="21"/>
          <w:szCs w:val="21"/>
        </w:rPr>
        <w:t>2、资产管理人发给计划托管人的指令应写明款项事由、支付时间、收付款人开户银行、金额、收付款人账户名称、账号等要素信息，加盖预留印鉴并由被授权签发人签字。</w:t>
      </w:r>
    </w:p>
    <w:p w14:paraId="3064DF9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（三）投资指令的发送、确认及执行的时间和程序</w:t>
      </w:r>
    </w:p>
    <w:p w14:paraId="28E2911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可选择电子、传真或邮件发送扫描等双方约定的方式向托管人方提交划款指令，并通过电话与托管人进行确认，因管理人未能及时与托管人行指令确认，致使资金未能及时清算所造成的损失，由管理人承担：</w:t>
      </w:r>
    </w:p>
    <w:p w14:paraId="16E565D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（1）电子指令模式。管理人通过深证通、</w:t>
      </w:r>
      <w:proofErr w:type="gramStart"/>
      <w:r>
        <w:rPr>
          <w:rFonts w:ascii="宋体" w:eastAsia="宋体" w:hAnsi="宋体" w:cs="宋体" w:hint="eastAsia"/>
          <w:sz w:val="21"/>
          <w:szCs w:val="21"/>
        </w:rPr>
        <w:t>托管网银</w:t>
      </w:r>
      <w:proofErr w:type="gramEnd"/>
      <w:r>
        <w:rPr>
          <w:rFonts w:ascii="宋体" w:eastAsia="宋体" w:hAnsi="宋体" w:cs="宋体" w:hint="eastAsia"/>
          <w:sz w:val="21"/>
          <w:szCs w:val="21"/>
        </w:rPr>
        <w:t>或双方认可电子渠道提交电子指令给托管人，并通过电话与托管人进行确认。在</w:t>
      </w:r>
      <w:proofErr w:type="gramStart"/>
      <w:r>
        <w:rPr>
          <w:rFonts w:ascii="宋体" w:eastAsia="宋体" w:hAnsi="宋体" w:cs="宋体" w:hint="eastAsia"/>
          <w:sz w:val="21"/>
          <w:szCs w:val="21"/>
        </w:rPr>
        <w:t>使用网银划款</w:t>
      </w:r>
      <w:proofErr w:type="gramEnd"/>
      <w:r>
        <w:rPr>
          <w:rFonts w:ascii="宋体" w:eastAsia="宋体" w:hAnsi="宋体" w:cs="宋体" w:hint="eastAsia"/>
          <w:sz w:val="21"/>
          <w:szCs w:val="21"/>
        </w:rPr>
        <w:t>指令前，管理人需提前三个工作日向托管行申请</w:t>
      </w:r>
      <w:proofErr w:type="gramStart"/>
      <w:r>
        <w:rPr>
          <w:rFonts w:ascii="宋体" w:eastAsia="宋体" w:hAnsi="宋体" w:cs="宋体" w:hint="eastAsia"/>
          <w:sz w:val="21"/>
          <w:szCs w:val="21"/>
        </w:rPr>
        <w:t>托管网银</w:t>
      </w:r>
      <w:proofErr w:type="gramEnd"/>
      <w:r>
        <w:rPr>
          <w:rFonts w:ascii="宋体" w:eastAsia="宋体" w:hAnsi="宋体" w:cs="宋体" w:hint="eastAsia"/>
          <w:sz w:val="21"/>
          <w:szCs w:val="21"/>
        </w:rPr>
        <w:t>USBKEY。</w:t>
      </w:r>
    </w:p>
    <w:p w14:paraId="7980C94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（2）传真指令模式。管理人将有效划款指令及划款证明材料以传真或邮件发送扫描</w:t>
      </w:r>
      <w:proofErr w:type="gramStart"/>
      <w:r>
        <w:rPr>
          <w:rFonts w:ascii="宋体" w:eastAsia="宋体" w:hAnsi="宋体" w:cs="宋体" w:hint="eastAsia"/>
          <w:sz w:val="21"/>
          <w:szCs w:val="21"/>
        </w:rPr>
        <w:t>件形式</w:t>
      </w:r>
      <w:proofErr w:type="gramEnd"/>
      <w:r>
        <w:rPr>
          <w:rFonts w:ascii="宋体" w:eastAsia="宋体" w:hAnsi="宋体" w:cs="宋体" w:hint="eastAsia"/>
          <w:sz w:val="21"/>
          <w:szCs w:val="21"/>
        </w:rPr>
        <w:t>发送给托管人。划款指令应写明款项事由、支付时间、到账时间、支付金额、收付款账户信息等，并加盖划款指令授权书中预留的印章，并由指令签发人员签字。管理人有义务在发送指令后与托管人以电话的方式进行确认。托管人依照本合同规定的方法对指令进行验证确认指令有效并根据</w:t>
      </w:r>
      <w:proofErr w:type="gramStart"/>
      <w:r>
        <w:rPr>
          <w:rFonts w:ascii="宋体" w:eastAsia="宋体" w:hAnsi="宋体" w:cs="宋体" w:hint="eastAsia"/>
          <w:sz w:val="21"/>
          <w:szCs w:val="21"/>
        </w:rPr>
        <w:t>资管合同</w:t>
      </w:r>
      <w:proofErr w:type="gramEnd"/>
      <w:r>
        <w:rPr>
          <w:rFonts w:ascii="宋体" w:eastAsia="宋体" w:hAnsi="宋体" w:cs="宋体" w:hint="eastAsia"/>
          <w:sz w:val="21"/>
          <w:szCs w:val="21"/>
        </w:rPr>
        <w:t>进行审核后，方可执行指令。</w:t>
      </w:r>
    </w:p>
    <w:p w14:paraId="5CB7E49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对于被授权人依照“划款指令授权书”发出的指令，资产管理人不得否认其效力。资产管理人应按照相关法律法规以及本合同的规定，在其合法的经营权限和交易权限内发送划款指令，发送人应按照其授权权限发送划款指令。资产管理人在发送指令时，应为资产托管人留出执行指令所必需的时间。资产管理人尽量于划款前1个工作日向资产托管人发送指令并确认。对于要求当天到账的指令，必须在当天15:00前向资产托管人发送，15:00之后发送的，资产托管人尽力执行，但不能保证划账成功，划款不成功的后果由资产管理计划承担。如果要求当天某一时点到账的指令，则指令需要至少提前2个工作小时发送，</w:t>
      </w:r>
      <w:proofErr w:type="gramStart"/>
      <w:r>
        <w:rPr>
          <w:rFonts w:ascii="宋体" w:eastAsia="宋体" w:hAnsi="宋体" w:cs="宋体" w:hint="eastAsia"/>
          <w:sz w:val="21"/>
          <w:szCs w:val="21"/>
        </w:rPr>
        <w:t>并相关</w:t>
      </w:r>
      <w:proofErr w:type="gramEnd"/>
      <w:r>
        <w:rPr>
          <w:rFonts w:ascii="宋体" w:eastAsia="宋体" w:hAnsi="宋体" w:cs="宋体" w:hint="eastAsia"/>
          <w:sz w:val="21"/>
          <w:szCs w:val="21"/>
        </w:rPr>
        <w:t>付款条件已经具备，资产托管人视付款条件具备时为指令送达时间。对新股申购网下发行业务，资产管理人应在网下申购缴款日（T日）的前一工作日下班前将指令发送给资产托管人，指令发送时间最迟不应晚于T日上午10:00。对于中证登记公司实行T+0非担保交收的业务，资产管理人应在交易日14:00前将划款指令发送</w:t>
      </w:r>
      <w:proofErr w:type="gramStart"/>
      <w:r>
        <w:rPr>
          <w:rFonts w:ascii="宋体" w:eastAsia="宋体" w:hAnsi="宋体" w:cs="宋体" w:hint="eastAsia"/>
          <w:sz w:val="21"/>
          <w:szCs w:val="21"/>
        </w:rPr>
        <w:t>至资产</w:t>
      </w:r>
      <w:proofErr w:type="gramEnd"/>
      <w:r>
        <w:rPr>
          <w:rFonts w:ascii="宋体" w:eastAsia="宋体" w:hAnsi="宋体" w:cs="宋体" w:hint="eastAsia"/>
          <w:sz w:val="21"/>
          <w:szCs w:val="21"/>
        </w:rPr>
        <w:t>托管人。因资产管理人指令传输不及时，致使资金未能及时划入中证登记公司指定交收账户所造成的损失由资产管理人承担。</w:t>
      </w:r>
    </w:p>
    <w:p w14:paraId="15C96FA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资产托管人收到划款指令后，应根据本协议约定，审核资产管理人的划款指令。</w:t>
      </w:r>
    </w:p>
    <w:p w14:paraId="6BCD9B6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资产托管人应对下列内容进行审核：</w:t>
      </w:r>
    </w:p>
    <w:p w14:paraId="49D0C08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一是划款指令要素、印鉴和签名是否正确完整；</w:t>
      </w:r>
    </w:p>
    <w:p w14:paraId="6876AE5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二是划款指令金额与指令附件投资协议等证明文件中约定的投资金额一致。</w:t>
      </w:r>
    </w:p>
    <w:p w14:paraId="2C0C364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三是划款指令中的收款账户信息与指令附件投资协议等证明文件中约定的收款账户信息一致（若</w:t>
      </w:r>
      <w:r>
        <w:rPr>
          <w:rFonts w:ascii="宋体" w:eastAsia="宋体" w:hAnsi="宋体" w:cs="宋体" w:hint="eastAsia"/>
          <w:sz w:val="21"/>
          <w:szCs w:val="21"/>
        </w:rPr>
        <w:lastRenderedPageBreak/>
        <w:t>有）。若指令附件投资协议未约定收款账户信息的，划款指令中的收款户名应与本协议约定的投资方向一致。</w:t>
      </w:r>
    </w:p>
    <w:p w14:paraId="6B89F08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资产管理人应保证以上所提供的作为划款依据的文件资料的真实、有效、完整、准确、合法，没有任何重大遗漏或误导。</w:t>
      </w:r>
    </w:p>
    <w:p w14:paraId="25DCEBC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复核无误后依据本合同约定在规定期限内及时执行，不得延误。若存在异议或不符，资产托管人立即与资产管理人指定人员进行电话联系和沟通，并要求资产管理人重新发送经修改的指令。资产托管人可以要求资产管理人传真提供相关交易凭证、合同或其他有效会计资料，以确保资产托管人有足够的资料来判断指令的有效性。</w:t>
      </w:r>
    </w:p>
    <w:p w14:paraId="274E9DB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资产管理人向资产托管人下达指令时，应确保本计划银行账户有足够的资金余额，对资产管理人在没有充足资金的情况下向资产托管人发出的指令，资产托管人有权拒绝执行，并立即通知资产管理人。</w:t>
      </w:r>
    </w:p>
    <w:p w14:paraId="0E046C1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资产管理人应将银行间同业拆借中心的成交通知单传真或邮件给资产托管人。在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管理计划财产申购/认购开放式基金时，资产管理人应在向资产托管人提交划款指令的同时将经有效签章的基金申购/认购申请书以传真或邮件形式送达资产托管人。</w:t>
      </w:r>
    </w:p>
    <w:p w14:paraId="5AB276B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由于通过上交所固定收益证券综合电子平台达成的私募债券转让，中国证券登记结算公司上海分公司根据证券交易所发送的转让成交结果办理实时逐笔全额结算（RTGS）。RTGS的最终交收时点为T日的15:30分，为保证RTGS交易成功，管理人应于交易T日的15:00之前，将买入私募债券的指令传真至托管人（非担保交收业务联系人：李国强010-63639184；</w:t>
      </w:r>
      <w:proofErr w:type="gramStart"/>
      <w:r>
        <w:rPr>
          <w:rFonts w:ascii="宋体" w:eastAsia="宋体" w:hAnsi="宋体" w:cs="宋体" w:hint="eastAsia"/>
          <w:sz w:val="21"/>
          <w:szCs w:val="21"/>
        </w:rPr>
        <w:t>周晓漫</w:t>
      </w:r>
      <w:proofErr w:type="gramEnd"/>
      <w:r>
        <w:rPr>
          <w:rFonts w:ascii="宋体" w:eastAsia="宋体" w:hAnsi="宋体" w:cs="宋体" w:hint="eastAsia"/>
          <w:sz w:val="21"/>
          <w:szCs w:val="21"/>
        </w:rPr>
        <w:t>010-63639155；传真01063639145、46、47）。</w:t>
      </w:r>
    </w:p>
    <w:p w14:paraId="0B80CFE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由于通过深圳综合协议平台的公司债、私募债，结算方式为逐笔</w:t>
      </w:r>
      <w:proofErr w:type="gramStart"/>
      <w:r>
        <w:rPr>
          <w:rFonts w:ascii="宋体" w:eastAsia="宋体" w:hAnsi="宋体" w:cs="宋体" w:hint="eastAsia"/>
          <w:sz w:val="21"/>
          <w:szCs w:val="21"/>
        </w:rPr>
        <w:t>全额非</w:t>
      </w:r>
      <w:proofErr w:type="gramEnd"/>
      <w:r>
        <w:rPr>
          <w:rFonts w:ascii="宋体" w:eastAsia="宋体" w:hAnsi="宋体" w:cs="宋体" w:hint="eastAsia"/>
          <w:sz w:val="21"/>
          <w:szCs w:val="21"/>
        </w:rPr>
        <w:t>担保交收，最终交收时点为T日16:00，因此管理人应于T日15:30分之前向托管人</w:t>
      </w:r>
      <w:proofErr w:type="gramStart"/>
      <w:r>
        <w:rPr>
          <w:rFonts w:ascii="宋体" w:eastAsia="宋体" w:hAnsi="宋体" w:cs="宋体" w:hint="eastAsia"/>
          <w:sz w:val="21"/>
          <w:szCs w:val="21"/>
        </w:rPr>
        <w:t>发送非</w:t>
      </w:r>
      <w:proofErr w:type="gramEnd"/>
      <w:r>
        <w:rPr>
          <w:rFonts w:ascii="宋体" w:eastAsia="宋体" w:hAnsi="宋体" w:cs="宋体" w:hint="eastAsia"/>
          <w:sz w:val="21"/>
          <w:szCs w:val="21"/>
        </w:rPr>
        <w:t>担保交收债券的买入指令。</w:t>
      </w:r>
    </w:p>
    <w:p w14:paraId="67B3A136" w14:textId="77777777" w:rsidR="00D4368C" w:rsidRDefault="001710E2">
      <w:pPr>
        <w:tabs>
          <w:tab w:val="left" w:pos="600"/>
        </w:tabs>
        <w:spacing w:line="360" w:lineRule="auto"/>
        <w:ind w:firstLine="480"/>
        <w:rPr>
          <w:rFonts w:ascii="宋体" w:eastAsia="宋体" w:hAnsi="宋体" w:cs="宋体"/>
          <w:sz w:val="21"/>
          <w:szCs w:val="21"/>
        </w:rPr>
      </w:pPr>
      <w:r>
        <w:rPr>
          <w:rFonts w:ascii="宋体" w:eastAsia="宋体" w:hAnsi="宋体" w:cs="宋体" w:hint="eastAsia"/>
          <w:sz w:val="21"/>
          <w:szCs w:val="21"/>
        </w:rPr>
        <w:t>因资产托管人执行指令所需时间不足，致使资金未能及时划拨所造成的损失，由资产管理人承担责任。资产托管人有权对执行指令所需时间做出解释，执行指令所需时间以资产托管人的解释为准。</w:t>
      </w:r>
    </w:p>
    <w:p w14:paraId="713C707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（四）资产托管人依法暂缓、拒绝执行指令的情形和处理程序</w:t>
      </w:r>
    </w:p>
    <w:p w14:paraId="36B3ECAF" w14:textId="77777777" w:rsidR="00D4368C" w:rsidRDefault="001710E2">
      <w:pPr>
        <w:pStyle w:val="BodyTextIndent"/>
        <w:ind w:firstLine="480"/>
        <w:rPr>
          <w:rFonts w:ascii="宋体" w:eastAsia="宋体" w:hAnsi="宋体" w:cs="宋体"/>
          <w:sz w:val="21"/>
        </w:rPr>
      </w:pPr>
      <w:r>
        <w:rPr>
          <w:rFonts w:ascii="宋体" w:eastAsia="宋体" w:hAnsi="宋体" w:cs="宋体" w:hint="eastAsia"/>
          <w:sz w:val="21"/>
        </w:rPr>
        <w:t>资产托管人发现资产管理人发送的指令违反《基金法》、本合同或其他有关法律法规的规定时，不予执行，并应及时通知资产管理人纠正，资产管理人收到通知后应及时核对，并以书面形式对资产托管人发出回函确认。</w:t>
      </w:r>
    </w:p>
    <w:p w14:paraId="2F8BD2DC" w14:textId="77777777" w:rsidR="00D4368C" w:rsidRDefault="001710E2">
      <w:pPr>
        <w:tabs>
          <w:tab w:val="left" w:pos="600"/>
        </w:tabs>
        <w:spacing w:line="360" w:lineRule="auto"/>
        <w:rPr>
          <w:rFonts w:ascii="宋体" w:eastAsia="宋体" w:hAnsi="宋体" w:cs="宋体"/>
          <w:sz w:val="21"/>
          <w:szCs w:val="21"/>
        </w:rPr>
      </w:pPr>
      <w:r>
        <w:rPr>
          <w:rFonts w:ascii="宋体" w:eastAsia="宋体" w:hAnsi="宋体" w:cs="宋体" w:hint="eastAsia"/>
          <w:sz w:val="21"/>
          <w:szCs w:val="21"/>
        </w:rPr>
        <w:t xml:space="preserve">    （五）资产管理人发送错误指令的情形和处理程序</w:t>
      </w:r>
    </w:p>
    <w:p w14:paraId="2225213C" w14:textId="77777777" w:rsidR="00D4368C" w:rsidRDefault="001710E2">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资产管理人发送错误指令的情形包括指令发送人员无权或超越权限发送指令及交割信息错误，指令中</w:t>
      </w:r>
      <w:r>
        <w:rPr>
          <w:rFonts w:ascii="宋体" w:eastAsia="宋体" w:hAnsi="宋体" w:cs="宋体" w:hint="eastAsia"/>
          <w:sz w:val="21"/>
          <w:szCs w:val="21"/>
        </w:rPr>
        <w:lastRenderedPageBreak/>
        <w:t>重要信息模糊不清或不全等。资产托管人在履行监督职能时，发现资产管理人的指令错误时，有权拒绝执行，并及时通知资产管理人改正。</w:t>
      </w:r>
    </w:p>
    <w:p w14:paraId="0578B013"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（六）更换投资指令被授权人的程序</w:t>
      </w:r>
    </w:p>
    <w:p w14:paraId="02078200" w14:textId="77777777" w:rsidR="00D4368C" w:rsidRDefault="001710E2">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管理人若变更划款指令授权书（包括但不限于变更指令发送人员、联系方式、预留印鉴、签字样本等），应当至少提前1个工作日通知托管人；变更划款指令授权书的文件应由管理人加盖公章并由法定代表人或其授权签字人签署，若由授权签字人签署，还应附上法定代表人的授权书。管理人对划款指令授权书的变更应当以原件的形式发送给托管人，同时电话通知托管人。新划款指令授权书自其中注明的生效日期起开始生效，原划款指令授权书失效。若托管人收到新划款指令授权书的日期晚于新划款指令授权书中注明的生效日期，新划款指令授权书自托管人收到的日期起开始生效，原划款指令授权</w:t>
      </w:r>
      <w:proofErr w:type="gramStart"/>
      <w:r>
        <w:rPr>
          <w:rFonts w:ascii="宋体" w:eastAsia="宋体" w:hAnsi="宋体" w:cs="宋体" w:hint="eastAsia"/>
          <w:sz w:val="21"/>
          <w:szCs w:val="21"/>
        </w:rPr>
        <w:t>书相应</w:t>
      </w:r>
      <w:proofErr w:type="gramEnd"/>
      <w:r>
        <w:rPr>
          <w:rFonts w:ascii="宋体" w:eastAsia="宋体" w:hAnsi="宋体" w:cs="宋体" w:hint="eastAsia"/>
          <w:sz w:val="21"/>
          <w:szCs w:val="21"/>
        </w:rPr>
        <w:t>失效。托管人收到该变更通知生效之前，原指令发送人员及其签字继续有效。被授权人变更通知生效后，对于已被撤换的人员无权发送的指令，或新被授权人员超权限发送的指令，资产托管人可不予执行，并立即通知管理人。</w:t>
      </w:r>
    </w:p>
    <w:p w14:paraId="7512FD35"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（七）投资指令的保管</w:t>
      </w:r>
    </w:p>
    <w:p w14:paraId="7488D7D5" w14:textId="77777777" w:rsidR="00D4368C" w:rsidRDefault="001710E2">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投资指令若以传真或邮件形式发出，则正本由资产管理人保管，资产托管人保管指令传真件或电子扫描件。当两者不一致时，以资产托管人收到的投资指令传真件或电子扫描件为准。</w:t>
      </w:r>
    </w:p>
    <w:p w14:paraId="40CD07C8"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（八）其他相关责任</w:t>
      </w:r>
    </w:p>
    <w:p w14:paraId="14B051CF" w14:textId="77777777" w:rsidR="00D4368C" w:rsidRDefault="001710E2">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资产托管人已依据本合同的约定履行审核义务，并正确执行资产管理人符合本合同规定、合法合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的划款指令，因</w:t>
      </w:r>
      <w:proofErr w:type="gramStart"/>
      <w:r>
        <w:rPr>
          <w:rFonts w:ascii="宋体" w:eastAsia="宋体" w:hAnsi="宋体" w:cs="宋体" w:hint="eastAsia"/>
          <w:sz w:val="21"/>
          <w:szCs w:val="21"/>
        </w:rPr>
        <w:t>非资产托管人原因</w:t>
      </w:r>
      <w:proofErr w:type="gramEnd"/>
      <w:r>
        <w:rPr>
          <w:rFonts w:ascii="宋体" w:eastAsia="宋体" w:hAnsi="宋体" w:cs="宋体" w:hint="eastAsia"/>
          <w:sz w:val="21"/>
          <w:szCs w:val="21"/>
        </w:rPr>
        <w:t>造成资产管理计划财产发生损失的，相关责任由过错方承担。在正常业务受理渠道和指令规定的时间内，因资产托管</w:t>
      </w:r>
      <w:proofErr w:type="gramStart"/>
      <w:r>
        <w:rPr>
          <w:rFonts w:ascii="宋体" w:eastAsia="宋体" w:hAnsi="宋体" w:cs="宋体" w:hint="eastAsia"/>
          <w:sz w:val="21"/>
          <w:szCs w:val="21"/>
        </w:rPr>
        <w:t>人原因未依据</w:t>
      </w:r>
      <w:proofErr w:type="gramEnd"/>
      <w:r>
        <w:rPr>
          <w:rFonts w:ascii="宋体" w:eastAsia="宋体" w:hAnsi="宋体" w:cs="宋体" w:hint="eastAsia"/>
          <w:sz w:val="21"/>
          <w:szCs w:val="21"/>
        </w:rPr>
        <w:t>本合同的约定履行审核义务而执行划款指令，未能及时或正确执行符合本合同规定、合法合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的划款指令而导致资产管理计划财产受损的，资产托管人应承担相应的责任，但银行托管账户余额不足或资产托管人如遇到不可抗力的情况除外。</w:t>
      </w:r>
    </w:p>
    <w:p w14:paraId="4B3F36FC" w14:textId="77777777" w:rsidR="00D4368C" w:rsidRDefault="001710E2">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如果管理人的划款指令存在事实上未经授权、欺诈、伪造或未能按时提供划款指令人员的预留印鉴和签字样本等非托管</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造成的情形，只要托管人根据本合同相关约定验证有关印鉴与签名无误，因托管人正确执行有关指令而给管理人或资产管理计划财产或任何第三人带来的损失，全部责任由管理人承担。</w:t>
      </w:r>
    </w:p>
    <w:p w14:paraId="532D31A5" w14:textId="77777777" w:rsidR="00D4368C" w:rsidRDefault="00D4368C">
      <w:pPr>
        <w:spacing w:line="360" w:lineRule="auto"/>
        <w:ind w:firstLine="420"/>
        <w:jc w:val="left"/>
        <w:rPr>
          <w:rFonts w:ascii="宋体" w:eastAsia="宋体" w:hAnsi="宋体" w:cs="宋体"/>
          <w:sz w:val="21"/>
          <w:szCs w:val="21"/>
        </w:rPr>
      </w:pPr>
    </w:p>
    <w:p w14:paraId="07D66774" w14:textId="77777777" w:rsidR="00D4368C" w:rsidRDefault="001710E2">
      <w:pPr>
        <w:pStyle w:val="Heading1"/>
        <w:spacing w:before="0" w:after="0" w:line="360" w:lineRule="auto"/>
        <w:jc w:val="center"/>
        <w:rPr>
          <w:rFonts w:ascii="宋体" w:eastAsia="宋体" w:hAnsi="宋体" w:cs="宋体"/>
          <w:sz w:val="21"/>
          <w:szCs w:val="21"/>
        </w:rPr>
      </w:pPr>
      <w:bookmarkStart w:id="39" w:name="_Toc401668943"/>
      <w:bookmarkStart w:id="40" w:name="_Toc194741916"/>
      <w:bookmarkStart w:id="41" w:name="_Toc70622197"/>
      <w:r>
        <w:rPr>
          <w:rFonts w:ascii="宋体" w:eastAsia="宋体" w:hAnsi="宋体" w:cs="宋体" w:hint="eastAsia"/>
          <w:sz w:val="21"/>
          <w:szCs w:val="21"/>
        </w:rPr>
        <w:t>十八、越权交易</w:t>
      </w:r>
      <w:bookmarkEnd w:id="39"/>
      <w:bookmarkEnd w:id="40"/>
      <w:r>
        <w:rPr>
          <w:rFonts w:ascii="宋体" w:eastAsia="宋体" w:hAnsi="宋体" w:cs="宋体" w:hint="eastAsia"/>
          <w:sz w:val="21"/>
          <w:szCs w:val="21"/>
        </w:rPr>
        <w:t>的界定</w:t>
      </w:r>
      <w:bookmarkEnd w:id="41"/>
    </w:p>
    <w:p w14:paraId="474B7ED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（一）越权交易的界定</w:t>
      </w:r>
    </w:p>
    <w:p w14:paraId="364D022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越权交易是指资产管理人违反有关法律法规的规定以及违反或超出本合同项下资产委托人的授权而进</w:t>
      </w:r>
      <w:r>
        <w:rPr>
          <w:rFonts w:ascii="宋体" w:eastAsia="宋体" w:hAnsi="宋体" w:cs="宋体" w:hint="eastAsia"/>
          <w:sz w:val="21"/>
          <w:szCs w:val="21"/>
        </w:rPr>
        <w:lastRenderedPageBreak/>
        <w:t>行的投资交易行为，包括：</w:t>
      </w:r>
    </w:p>
    <w:p w14:paraId="4359418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1、违反有关法律法规和本合同附件《交易监控合规表》规定进行的投资交易行为。</w:t>
      </w:r>
    </w:p>
    <w:p w14:paraId="5234A9D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2、法律法规禁止的超买、超卖行为。</w:t>
      </w:r>
    </w:p>
    <w:p w14:paraId="4963B0D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资产管理人应在有关法律法规和本合同规定的权限内运用资产管理计划财产进行投资管理，不得违反有关法律法规和本合同的约定，超越权限管理、从事投资。</w:t>
      </w:r>
    </w:p>
    <w:p w14:paraId="1083C98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（二）越权交易的处理程序</w:t>
      </w:r>
    </w:p>
    <w:p w14:paraId="2AD6F3F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1、违反有关法律法规和本合同规定进行的投资交易行为</w:t>
      </w:r>
    </w:p>
    <w:p w14:paraId="135A463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托管人发现管理人的投资指令违反法律法规的规定，或者违反本合同附件《交易监控合规表》约定的，应当拒绝执行，立即通知管理人并有权报告中国证监会相关派出机构或中国证券投资基金业协会。</w:t>
      </w:r>
    </w:p>
    <w:p w14:paraId="09446CA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托管人发现管理人依据交易程序已经生效的投资指令违反法律法规的规定，或者违反本合同附件《交易监控合规表》约定的，应立即通知管理人并有权报告中国证监会相关派出机构或中国证券投资基金业协会。</w:t>
      </w:r>
    </w:p>
    <w:p w14:paraId="2108C66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向资产委托人和资产托管人主动报告越权交易。在限期内，资产委托人和资产托管人有权随时对通知事项进行复查，督促资产管理人改正。资产管理人对资产委托人和资产托管人通知的越权事项未能在限期内纠正的，资产托管人有权报告中国证监会、基金业协会。</w:t>
      </w:r>
    </w:p>
    <w:p w14:paraId="68B0AD7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2、法律法规禁止的超买、超卖行为</w:t>
      </w:r>
    </w:p>
    <w:p w14:paraId="5CFCA49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资产托管人在行使监督职能时，如果发现资产管理计划财产投资证券过程中出现超买或超卖现象，应立即提醒资产管理人，由管理人负责承担超买或超卖的后果。如果因管理</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T日发生交易所内超买行为，管理人必须于T+1日上午10：00前完成融资，保证完成清算交收。</w:t>
      </w:r>
    </w:p>
    <w:p w14:paraId="6342612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非因资产管理人主观因素导致本计划投资突破本合同投资范围中约定的投资比例的，资产管理人应当在流动性受限资产可出售、可转让或者恢复交易的15个交易日内调整完毕。法律法规、中国证监会等监管部门另有规定的从其规定。</w:t>
      </w:r>
    </w:p>
    <w:p w14:paraId="04963FD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4、越权交易所发生的直接损失及相关交易费用由资产管理人负担，所发生的收益归</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管理计划财产所有。</w:t>
      </w:r>
    </w:p>
    <w:p w14:paraId="131C85D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（三）资产托管人对资产管理人投资运作的监督</w:t>
      </w:r>
    </w:p>
    <w:p w14:paraId="4847FF7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1、资产托管人对资产管理人的投资行为行使监督权。资产托管人根据本合同附件《交易监控合规表》对有关资产管理计划投资范围、投资比例、投资限制的约定进行监督。</w:t>
      </w:r>
    </w:p>
    <w:p w14:paraId="0D20816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2、资产托管人对资产管理人的投资监督和检查自本计划建账估值核对一致之日起开始。</w:t>
      </w:r>
    </w:p>
    <w:p w14:paraId="3311FC7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3、托管人越权交易监督的真实性、准确性、及时性和完整性受限于管理人、证券经纪商、期货经纪商及其他中介机构提供的数据和信息，合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投资的责任在管理人。由对上述机构提供信息的错误、遗漏或延迟所引起的损失由过错方承担责任。</w:t>
      </w:r>
    </w:p>
    <w:p w14:paraId="540FB1E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4、资产管理人应提供监督所必需的交易材料等信息，并确保所提供的业务材料完整、准确、真实、有效，托管银行对提供材料是否与合同约定的监督事项相符进行一致性审查。</w:t>
      </w:r>
    </w:p>
    <w:p w14:paraId="7928E61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5、托管人通过交易监督系统对场内交易证券类产品（不含集合信托计划、证券公司/基金公司/基金子公司资产管理计划等）的投资进行事后监督。</w:t>
      </w:r>
    </w:p>
    <w:p w14:paraId="573E549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如因投资政策变更需调整上述监督职责的，资产管理人应提前以书面形式通知资产托管人，相关变更经资产托管人同意后调整《交易监控合规表》。相关变更应为投资监督业务系统开发和流程调整留出充足的时间。</w:t>
      </w:r>
    </w:p>
    <w:p w14:paraId="0D40ED7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托管人履行投资监督义务，所依据的法律法规与本合同签署时依据的法律法规一致，如果法律法规修订或变更时，委托人、管理人应与托管人签署补充协议。</w:t>
      </w:r>
    </w:p>
    <w:p w14:paraId="0EE3C82D" w14:textId="77777777" w:rsidR="00D4368C" w:rsidRDefault="00D4368C">
      <w:pPr>
        <w:spacing w:line="360" w:lineRule="auto"/>
        <w:ind w:firstLine="480"/>
        <w:rPr>
          <w:rFonts w:ascii="宋体" w:eastAsia="宋体" w:hAnsi="宋体" w:cs="宋体"/>
          <w:sz w:val="21"/>
          <w:szCs w:val="21"/>
        </w:rPr>
      </w:pPr>
    </w:p>
    <w:p w14:paraId="5383322D" w14:textId="77777777" w:rsidR="00D4368C" w:rsidRDefault="001710E2">
      <w:pPr>
        <w:pStyle w:val="Heading1"/>
        <w:spacing w:before="0" w:after="0" w:line="360" w:lineRule="auto"/>
        <w:jc w:val="center"/>
        <w:rPr>
          <w:rFonts w:ascii="宋体" w:eastAsia="宋体" w:hAnsi="宋体" w:cs="宋体"/>
          <w:sz w:val="21"/>
          <w:szCs w:val="21"/>
        </w:rPr>
      </w:pPr>
      <w:bookmarkStart w:id="42" w:name="_Toc70622198"/>
      <w:bookmarkStart w:id="43" w:name="_Toc401668942"/>
      <w:bookmarkStart w:id="44" w:name="_Toc194741912"/>
      <w:r>
        <w:rPr>
          <w:rFonts w:ascii="宋体" w:eastAsia="宋体" w:hAnsi="宋体" w:cs="宋体" w:hint="eastAsia"/>
          <w:sz w:val="21"/>
          <w:szCs w:val="21"/>
        </w:rPr>
        <w:t>十九、交易及清算交收安排</w:t>
      </w:r>
      <w:bookmarkEnd w:id="42"/>
      <w:bookmarkEnd w:id="43"/>
      <w:bookmarkEnd w:id="44"/>
    </w:p>
    <w:p w14:paraId="6B28BB4A" w14:textId="77777777" w:rsidR="00D4368C" w:rsidRDefault="001710E2">
      <w:pPr>
        <w:spacing w:line="360" w:lineRule="auto"/>
        <w:ind w:firstLine="480"/>
        <w:rPr>
          <w:rFonts w:ascii="宋体" w:eastAsia="宋体" w:hAnsi="宋体" w:cs="宋体"/>
          <w:sz w:val="21"/>
          <w:szCs w:val="21"/>
        </w:rPr>
      </w:pPr>
      <w:bookmarkStart w:id="45" w:name="_Toc194741913"/>
      <w:bookmarkStart w:id="46" w:name="_Toc194292255"/>
      <w:bookmarkStart w:id="47" w:name="_Toc48703904"/>
      <w:bookmarkStart w:id="48" w:name="_Toc22454452"/>
      <w:r>
        <w:rPr>
          <w:rFonts w:ascii="宋体" w:eastAsia="宋体" w:hAnsi="宋体" w:cs="宋体" w:hint="eastAsia"/>
          <w:sz w:val="21"/>
          <w:szCs w:val="21"/>
        </w:rPr>
        <w:t>（一）选择代理证券买卖的证券经营机构的程序</w:t>
      </w:r>
    </w:p>
    <w:p w14:paraId="14A6090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资产管理人负责选择代理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管理计划财产证券买卖的证券经营机构，并与其签订证券交易委托代理协议。本计划的交易数据传输具体操作及时间要求按照资产管理人、资产托管人及证券经纪商签订的证券投资操作备忘录的约定执行。</w:t>
      </w:r>
    </w:p>
    <w:p w14:paraId="40B466C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（二）场外交易的资金清算与交收</w:t>
      </w:r>
    </w:p>
    <w:p w14:paraId="63D7739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开放式基金认购、申购、赎回的交易安排</w:t>
      </w:r>
    </w:p>
    <w:p w14:paraId="5B7B95B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管理人与托管人在办理开放式基金认购、申购、赎回中的权利、义务、职责遵照有关法律法规规定执行。</w:t>
      </w:r>
    </w:p>
    <w:p w14:paraId="2F2B907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申购（认购）开放式基金时，应将划款指令连同基金申购（认购）申请单传真或其他双方一致认可的方式发送托管人。托管人审核无误后，应及时将划款指令交付执行，并对划款指令执行情况进行查询，将执行结果通知管理人。管理人应及时向基金销售机构索取开放式基金申购（认购）确认单并在收到后传真或其他双方一致认可的方式发送托管人，以作为双方进行会计核算的依据。</w:t>
      </w:r>
    </w:p>
    <w:p w14:paraId="35519F7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管理人赎回开放式基金时，应同时向基金管理公司或代销机构和托管人发出基金赎回申请书。托管人应及时查询到帐情况并反馈资产管理人。管理人应及时向基金销售机构索取开放式基金赎回确认单,并传</w:t>
      </w:r>
      <w:r>
        <w:rPr>
          <w:rFonts w:ascii="宋体" w:eastAsia="宋体" w:hAnsi="宋体" w:cs="宋体" w:hint="eastAsia"/>
          <w:sz w:val="21"/>
          <w:szCs w:val="21"/>
        </w:rPr>
        <w:lastRenderedPageBreak/>
        <w:t>真或其他双方一致认可的方式发送托管人，以作为双方进行会计核算的依据。</w:t>
      </w:r>
    </w:p>
    <w:p w14:paraId="175F4C3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场外资金汇划由资产托管人凭资产管理人有效指令和相关盖章</w:t>
      </w:r>
      <w:proofErr w:type="gramStart"/>
      <w:r>
        <w:rPr>
          <w:rFonts w:ascii="宋体" w:eastAsia="宋体" w:hAnsi="宋体" w:cs="宋体" w:hint="eastAsia"/>
          <w:sz w:val="21"/>
          <w:szCs w:val="21"/>
        </w:rPr>
        <w:t>版投资</w:t>
      </w:r>
      <w:proofErr w:type="gramEnd"/>
      <w:r>
        <w:rPr>
          <w:rFonts w:ascii="宋体" w:eastAsia="宋体" w:hAnsi="宋体" w:cs="宋体" w:hint="eastAsia"/>
          <w:sz w:val="21"/>
          <w:szCs w:val="21"/>
        </w:rPr>
        <w:t>合同进行资金划拨。</w:t>
      </w:r>
    </w:p>
    <w:p w14:paraId="3DFC4F8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资金清算为支付税费的，资产托管人审核付款用途符合本合同约定后，凭资产管理人指令和相关税费单据（若有）进行资金划拨。</w:t>
      </w:r>
    </w:p>
    <w:p w14:paraId="1383843A" w14:textId="77777777" w:rsidR="00D4368C" w:rsidRDefault="001710E2">
      <w:pPr>
        <w:spacing w:line="360" w:lineRule="auto"/>
        <w:ind w:firstLine="480"/>
        <w:rPr>
          <w:rFonts w:ascii="宋体" w:eastAsia="宋体" w:hAnsi="宋体" w:cs="宋体"/>
          <w:sz w:val="21"/>
          <w:szCs w:val="21"/>
        </w:rPr>
      </w:pPr>
      <w:bookmarkStart w:id="49" w:name="_Toc48703906"/>
      <w:bookmarkStart w:id="50" w:name="_Toc194292257"/>
      <w:bookmarkStart w:id="51" w:name="_Toc194741915"/>
      <w:r>
        <w:rPr>
          <w:rFonts w:ascii="宋体" w:eastAsia="宋体" w:hAnsi="宋体" w:cs="宋体" w:hint="eastAsia"/>
          <w:sz w:val="21"/>
          <w:szCs w:val="21"/>
        </w:rPr>
        <w:t>（三）资金、证券账目及交易记录的核对</w:t>
      </w:r>
      <w:bookmarkEnd w:id="49"/>
      <w:bookmarkEnd w:id="50"/>
      <w:bookmarkEnd w:id="51"/>
    </w:p>
    <w:p w14:paraId="37744F8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对资产的交易记录，由资产管理人按日进行核对。对外披露资产份额净值之前，资产管理人必须保证当天所有实际交易记录与资产会计账簿上的交易记录完全一致。如果实际交易记录与会计账簿记录不一致，造成资产会计核算不完整或不真实，由此导致的损失由资产管理人承担。</w:t>
      </w:r>
    </w:p>
    <w:p w14:paraId="041CD40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对资产的资金账目，由相关各方每日对账一次，确保相关各方账</w:t>
      </w:r>
      <w:proofErr w:type="gramStart"/>
      <w:r>
        <w:rPr>
          <w:rFonts w:ascii="宋体" w:eastAsia="宋体" w:hAnsi="宋体" w:cs="宋体" w:hint="eastAsia"/>
          <w:sz w:val="21"/>
          <w:szCs w:val="21"/>
        </w:rPr>
        <w:t>账</w:t>
      </w:r>
      <w:proofErr w:type="gramEnd"/>
      <w:r>
        <w:rPr>
          <w:rFonts w:ascii="宋体" w:eastAsia="宋体" w:hAnsi="宋体" w:cs="宋体" w:hint="eastAsia"/>
          <w:sz w:val="21"/>
          <w:szCs w:val="21"/>
        </w:rPr>
        <w:t>相符。</w:t>
      </w:r>
    </w:p>
    <w:p w14:paraId="60FFCB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对资产证券账目，由每</w:t>
      </w:r>
      <w:proofErr w:type="gramStart"/>
      <w:r>
        <w:rPr>
          <w:rFonts w:ascii="宋体" w:eastAsia="宋体" w:hAnsi="宋体" w:cs="宋体" w:hint="eastAsia"/>
          <w:sz w:val="21"/>
          <w:szCs w:val="21"/>
        </w:rPr>
        <w:t>周最后</w:t>
      </w:r>
      <w:proofErr w:type="gramEnd"/>
      <w:r>
        <w:rPr>
          <w:rFonts w:ascii="宋体" w:eastAsia="宋体" w:hAnsi="宋体" w:cs="宋体" w:hint="eastAsia"/>
          <w:sz w:val="21"/>
          <w:szCs w:val="21"/>
        </w:rPr>
        <w:t>一个交易日终了</w:t>
      </w:r>
      <w:proofErr w:type="gramStart"/>
      <w:r>
        <w:rPr>
          <w:rFonts w:ascii="宋体" w:eastAsia="宋体" w:hAnsi="宋体" w:cs="宋体" w:hint="eastAsia"/>
          <w:sz w:val="21"/>
          <w:szCs w:val="21"/>
        </w:rPr>
        <w:t>时相关</w:t>
      </w:r>
      <w:proofErr w:type="gramEnd"/>
      <w:r>
        <w:rPr>
          <w:rFonts w:ascii="宋体" w:eastAsia="宋体" w:hAnsi="宋体" w:cs="宋体" w:hint="eastAsia"/>
          <w:sz w:val="21"/>
          <w:szCs w:val="21"/>
        </w:rPr>
        <w:t>各方进行对账。</w:t>
      </w:r>
    </w:p>
    <w:p w14:paraId="503EBE0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对实物</w:t>
      </w:r>
      <w:proofErr w:type="gramStart"/>
      <w:r>
        <w:rPr>
          <w:rFonts w:ascii="宋体" w:eastAsia="宋体" w:hAnsi="宋体" w:cs="宋体" w:hint="eastAsia"/>
          <w:sz w:val="21"/>
          <w:szCs w:val="21"/>
        </w:rPr>
        <w:t>券</w:t>
      </w:r>
      <w:proofErr w:type="gramEnd"/>
      <w:r>
        <w:rPr>
          <w:rFonts w:ascii="宋体" w:eastAsia="宋体" w:hAnsi="宋体" w:cs="宋体" w:hint="eastAsia"/>
          <w:sz w:val="21"/>
          <w:szCs w:val="21"/>
        </w:rPr>
        <w:t>账目，每月月</w:t>
      </w:r>
      <w:proofErr w:type="gramStart"/>
      <w:r>
        <w:rPr>
          <w:rFonts w:ascii="宋体" w:eastAsia="宋体" w:hAnsi="宋体" w:cs="宋体" w:hint="eastAsia"/>
          <w:sz w:val="21"/>
          <w:szCs w:val="21"/>
        </w:rPr>
        <w:t>末相关</w:t>
      </w:r>
      <w:proofErr w:type="gramEnd"/>
      <w:r>
        <w:rPr>
          <w:rFonts w:ascii="宋体" w:eastAsia="宋体" w:hAnsi="宋体" w:cs="宋体" w:hint="eastAsia"/>
          <w:sz w:val="21"/>
          <w:szCs w:val="21"/>
        </w:rPr>
        <w:t>各方进行账实核对。</w:t>
      </w:r>
    </w:p>
    <w:p w14:paraId="120BF8B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（四）参与或退出的资金清算（如需）</w:t>
      </w:r>
    </w:p>
    <w:p w14:paraId="705161D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1、本计划份额参与、退出的确认及清算由管理人或其指定的份额登记机构负责。</w:t>
      </w:r>
    </w:p>
    <w:p w14:paraId="7D235B6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管理人或其委托的份额登记机构应将每个开放日的参与、退出数据传送给托管人。管理人应对传递的参与、退出数据的真实性、准确性、完整性负责。托管人应及时查收参与资金的到账情况并根据管理人指令及时划付退出及转换款项。</w:t>
      </w:r>
    </w:p>
    <w:p w14:paraId="5075963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管理人应在T＋5日前将参与净额（不包含参与费）划至托管账户。如参与净额未能如期到账，托管人应及时通知管理人采取措施进行催收，由此给计划造成损失的，由责任方承担。管理人负责向责任方追偿计划的损失。</w:t>
      </w:r>
    </w:p>
    <w:p w14:paraId="4A0FBCA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管理人应在退出确认日后6个交易日内向托管人发送退出的划拨指令并保证托管账户预留足额资金，托管人依据划款指令在退出确认日后7个交易日（包含退出产生的应付费用）内划至管理人指定账户。涉及代销机构退出资金的交收，管理人应在与代销机构约定的退出资金</w:t>
      </w:r>
      <w:proofErr w:type="gramStart"/>
      <w:r>
        <w:rPr>
          <w:rFonts w:ascii="宋体" w:eastAsia="宋体" w:hAnsi="宋体" w:cs="宋体" w:hint="eastAsia"/>
          <w:sz w:val="21"/>
          <w:szCs w:val="21"/>
        </w:rPr>
        <w:t>交收日之前</w:t>
      </w:r>
      <w:proofErr w:type="gramEnd"/>
      <w:r>
        <w:rPr>
          <w:rFonts w:ascii="宋体" w:eastAsia="宋体" w:hAnsi="宋体" w:cs="宋体" w:hint="eastAsia"/>
          <w:sz w:val="21"/>
          <w:szCs w:val="21"/>
        </w:rPr>
        <w:t>向托管人发送退出的划拨指令并保证托管账户预留足额资金，若管理人无法在与代销机构约定的退出资金</w:t>
      </w:r>
      <w:proofErr w:type="gramStart"/>
      <w:r>
        <w:rPr>
          <w:rFonts w:ascii="宋体" w:eastAsia="宋体" w:hAnsi="宋体" w:cs="宋体" w:hint="eastAsia"/>
          <w:sz w:val="21"/>
          <w:szCs w:val="21"/>
        </w:rPr>
        <w:t>交收日完成</w:t>
      </w:r>
      <w:proofErr w:type="gramEnd"/>
      <w:r>
        <w:rPr>
          <w:rFonts w:ascii="宋体" w:eastAsia="宋体" w:hAnsi="宋体" w:cs="宋体" w:hint="eastAsia"/>
          <w:sz w:val="21"/>
          <w:szCs w:val="21"/>
        </w:rPr>
        <w:t>资金交收而引起代销机构相关损失，由管理人承担。若退出金额未能如期划拨，由此造成的损失，由责任方承担，管理人负责向责任方追偿计划的损失。</w:t>
      </w:r>
    </w:p>
    <w:p w14:paraId="58C621B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（五）选择期货经纪机构及期货投资资金清算安排（如有）</w:t>
      </w:r>
    </w:p>
    <w:p w14:paraId="4409819D"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管理计划投资于期货前，资产管理人负责选择为</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管理计划提供期货交易服务的期货经纪公司，并与其签订期货经纪合同。资产管理人、资产托管人和期货公司等可就资产管理计划参与股指期货</w:t>
      </w:r>
      <w:r>
        <w:rPr>
          <w:rFonts w:ascii="宋体" w:eastAsia="宋体" w:hAnsi="宋体" w:cs="宋体" w:hint="eastAsia"/>
          <w:sz w:val="21"/>
          <w:szCs w:val="21"/>
        </w:rPr>
        <w:lastRenderedPageBreak/>
        <w:t>交易的具体事项另行签订协议。</w:t>
      </w:r>
    </w:p>
    <w:p w14:paraId="3BBE4D16"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投资于期货发生的资金交割清算由资产管理人选定的期货经纪公司负责办理，对由于期货交易所期货保证金制度和清算交割的需要而存放在期货经纪公司的资金保管职责由期货经纪公司承担，资产管理人应在期货经纪协议或其他协议中约定由选定的期货经纪公司承担资金安全保管责任。</w:t>
      </w:r>
      <w:bookmarkEnd w:id="45"/>
      <w:bookmarkEnd w:id="46"/>
      <w:bookmarkEnd w:id="47"/>
      <w:bookmarkEnd w:id="48"/>
    </w:p>
    <w:p w14:paraId="0EA011C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（六）证券交易的资金清算与交割</w:t>
      </w:r>
    </w:p>
    <w:p w14:paraId="2DD7798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1、证券交易资金的清算</w:t>
      </w:r>
    </w:p>
    <w:p w14:paraId="3E5F0A2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的划拨指令执行后，因本计划投资于证券发生的所有场内交易的清算交割，由资产管理人选择的证券营业部负责办理；场外划款由资产托管人负责办理，管理人不得对本计划证券资金账户设置每笔汇划资金上限和当日累计汇划资金上限。</w:t>
      </w:r>
    </w:p>
    <w:p w14:paraId="5F14BA7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（2）本计划场内证券投资的清算交割，由资产管理人选择的证券营业部直接根据相关登记结算公司的结算规则办理。</w:t>
      </w:r>
    </w:p>
    <w:p w14:paraId="3942CB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2、结算方式</w:t>
      </w:r>
    </w:p>
    <w:p w14:paraId="5281727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支付</w:t>
      </w:r>
      <w:proofErr w:type="gramStart"/>
      <w:r>
        <w:rPr>
          <w:rFonts w:ascii="宋体" w:eastAsia="宋体" w:hAnsi="宋体" w:cs="宋体" w:hint="eastAsia"/>
          <w:sz w:val="21"/>
          <w:szCs w:val="21"/>
        </w:rPr>
        <w:t>结算按</w:t>
      </w:r>
      <w:proofErr w:type="gramEnd"/>
      <w:r>
        <w:rPr>
          <w:rFonts w:ascii="宋体" w:eastAsia="宋体" w:hAnsi="宋体" w:cs="宋体" w:hint="eastAsia"/>
          <w:sz w:val="21"/>
          <w:szCs w:val="21"/>
        </w:rPr>
        <w:t>中国人民银行、中国银保监会、中国证券登记结算有限公司的有关规定办理。</w:t>
      </w:r>
    </w:p>
    <w:p w14:paraId="4B11802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3、资金划拨</w:t>
      </w:r>
    </w:p>
    <w:p w14:paraId="796EE74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资产管理人的资金划拨指令，计划托管人在复核无误后应在规定期限内执行，不得延误。如资产管理人的资金划拨指令有违法、违规的，计划托管人应不予执行并立即书面通知资产管理人要求其变更或撤销相关指令，</w:t>
      </w:r>
      <w:proofErr w:type="gramStart"/>
      <w:r>
        <w:rPr>
          <w:rFonts w:ascii="宋体" w:eastAsia="宋体" w:hAnsi="宋体" w:cs="宋体"/>
          <w:sz w:val="21"/>
          <w:szCs w:val="21"/>
        </w:rPr>
        <w:t>若资产</w:t>
      </w:r>
      <w:proofErr w:type="gramEnd"/>
      <w:r>
        <w:rPr>
          <w:rFonts w:ascii="宋体" w:eastAsia="宋体" w:hAnsi="宋体" w:cs="宋体"/>
          <w:sz w:val="21"/>
          <w:szCs w:val="21"/>
        </w:rPr>
        <w:t>管理人在计划托管人发出上述通知后仍未变更或撤销相关指令，计划托管人应不予执行，并报告中国证监会。</w:t>
      </w:r>
    </w:p>
    <w:p w14:paraId="2EAAAF8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（七）交易数据发送和接收</w:t>
      </w:r>
    </w:p>
    <w:p w14:paraId="651DE00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1、管理人按与托管人协商确定的方式（</w:t>
      </w:r>
      <w:proofErr w:type="gramStart"/>
      <w:r>
        <w:rPr>
          <w:rFonts w:ascii="宋体" w:eastAsia="宋体" w:hAnsi="宋体" w:cs="宋体"/>
          <w:sz w:val="21"/>
          <w:szCs w:val="21"/>
        </w:rPr>
        <w:t>深证通或</w:t>
      </w:r>
      <w:proofErr w:type="gramEnd"/>
      <w:r>
        <w:rPr>
          <w:rFonts w:ascii="宋体" w:eastAsia="宋体" w:hAnsi="宋体" w:cs="宋体"/>
          <w:sz w:val="21"/>
          <w:szCs w:val="21"/>
        </w:rPr>
        <w:t>FTP，或其他双方认可的方式）向托管人传送中登的登记及结算数据、交易所的交易清算数据，管理人保证提供给托管人的委托资产交易单元上的交易数据的准确性、完整性、真实性，如数据不准确或不完整或不真实，由管理人承担全部责任，但因证券交易所、中登及管理人无法控制的其他原因造成数据传输错误或不及时的除外。</w:t>
      </w:r>
    </w:p>
    <w:p w14:paraId="46288000"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sz w:val="21"/>
          <w:szCs w:val="21"/>
        </w:rPr>
        <w:t>若数据</w:t>
      </w:r>
      <w:proofErr w:type="gramEnd"/>
      <w:r>
        <w:rPr>
          <w:rFonts w:ascii="宋体" w:eastAsia="宋体" w:hAnsi="宋体" w:cs="宋体"/>
          <w:sz w:val="21"/>
          <w:szCs w:val="21"/>
        </w:rPr>
        <w:t>传送不成功，管理人应重复或以其它应急方式传送，直到托管人成功接收到数据，因管理人提供的数据错误或不及时等过失造成的委托资产损失由管理人承担责任。</w:t>
      </w:r>
    </w:p>
    <w:p w14:paraId="1AC36BD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2、管理人应保证提供交易数据完整、准确和及时，所提供的数据均需按中登和交易所发布的最新数据接口规范进行填写，使托管人能够完成会计核算、估算、清算、监督职能。其中T日转发的交易数据包必须包括以下文件：</w:t>
      </w:r>
    </w:p>
    <w:p w14:paraId="560C3FB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lastRenderedPageBreak/>
        <w:t>上海数据：</w:t>
      </w:r>
      <w:proofErr w:type="spellStart"/>
      <w:r>
        <w:rPr>
          <w:rFonts w:ascii="宋体" w:eastAsia="宋体" w:hAnsi="宋体" w:cs="宋体"/>
          <w:sz w:val="21"/>
          <w:szCs w:val="21"/>
        </w:rPr>
        <w:t>Gh.dbf</w:t>
      </w:r>
      <w:proofErr w:type="spellEnd"/>
      <w:r>
        <w:rPr>
          <w:rFonts w:ascii="宋体" w:eastAsia="宋体" w:hAnsi="宋体" w:cs="宋体"/>
          <w:sz w:val="21"/>
          <w:szCs w:val="21"/>
        </w:rPr>
        <w:t>（过户库），Show2003.dbf（行情库），mktdt00.txt（行情库）,</w:t>
      </w:r>
      <w:proofErr w:type="spellStart"/>
      <w:r>
        <w:rPr>
          <w:rFonts w:ascii="宋体" w:eastAsia="宋体" w:hAnsi="宋体" w:cs="宋体"/>
          <w:sz w:val="21"/>
          <w:szCs w:val="21"/>
        </w:rPr>
        <w:t>ZQYE.dbf</w:t>
      </w:r>
      <w:proofErr w:type="spellEnd"/>
      <w:r>
        <w:rPr>
          <w:rFonts w:ascii="宋体" w:eastAsia="宋体" w:hAnsi="宋体" w:cs="宋体"/>
          <w:sz w:val="21"/>
          <w:szCs w:val="21"/>
        </w:rPr>
        <w:t>（证券余额），</w:t>
      </w:r>
      <w:proofErr w:type="spellStart"/>
      <w:r>
        <w:rPr>
          <w:rFonts w:ascii="宋体" w:eastAsia="宋体" w:hAnsi="宋体" w:cs="宋体"/>
          <w:sz w:val="21"/>
          <w:szCs w:val="21"/>
        </w:rPr>
        <w:t>tzxx.dbf</w:t>
      </w:r>
      <w:proofErr w:type="spellEnd"/>
      <w:r>
        <w:rPr>
          <w:rFonts w:ascii="宋体" w:eastAsia="宋体" w:hAnsi="宋体" w:cs="宋体"/>
          <w:sz w:val="21"/>
          <w:szCs w:val="21"/>
        </w:rPr>
        <w:t>（通知信息），</w:t>
      </w:r>
      <w:proofErr w:type="spellStart"/>
      <w:r>
        <w:rPr>
          <w:rFonts w:ascii="宋体" w:eastAsia="宋体" w:hAnsi="宋体" w:cs="宋体"/>
          <w:sz w:val="21"/>
          <w:szCs w:val="21"/>
        </w:rPr>
        <w:t>bjgdyh.dbf</w:t>
      </w:r>
      <w:proofErr w:type="spellEnd"/>
      <w:r>
        <w:rPr>
          <w:rFonts w:ascii="宋体" w:eastAsia="宋体" w:hAnsi="宋体" w:cs="宋体"/>
          <w:sz w:val="21"/>
          <w:szCs w:val="21"/>
        </w:rPr>
        <w:t>(上海固定收益平台数据)，</w:t>
      </w:r>
      <w:proofErr w:type="spellStart"/>
      <w:r>
        <w:rPr>
          <w:rFonts w:ascii="宋体" w:eastAsia="宋体" w:hAnsi="宋体" w:cs="宋体"/>
          <w:sz w:val="21"/>
          <w:szCs w:val="21"/>
        </w:rPr>
        <w:t>dgh.dbf</w:t>
      </w:r>
      <w:proofErr w:type="spellEnd"/>
      <w:r>
        <w:rPr>
          <w:rFonts w:ascii="宋体" w:eastAsia="宋体" w:hAnsi="宋体" w:cs="宋体"/>
          <w:sz w:val="21"/>
          <w:szCs w:val="21"/>
        </w:rPr>
        <w:t>(如发生大宗交易时)</w:t>
      </w:r>
    </w:p>
    <w:p w14:paraId="2EF6177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中登数据：</w:t>
      </w:r>
      <w:proofErr w:type="spellStart"/>
      <w:r>
        <w:rPr>
          <w:rFonts w:ascii="宋体" w:eastAsia="宋体" w:hAnsi="宋体" w:cs="宋体"/>
          <w:sz w:val="21"/>
          <w:szCs w:val="21"/>
        </w:rPr>
        <w:t>zqbd.dbf</w:t>
      </w:r>
      <w:proofErr w:type="spellEnd"/>
      <w:r>
        <w:rPr>
          <w:rFonts w:ascii="宋体" w:eastAsia="宋体" w:hAnsi="宋体" w:cs="宋体"/>
          <w:sz w:val="21"/>
          <w:szCs w:val="21"/>
        </w:rPr>
        <w:t>（证券变动库），</w:t>
      </w:r>
      <w:proofErr w:type="spellStart"/>
      <w:r>
        <w:rPr>
          <w:rFonts w:ascii="宋体" w:eastAsia="宋体" w:hAnsi="宋体" w:cs="宋体"/>
          <w:sz w:val="21"/>
          <w:szCs w:val="21"/>
        </w:rPr>
        <w:t>jsmx.dbf</w:t>
      </w:r>
      <w:proofErr w:type="spellEnd"/>
      <w:r>
        <w:rPr>
          <w:rFonts w:ascii="宋体" w:eastAsia="宋体" w:hAnsi="宋体" w:cs="宋体"/>
          <w:sz w:val="21"/>
          <w:szCs w:val="21"/>
        </w:rPr>
        <w:t>（结算明细库），</w:t>
      </w:r>
      <w:proofErr w:type="spellStart"/>
      <w:r>
        <w:rPr>
          <w:rFonts w:ascii="宋体" w:eastAsia="宋体" w:hAnsi="宋体" w:cs="宋体"/>
          <w:sz w:val="21"/>
          <w:szCs w:val="21"/>
        </w:rPr>
        <w:t>zqjsxx.dbf</w:t>
      </w:r>
      <w:proofErr w:type="spellEnd"/>
      <w:r>
        <w:rPr>
          <w:rFonts w:ascii="宋体" w:eastAsia="宋体" w:hAnsi="宋体" w:cs="宋体"/>
          <w:sz w:val="21"/>
          <w:szCs w:val="21"/>
        </w:rPr>
        <w:t>（证券结算信息）。</w:t>
      </w:r>
    </w:p>
    <w:p w14:paraId="31EE257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深圳数据：SJSMX1(深交所明细库1)，SJSMX2（深交所明细库2），SJSQS（深交所清算库），SJSGB（深交所广播库）,SJSJG（深交所结果库），</w:t>
      </w:r>
      <w:proofErr w:type="spellStart"/>
      <w:r>
        <w:rPr>
          <w:rFonts w:ascii="宋体" w:eastAsia="宋体" w:hAnsi="宋体" w:cs="宋体"/>
          <w:sz w:val="21"/>
          <w:szCs w:val="21"/>
        </w:rPr>
        <w:t>cashsecurityclosemd</w:t>
      </w:r>
      <w:proofErr w:type="spellEnd"/>
      <w:r>
        <w:rPr>
          <w:rFonts w:ascii="宋体" w:eastAsia="宋体" w:hAnsi="宋体" w:cs="宋体"/>
          <w:sz w:val="21"/>
          <w:szCs w:val="21"/>
        </w:rPr>
        <w:t>（行情库），</w:t>
      </w:r>
      <w:proofErr w:type="spellStart"/>
      <w:r>
        <w:rPr>
          <w:rFonts w:ascii="宋体" w:eastAsia="宋体" w:hAnsi="宋体" w:cs="宋体"/>
          <w:sz w:val="21"/>
          <w:szCs w:val="21"/>
        </w:rPr>
        <w:t>Sjsdz.dbf</w:t>
      </w:r>
      <w:proofErr w:type="spellEnd"/>
      <w:r>
        <w:rPr>
          <w:rFonts w:ascii="宋体" w:eastAsia="宋体" w:hAnsi="宋体" w:cs="宋体"/>
          <w:sz w:val="21"/>
          <w:szCs w:val="21"/>
        </w:rPr>
        <w:t>（深交所对账库），</w:t>
      </w:r>
      <w:proofErr w:type="spellStart"/>
      <w:r>
        <w:rPr>
          <w:rFonts w:ascii="宋体" w:eastAsia="宋体" w:hAnsi="宋体" w:cs="宋体"/>
          <w:sz w:val="21"/>
          <w:szCs w:val="21"/>
        </w:rPr>
        <w:t>Sjsxx.dbf</w:t>
      </w:r>
      <w:proofErr w:type="spellEnd"/>
      <w:r>
        <w:rPr>
          <w:rFonts w:ascii="宋体" w:eastAsia="宋体" w:hAnsi="宋体" w:cs="宋体"/>
          <w:sz w:val="21"/>
          <w:szCs w:val="21"/>
        </w:rPr>
        <w:t>（深交所信息），</w:t>
      </w:r>
      <w:proofErr w:type="spellStart"/>
      <w:r>
        <w:rPr>
          <w:rFonts w:ascii="宋体" w:eastAsia="宋体" w:hAnsi="宋体" w:cs="宋体"/>
          <w:sz w:val="21"/>
          <w:szCs w:val="21"/>
        </w:rPr>
        <w:t>Sjsfx.dbf</w:t>
      </w:r>
      <w:proofErr w:type="spellEnd"/>
      <w:r>
        <w:rPr>
          <w:rFonts w:ascii="宋体" w:eastAsia="宋体" w:hAnsi="宋体" w:cs="宋体"/>
          <w:sz w:val="21"/>
          <w:szCs w:val="21"/>
        </w:rPr>
        <w:t>（深交所发行）,</w:t>
      </w:r>
      <w:proofErr w:type="spellStart"/>
      <w:r>
        <w:rPr>
          <w:rFonts w:ascii="宋体" w:eastAsia="宋体" w:hAnsi="宋体" w:cs="宋体"/>
          <w:sz w:val="21"/>
          <w:szCs w:val="21"/>
        </w:rPr>
        <w:t>sjsfw.dbf</w:t>
      </w:r>
      <w:proofErr w:type="spellEnd"/>
      <w:r>
        <w:rPr>
          <w:rFonts w:ascii="宋体" w:eastAsia="宋体" w:hAnsi="宋体" w:cs="宋体"/>
          <w:sz w:val="21"/>
          <w:szCs w:val="21"/>
        </w:rPr>
        <w:t>（深圳综合数据服务库）。</w:t>
      </w:r>
    </w:p>
    <w:p w14:paraId="182010C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以上数据仅限于与委托资产证券</w:t>
      </w:r>
      <w:proofErr w:type="gramStart"/>
      <w:r>
        <w:rPr>
          <w:rFonts w:ascii="宋体" w:eastAsia="宋体" w:hAnsi="宋体" w:cs="宋体"/>
          <w:sz w:val="21"/>
          <w:szCs w:val="21"/>
        </w:rPr>
        <w:t>资金台账所</w:t>
      </w:r>
      <w:proofErr w:type="gramEnd"/>
      <w:r>
        <w:rPr>
          <w:rFonts w:ascii="宋体" w:eastAsia="宋体" w:hAnsi="宋体" w:cs="宋体"/>
          <w:sz w:val="21"/>
          <w:szCs w:val="21"/>
        </w:rPr>
        <w:t>对应的数据。</w:t>
      </w:r>
    </w:p>
    <w:p w14:paraId="2130BE9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因本委托资产业务需要，管理人应相应增加相关数据文件。</w:t>
      </w:r>
    </w:p>
    <w:p w14:paraId="660CA34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3、管理人应于T+1日上午9:30前将T日清算后的证券</w:t>
      </w:r>
      <w:proofErr w:type="gramStart"/>
      <w:r>
        <w:rPr>
          <w:rFonts w:ascii="宋体" w:eastAsia="宋体" w:hAnsi="宋体" w:cs="宋体"/>
          <w:sz w:val="21"/>
          <w:szCs w:val="21"/>
        </w:rPr>
        <w:t>资金台</w:t>
      </w:r>
      <w:proofErr w:type="gramEnd"/>
      <w:r>
        <w:rPr>
          <w:rFonts w:ascii="宋体" w:eastAsia="宋体" w:hAnsi="宋体" w:cs="宋体"/>
          <w:sz w:val="21"/>
          <w:szCs w:val="21"/>
        </w:rPr>
        <w:t>账电子对账单通过传真或电子邮件发送给托管人，以便托管人进行对账。对账单内容包括委托资产T</w:t>
      </w:r>
      <w:proofErr w:type="gramStart"/>
      <w:r>
        <w:rPr>
          <w:rFonts w:ascii="宋体" w:eastAsia="宋体" w:hAnsi="宋体" w:cs="宋体"/>
          <w:sz w:val="21"/>
          <w:szCs w:val="21"/>
        </w:rPr>
        <w:t>日证券</w:t>
      </w:r>
      <w:proofErr w:type="gramEnd"/>
      <w:r>
        <w:rPr>
          <w:rFonts w:ascii="宋体" w:eastAsia="宋体" w:hAnsi="宋体" w:cs="宋体"/>
          <w:sz w:val="21"/>
          <w:szCs w:val="21"/>
        </w:rPr>
        <w:t>余额、资金余额、资金明细等内容。管理人应于每月结束后第一个交易日向托管人传真加盖预留印章的上月末委托资产资金余额及证券余额。</w:t>
      </w:r>
    </w:p>
    <w:p w14:paraId="0DE2029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4、管理人应于T+1日9：15前将委托资产的T日场内交易数据发送至托管人（但因证券交易所或中登及管理人无法控制的其他原因而造成数据延迟发送的情况除外），并电话确认托管人已接收数据，如遇到特殊情况出现数据发送延迟等情况应及时通知托管人。</w:t>
      </w:r>
    </w:p>
    <w:p w14:paraId="328A1C1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5、管理人在</w:t>
      </w:r>
      <w:proofErr w:type="gramStart"/>
      <w:r>
        <w:rPr>
          <w:rFonts w:ascii="宋体" w:eastAsia="宋体" w:hAnsi="宋体" w:cs="宋体"/>
          <w:sz w:val="21"/>
          <w:szCs w:val="21"/>
        </w:rPr>
        <w:t>本资产</w:t>
      </w:r>
      <w:proofErr w:type="gramEnd"/>
      <w:r>
        <w:rPr>
          <w:rFonts w:ascii="宋体" w:eastAsia="宋体" w:hAnsi="宋体" w:cs="宋体"/>
          <w:sz w:val="21"/>
          <w:szCs w:val="21"/>
        </w:rPr>
        <w:t>管理合同生效后三个工作日内以书面形式向托管人、委托人告知管理人在上交所和深交所的交易单元号、交易品种的费率表、佣金收取标准等（样本见附件）。</w:t>
      </w:r>
      <w:proofErr w:type="gramStart"/>
      <w:r>
        <w:rPr>
          <w:rFonts w:ascii="宋体" w:eastAsia="宋体" w:hAnsi="宋体" w:cs="宋体"/>
          <w:sz w:val="21"/>
          <w:szCs w:val="21"/>
        </w:rPr>
        <w:t>若协议</w:t>
      </w:r>
      <w:proofErr w:type="gramEnd"/>
      <w:r>
        <w:rPr>
          <w:rFonts w:ascii="宋体" w:eastAsia="宋体" w:hAnsi="宋体" w:cs="宋体"/>
          <w:sz w:val="21"/>
          <w:szCs w:val="21"/>
        </w:rPr>
        <w:t>期间交易单元号变动或涉及费率变动，则管理人应在新交易单元或费率变动生效前一个工作日书面告知托管人、委托人。</w:t>
      </w:r>
    </w:p>
    <w:p w14:paraId="77658CC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管理人应向委托人充分揭示相关风险，委托人同意其证券账户将有可能与管理人其他客户的证券账户共同使用管理人指定的交易单元，管理人保证，委托财产不得与管理人的其他客户资产、自有资产相混同，且不被挪用。</w:t>
      </w:r>
    </w:p>
    <w:p w14:paraId="0DD5AA7F" w14:textId="77777777" w:rsidR="00D4368C" w:rsidRDefault="00D4368C">
      <w:pPr>
        <w:spacing w:line="360" w:lineRule="auto"/>
        <w:ind w:firstLine="480"/>
        <w:rPr>
          <w:rFonts w:ascii="宋体" w:eastAsia="宋体" w:hAnsi="宋体" w:cs="宋体"/>
          <w:sz w:val="21"/>
          <w:szCs w:val="21"/>
        </w:rPr>
      </w:pPr>
    </w:p>
    <w:p w14:paraId="58FA90A5" w14:textId="77777777" w:rsidR="00D4368C" w:rsidRDefault="00D4368C">
      <w:pPr>
        <w:spacing w:line="360" w:lineRule="auto"/>
        <w:ind w:firstLine="480"/>
        <w:rPr>
          <w:rFonts w:ascii="宋体" w:eastAsia="宋体" w:hAnsi="宋体" w:cs="宋体"/>
          <w:sz w:val="21"/>
          <w:szCs w:val="21"/>
        </w:rPr>
      </w:pPr>
    </w:p>
    <w:p w14:paraId="1F8BE0DC" w14:textId="77777777" w:rsidR="00D4368C" w:rsidRDefault="001710E2">
      <w:pPr>
        <w:pStyle w:val="Heading1"/>
        <w:spacing w:before="0" w:after="0" w:line="360" w:lineRule="auto"/>
        <w:jc w:val="center"/>
        <w:rPr>
          <w:rFonts w:ascii="宋体" w:eastAsia="宋体" w:hAnsi="宋体" w:cs="宋体"/>
          <w:sz w:val="21"/>
          <w:szCs w:val="21"/>
        </w:rPr>
      </w:pPr>
      <w:bookmarkStart w:id="52" w:name="_Toc70622199"/>
      <w:bookmarkStart w:id="53" w:name="_Toc194741917"/>
      <w:bookmarkStart w:id="54" w:name="_Toc401668944"/>
      <w:r>
        <w:rPr>
          <w:rFonts w:ascii="宋体" w:eastAsia="宋体" w:hAnsi="宋体" w:cs="宋体" w:hint="eastAsia"/>
          <w:sz w:val="21"/>
          <w:szCs w:val="21"/>
        </w:rPr>
        <w:t>二十、资产管理计划财产的估值和会计核算</w:t>
      </w:r>
      <w:bookmarkEnd w:id="52"/>
      <w:bookmarkEnd w:id="53"/>
      <w:bookmarkEnd w:id="54"/>
    </w:p>
    <w:p w14:paraId="543E265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（一）估值目的</w:t>
      </w:r>
    </w:p>
    <w:p w14:paraId="6F52EB2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资产管理计划财产估值目的是客观、准确地反映资产管理计划财产的价值。</w:t>
      </w:r>
    </w:p>
    <w:p w14:paraId="5B14B69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（二）估值时间及估值程序</w:t>
      </w:r>
    </w:p>
    <w:p w14:paraId="44ADEDA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本计划的估值日为相关的证券交易场所的正常交易日，以及国家法律法规规定的需要进行估值的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日。资产管理人与资产托管人对每个交易日的计划财产进行估值，T+1日完成T日的估值并核对。用于</w:t>
      </w:r>
      <w:r>
        <w:rPr>
          <w:rFonts w:ascii="宋体" w:eastAsia="宋体" w:hAnsi="宋体" w:cs="宋体" w:hint="eastAsia"/>
          <w:sz w:val="21"/>
          <w:szCs w:val="21"/>
        </w:rPr>
        <w:lastRenderedPageBreak/>
        <w:t>向资产委托人报告的资产管理计划份额净值，资产管理人应于约定的估值</w:t>
      </w:r>
      <w:proofErr w:type="gramStart"/>
      <w:r>
        <w:rPr>
          <w:rFonts w:ascii="宋体" w:eastAsia="宋体" w:hAnsi="宋体" w:cs="宋体" w:hint="eastAsia"/>
          <w:sz w:val="21"/>
          <w:szCs w:val="21"/>
        </w:rPr>
        <w:t>核对日</w:t>
      </w:r>
      <w:proofErr w:type="gramEnd"/>
      <w:r>
        <w:rPr>
          <w:rFonts w:ascii="宋体" w:eastAsia="宋体" w:hAnsi="宋体" w:cs="宋体" w:hint="eastAsia"/>
          <w:sz w:val="21"/>
          <w:szCs w:val="21"/>
        </w:rPr>
        <w:t>计算并传送给资产托管人。</w:t>
      </w:r>
    </w:p>
    <w:p w14:paraId="5F8363A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资产净值是指资产管理计划资产总值减去负债后的价值，资产管理计划份额净值等于计算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净值除以计算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管理计划份额总额。资产管理计划份额净值的计算保留到小数点后4位，小数点后第5位四舍五入。</w:t>
      </w:r>
    </w:p>
    <w:p w14:paraId="4E93EAA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（三）估值依据</w:t>
      </w:r>
    </w:p>
    <w:p w14:paraId="1B9D8D0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估值应符合本合同、《证券投资基金会计核算业务指引》证监会计字[2007]21号《关于证券投资基金执行&lt;企业会计准则&gt;估值业务及份额净值计价有关事项的通知》、中国证监会[2008]38号公告《关于进一步规范证券投资基金估值业务的指导意见》及其他法律、法规的规定，如法律法规未做明确规定的，参照证券投资基金的行业通行做法处理。资产管理人、资产托管人的估值数据应依据合法的数据来源独立取得。对于固定收益类投资品种的估值应依据中国证券业协会基金估值工作小组的指导意见及指导价格估值。估值的基本原则：</w:t>
      </w:r>
    </w:p>
    <w:p w14:paraId="06379A7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对存在活跃市场的投资品种，如估值日有市价的，应采用市价确定公允价值。估值日无市价，但最近交易日后经济环境未发生重大变化且证券发行机构未发生影响证券价格的重大事件的，应采用最近交易市价确定公允价值。如估值日无市价，且最近交易日后经济环境发生了重大变化且证券发行机构发生了影响证券价格的重大事件的，应参考类似投资品种的现行市价及重大变化因素，调整最近交易市价，确定公允价值。有充足证据表明最近交易市价不能真实反映公允价值的，应对最近交易的市价进行调整，确定公允价值。</w:t>
      </w:r>
    </w:p>
    <w:p w14:paraId="1E2D69B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对不存在活跃市场的投资品种，应采用市场参与者普遍认同，且被以往市场实际交易价格验证具有可靠性的估值技术确定公允价值。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w:t>
      </w:r>
    </w:p>
    <w:p w14:paraId="4F3CC0C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（3）有充足理由表明按以上估值原则仍不能客观反映相关投资品种的公允价值的，资产管理人应根据具体情况与托管人进行商定，按最能恰当反映公允价值的价格估值。</w:t>
      </w:r>
    </w:p>
    <w:p w14:paraId="68BCA0C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（四）估值对象</w:t>
      </w:r>
    </w:p>
    <w:p w14:paraId="2771EB1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资产管理计划所拥有的金融资产及负债。</w:t>
      </w:r>
    </w:p>
    <w:p w14:paraId="585556B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（五）估值方法</w:t>
      </w:r>
    </w:p>
    <w:p w14:paraId="5CEC26C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本计划按以下方式进行估值：</w:t>
      </w:r>
    </w:p>
    <w:p w14:paraId="6A99B0D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1、证券交易所上市的有价证券的估值</w:t>
      </w:r>
    </w:p>
    <w:p w14:paraId="2522C3B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交易所上市的有价证券（包括股票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14:paraId="41BAE42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（2）交易所上市交易或挂牌转让的固定收益品种（合同另有约定的除外），选取估值日第三方估值机构提供的相应品种对应的估值净价估值。</w:t>
      </w:r>
    </w:p>
    <w:p w14:paraId="39CF672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交易所上市可转换债券按估值日收盘价减去债券收盘价中所含的债券应收利息得到的净价进行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14:paraId="64B481A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（4）交易所上市的资产支持证券、私募可交换债等非公开发行债券，采用估值技术确定公允价值。</w:t>
      </w:r>
    </w:p>
    <w:p w14:paraId="7BDFD37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2、处于未上市期间的有价证券应区分如下情况处理：</w:t>
      </w:r>
    </w:p>
    <w:p w14:paraId="54C1561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送股、转增股、配股和公开增发的新股（下列有明确锁定或在发行时明确限售期的股票除外），按估值日在证券交易所挂牌的同一股票的市价（收盘价）估值；该日无交易的，以最近一日的市价（收盘价）估值。</w:t>
      </w:r>
    </w:p>
    <w:p w14:paraId="1810E84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（2）首次公开发行未上市的股票、债券，采用估值技术确定公允价值。</w:t>
      </w:r>
    </w:p>
    <w:p w14:paraId="5BACCF6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（3）有明确锁定期或在发行时明确限售期的股票（不包括全国中小企业股份转让系统的股票），在获取确定的锁定期/限售期</w:t>
      </w:r>
      <w:proofErr w:type="gramStart"/>
      <w:r>
        <w:rPr>
          <w:rFonts w:ascii="宋体" w:eastAsia="宋体" w:hAnsi="宋体" w:cs="宋体"/>
          <w:sz w:val="21"/>
          <w:szCs w:val="21"/>
        </w:rPr>
        <w:t>起始日前</w:t>
      </w:r>
      <w:proofErr w:type="gramEnd"/>
      <w:r>
        <w:rPr>
          <w:rFonts w:ascii="宋体" w:eastAsia="宋体" w:hAnsi="宋体" w:cs="宋体"/>
          <w:sz w:val="21"/>
          <w:szCs w:val="21"/>
        </w:rPr>
        <w:t>以证券交易所挂牌的同一股票的市价（收盘价）估值；该日无交易的，以最近一日的市价（收盘价）估值，无市价（收盘价）的，采用估值技术确定公允价值；如股票发行公告等公开信息无法获取锁定期/限售期，管理人应当及时通知托管</w:t>
      </w:r>
      <w:proofErr w:type="gramStart"/>
      <w:r>
        <w:rPr>
          <w:rFonts w:ascii="宋体" w:eastAsia="宋体" w:hAnsi="宋体" w:cs="宋体"/>
          <w:sz w:val="21"/>
          <w:szCs w:val="21"/>
        </w:rPr>
        <w:t>人上述</w:t>
      </w:r>
      <w:proofErr w:type="gramEnd"/>
      <w:r>
        <w:rPr>
          <w:rFonts w:ascii="宋体" w:eastAsia="宋体" w:hAnsi="宋体" w:cs="宋体"/>
          <w:sz w:val="21"/>
          <w:szCs w:val="21"/>
        </w:rPr>
        <w:t>流通受限股票的锁定期/限售期，如因管理人未及时告知托管人锁定期/限售期，导致托管人无法获得锁定期/限售期，则托管人在锁定期/限售期内按照证券交易所挂牌的同一股票的市价（收盘价）估值，由此造成的后果由管理人自行承担。自获取确定的锁定期/限售期起始日起，按下列原则进行估值：</w:t>
      </w:r>
    </w:p>
    <w:p w14:paraId="0F9D7EC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在发行时明确一定期限限售期的股票（不包括全国中小企业股份转让系统的股票），</w:t>
      </w:r>
      <w:r>
        <w:rPr>
          <w:rFonts w:ascii="宋体" w:eastAsia="宋体" w:hAnsi="宋体" w:cs="宋体" w:hint="eastAsia"/>
          <w:bCs/>
          <w:sz w:val="21"/>
          <w:szCs w:val="21"/>
        </w:rPr>
        <w:t>包括但不限于非公开发行股票、首次公开发行股票时公司股东公开发售股份、通过大宗交易取得的带限售期的股票等</w:t>
      </w:r>
      <w:r>
        <w:rPr>
          <w:rFonts w:ascii="宋体" w:eastAsia="宋体" w:hAnsi="宋体" w:cs="宋体" w:hint="eastAsia"/>
          <w:sz w:val="21"/>
          <w:szCs w:val="21"/>
        </w:rPr>
        <w:t>，按监管机构或行业协会的有关规定确定公允价值。对于基金业协会规定的流通受限股票估值取值中的“流通受限股票的流动性折扣”，当估值日第三方估值机构未提供该流动性折扣时，则优先采用距估值日最近交</w:t>
      </w:r>
      <w:r>
        <w:rPr>
          <w:rFonts w:ascii="宋体" w:eastAsia="宋体" w:hAnsi="宋体" w:cs="宋体" w:hint="eastAsia"/>
          <w:sz w:val="21"/>
          <w:szCs w:val="21"/>
        </w:rPr>
        <w:lastRenderedPageBreak/>
        <w:t>易日第三方估值机构提供的流动性折扣进行估值处理；若第三方估值机构无法提供</w:t>
      </w:r>
      <w:proofErr w:type="gramStart"/>
      <w:r>
        <w:rPr>
          <w:rFonts w:ascii="宋体" w:eastAsia="宋体" w:hAnsi="宋体" w:cs="宋体" w:hint="eastAsia"/>
          <w:sz w:val="21"/>
          <w:szCs w:val="21"/>
        </w:rPr>
        <w:t>该流通</w:t>
      </w:r>
      <w:proofErr w:type="gramEnd"/>
      <w:r>
        <w:rPr>
          <w:rFonts w:ascii="宋体" w:eastAsia="宋体" w:hAnsi="宋体" w:cs="宋体" w:hint="eastAsia"/>
          <w:sz w:val="21"/>
          <w:szCs w:val="21"/>
        </w:rPr>
        <w:t>受限股票的流动性折扣，则按估值日</w:t>
      </w:r>
      <w:proofErr w:type="gramStart"/>
      <w:r>
        <w:rPr>
          <w:rFonts w:ascii="宋体" w:eastAsia="宋体" w:hAnsi="宋体" w:cs="宋体" w:hint="eastAsia"/>
          <w:sz w:val="21"/>
          <w:szCs w:val="21"/>
        </w:rPr>
        <w:t>该流通</w:t>
      </w:r>
      <w:proofErr w:type="gramEnd"/>
      <w:r>
        <w:rPr>
          <w:rFonts w:ascii="宋体" w:eastAsia="宋体" w:hAnsi="宋体" w:cs="宋体" w:hint="eastAsia"/>
          <w:sz w:val="21"/>
          <w:szCs w:val="21"/>
        </w:rPr>
        <w:t>受限股票在证券交易所上市交易的同一股票的市价（收盘价）估值；该日无交易的，以最近一日的市价（收盘价）估值。</w:t>
      </w:r>
    </w:p>
    <w:p w14:paraId="28167D4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对在交易所市场首次公开发行未上市或未挂牌转让的固定收益品种，选取第三方估值机构提供的相应品种当日的估值净价进行估值。如第三方估值机构不发布估值价的，采用估值技术确定的公允价值进行估值。</w:t>
      </w:r>
    </w:p>
    <w:p w14:paraId="01CFE6F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3、全国银行间债券市场交易的债券、资产支持证券等固定收益品种，选取估值日第三方估值机构提供的相应品种对应的估值净价估值。</w:t>
      </w:r>
    </w:p>
    <w:p w14:paraId="1FDCDFC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4、同一债券同时在两个或两个以上市场交易的，按债券所处的市场分别估值。</w:t>
      </w:r>
    </w:p>
    <w:p w14:paraId="7781E92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5、证券投资基金的估值</w:t>
      </w:r>
    </w:p>
    <w:p w14:paraId="4DD96FE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（1）上市证券投资基金的估值</w:t>
      </w:r>
    </w:p>
    <w:p w14:paraId="29A7C85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）非货币市场基金按估值日其所在证券交易所的收盘价估值；</w:t>
      </w:r>
    </w:p>
    <w:p w14:paraId="24BC908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（ii）无市价的场内货币市场基金按照实际增加的份额数量确认收益；有市价的场内货币市场基金按收盘价估值，并按照实际增加的份额数量确认收益；</w:t>
      </w:r>
    </w:p>
    <w:p w14:paraId="7100B7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iii）若估值日无交易，且最近交易日后市场环境未发生重大变化，按最近交易日的收盘价估值;如最近交易日后市场环境发生了重大变化的，可使用最新的基金份额净值为基础或参考类似投资品种的现行市价及重大变化因素调整最近交易市价，确定公允价值。</w:t>
      </w:r>
    </w:p>
    <w:p w14:paraId="4380EF8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（2）非上市证券投资基金的估值</w:t>
      </w:r>
    </w:p>
    <w:p w14:paraId="4472CDC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）非交易所上市的开放式基金（包括场外登记的LOF、ETF等），以估值日基金份额净值估值；</w:t>
      </w:r>
    </w:p>
    <w:p w14:paraId="034C8E0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（ii）货币市场基金和货币型理财基金，按前一估值日后至估值日期间（含节假日）的万份收益计提估值日基金收益；</w:t>
      </w:r>
    </w:p>
    <w:p w14:paraId="2AF07FE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（iii）估值日不公布开放式基金份额净值的，以此前最近公布的基金份额净值估值；尚未公布过基金份额净值的，采用估值技术确定公允价值。</w:t>
      </w:r>
    </w:p>
    <w:p w14:paraId="6766811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（3）基金分红除权、拆分和折算等情况的估值</w:t>
      </w:r>
    </w:p>
    <w:p w14:paraId="6273B34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如果所投资基金前一估值日至估值日期间发生分红除权、拆分或折算，管理人根据基金份额净值或收盘价、单位基金份额分红金额、折算拆分比例、持仓份额等因素合理确定公允价值。</w:t>
      </w:r>
    </w:p>
    <w:p w14:paraId="0BB1E67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w:t>
      </w:r>
      <w:proofErr w:type="gramStart"/>
      <w:r>
        <w:rPr>
          <w:rFonts w:ascii="宋体" w:eastAsia="宋体" w:hAnsi="宋体" w:cs="宋体" w:hint="eastAsia"/>
          <w:sz w:val="21"/>
          <w:szCs w:val="21"/>
        </w:rPr>
        <w:t>若基金</w:t>
      </w:r>
      <w:proofErr w:type="gramEnd"/>
      <w:r>
        <w:rPr>
          <w:rFonts w:ascii="宋体" w:eastAsia="宋体" w:hAnsi="宋体" w:cs="宋体" w:hint="eastAsia"/>
          <w:sz w:val="21"/>
          <w:szCs w:val="21"/>
        </w:rPr>
        <w:t>价格无法通过公开信息取得，参照最近一个交易日可取得的主要做市商或其他权威价格提供机构的报价进行估值。托管人依据管理人提供的投资标的净值进行账务处理，不对其净值的公允性负</w:t>
      </w:r>
      <w:r>
        <w:rPr>
          <w:rFonts w:ascii="宋体" w:eastAsia="宋体" w:hAnsi="宋体" w:cs="宋体" w:hint="eastAsia"/>
          <w:sz w:val="21"/>
          <w:szCs w:val="21"/>
        </w:rPr>
        <w:lastRenderedPageBreak/>
        <w:t>责。</w:t>
      </w:r>
    </w:p>
    <w:p w14:paraId="42E423A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6、银行存款、回购等固定收益工具按照约定利率在持有期内逐日计提应收利息，在利息到账日以实收利息入账。</w:t>
      </w:r>
    </w:p>
    <w:p w14:paraId="45377F4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7、期货合约估值方法</w:t>
      </w:r>
    </w:p>
    <w:p w14:paraId="7D1A8B9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（1）期货合约一般以估值当日结算价格进行估值，估值当日无结算价的，且最近交易日后经济环境未发生重大变化的，采用最近交易日结算价估值；</w:t>
      </w:r>
    </w:p>
    <w:p w14:paraId="7E697CD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在任何情况下，资产管理人如采用本项第（1）小项规定的方法对计划资产进行估值，均应被认为采用了适当的估值方法。但是，如果资产管理人认为按本项第（1）小项规定的方法对计划资产进行估值不能客观反映其公允价值的，资产管理人可根据具体情况，并与资产托管人商定后，按最能反映公允价值的价格估值。</w:t>
      </w:r>
    </w:p>
    <w:p w14:paraId="2FE80AD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8、管理人与托管人根据能够反映其公允价值的方法对其他投资品进行估值。</w:t>
      </w:r>
    </w:p>
    <w:p w14:paraId="73F5C5BB" w14:textId="77777777" w:rsidR="00D4368C" w:rsidRDefault="001710E2">
      <w:pPr>
        <w:spacing w:line="360" w:lineRule="auto"/>
        <w:ind w:firstLine="480"/>
        <w:rPr>
          <w:rStyle w:val="CommentReference"/>
          <w:rFonts w:ascii="宋体" w:eastAsia="宋体" w:hAnsi="宋体" w:cs="宋体"/>
        </w:rPr>
      </w:pPr>
      <w:r>
        <w:rPr>
          <w:rFonts w:ascii="宋体" w:eastAsia="宋体" w:hAnsi="宋体" w:cs="宋体" w:hint="eastAsia"/>
          <w:sz w:val="21"/>
          <w:szCs w:val="21"/>
        </w:rPr>
        <w:t>9、估值计算中涉及港币或其他外币币种对人民币汇率的，可参考当日中国人民银行或其授权机构公布的人民币汇率中间价。</w:t>
      </w:r>
    </w:p>
    <w:p w14:paraId="36AF840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10、在任何情况下，资产管理人如果采用本项1-9中规定的方法对委托财产进行估值，均应被认为采用了适当的估值方法。但是，如有确凿证据表明按上述方法进行估值不能客观反映其公允价值的，资产管理人可根据具体情况与资产托管人商定后，按最能反映公允价值的价格估值。</w:t>
      </w:r>
    </w:p>
    <w:p w14:paraId="0668EC5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11、相关法律法规以及监管部门有强制规定的，从其规定。如有新增事项，按国家最新规定估值。</w:t>
      </w:r>
    </w:p>
    <w:p w14:paraId="0240943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（六）估值错误的处理</w:t>
      </w:r>
    </w:p>
    <w:p w14:paraId="0283A39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如资产管理人或资产托管人发现计划资产估值违反本合同订明的估值方法、程序及相关法律法规的规定或者未能充分维护资产委托人利益时，应立即通知对方，共同查明原因，协商解决。</w:t>
      </w:r>
    </w:p>
    <w:p w14:paraId="0F27402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当计划资产估值错误偏差达到计划财产净值的0.5%时，资产管理人应该立即更正并在定期报告中报告资产委托人。资产管理人计算的计划财产净值已由资产托管人复核确认、但因资产估值错误给资产委托人造成损失的，由资产管理人与资产托管人按照过错程度各自承担相应的责任。</w:t>
      </w:r>
    </w:p>
    <w:p w14:paraId="6FD6064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由于一方当事人提供的信息错误，另一方当事人在采取了必要合理的措施后仍不能发现该错误，进而导致计划财产净值计算错误造成资产委托人的损失，以及由此造成以后交易日计划财产净值计算顺延错误而引起的资产委托人的损失，由提供错误信息的当事人一方负责赔偿。</w:t>
      </w:r>
    </w:p>
    <w:p w14:paraId="00BB1D9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（七）估值调整的情形与处理：</w:t>
      </w:r>
    </w:p>
    <w:p w14:paraId="256AE4D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（1）对于存在活跃市场且能够获取相同资产或负债报价的投资品种，估值日无交易，且有充足证据</w:t>
      </w:r>
      <w:r>
        <w:rPr>
          <w:rFonts w:ascii="宋体" w:eastAsia="宋体" w:hAnsi="宋体" w:cs="宋体" w:hint="eastAsia"/>
          <w:sz w:val="21"/>
          <w:szCs w:val="21"/>
        </w:rPr>
        <w:lastRenderedPageBreak/>
        <w:t>表明估值日或最近交易日的报价不能真实反映公允价值的，资产管理人应与资产托管人协商一致后对估值价格进行调整，确定公允价值。此外，资产管理人估值不应考虑本计划大量持有相关资产或负债所产生的溢价或折价；</w:t>
      </w:r>
    </w:p>
    <w:p w14:paraId="10D94A9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（2）对不存在活跃市场的投资品种，应优先使用可观察输入值，在无法获得相关资产或负债可观察输入值或取得不切实可行的情况下，可以使用不可观察输入值；</w:t>
      </w:r>
    </w:p>
    <w:p w14:paraId="7B107E2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（3）如经济环境发生重大变化或证券发行人发生影响证券价格的重大事件，使潜在估值调整对前一估值日的计划资产净值的影响在0.5%以上的，应对估值进行调整并确定公允价值。</w:t>
      </w:r>
    </w:p>
    <w:p w14:paraId="42C586B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（八）暂停估值的情形</w:t>
      </w:r>
    </w:p>
    <w:p w14:paraId="2ECCD33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1、计划投资所涉及的证券交易场所遇法定节假日或因其他原因暂停营业时；</w:t>
      </w:r>
    </w:p>
    <w:p w14:paraId="02D0F26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2、因不可抗力或其他情形致使资产管理人、资产托管人无法准确评估资产管理计划财产价值时；</w:t>
      </w:r>
    </w:p>
    <w:p w14:paraId="24F01D1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3、占资产管理计划相当比例的投资品种的估值出现重大转变，而资产管理人为保障投资者的利益，决定延迟估值的情形；</w:t>
      </w:r>
    </w:p>
    <w:p w14:paraId="2A9862E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4、中国证监会认定的其他情形。</w:t>
      </w:r>
    </w:p>
    <w:p w14:paraId="33182D1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（九）资产管理计划资产份额净值的确认</w:t>
      </w:r>
    </w:p>
    <w:p w14:paraId="4185882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资产管理计划的资产份额净值由资产管理人负责计算，资产托管人负责进行复核。如经在平等基础上充分讨论后，仍无法达成一致的意见，按照资产管理人对资产管理计划资产份额净值的计算结果为准</w:t>
      </w:r>
      <w:r>
        <w:rPr>
          <w:rFonts w:ascii="宋体" w:eastAsia="宋体" w:hAnsi="宋体" w:cs="宋体"/>
          <w:sz w:val="21"/>
          <w:szCs w:val="21"/>
        </w:rPr>
        <w:t>,由此给资产委托人和委托财产造成的损失，</w:t>
      </w:r>
      <w:r>
        <w:rPr>
          <w:rFonts w:ascii="宋体" w:eastAsia="宋体" w:hAnsi="宋体" w:cs="宋体" w:hint="eastAsia"/>
          <w:sz w:val="21"/>
          <w:szCs w:val="21"/>
        </w:rPr>
        <w:t>由过错方承担</w:t>
      </w:r>
      <w:r>
        <w:rPr>
          <w:rFonts w:ascii="宋体" w:eastAsia="宋体" w:hAnsi="宋体" w:cs="宋体"/>
          <w:sz w:val="21"/>
          <w:szCs w:val="21"/>
        </w:rPr>
        <w:t>。</w:t>
      </w:r>
    </w:p>
    <w:p w14:paraId="3AC5ACC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（十）特殊情况的处理</w:t>
      </w:r>
    </w:p>
    <w:p w14:paraId="4C82B30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1、资产管理人或资产托管人按上述“（五）估值方法”的第10项进行估值时，所造成的误差不作为估值错误处理。</w:t>
      </w:r>
    </w:p>
    <w:p w14:paraId="4D1BC24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由于证券交易所及注册登记结算机构发送的数据错误或者由于其他不可抗力等，资产管理人和资产托管人虽然已经采取必要、适当、合理、专业的措施进行检查，但未能发现错误的，由此造成的估值错误，资产管理人和资产托管人免除赔偿责任。但资产管理人、资产托管人应当积极采取必要的措施减轻或消除由此造成的影响。</w:t>
      </w:r>
    </w:p>
    <w:p w14:paraId="3CF80AD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（十一）资产管理计划的会计政策</w:t>
      </w:r>
    </w:p>
    <w:p w14:paraId="12C56C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资产管理计划的会计政策比照证券投资基金现行政策执行：</w:t>
      </w:r>
    </w:p>
    <w:p w14:paraId="3AD47E9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1、资产管理人为本计划的主要会计责任方。</w:t>
      </w:r>
    </w:p>
    <w:p w14:paraId="0508A10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2、本计划的会计年度为公历年度的1月1日至12月31日。</w:t>
      </w:r>
    </w:p>
    <w:p w14:paraId="371631E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3、计划核算以人民币为记账本位币，以人民币元为记账单位。</w:t>
      </w:r>
    </w:p>
    <w:p w14:paraId="69864DA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4、会计制度执行国家有关会计制度。</w:t>
      </w:r>
    </w:p>
    <w:p w14:paraId="605CEEF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5、本计划独立建账、独立核算。</w:t>
      </w:r>
    </w:p>
    <w:p w14:paraId="6848F6B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6、资产管理人及资产托管人各自保留完整的会计账目、凭证并进行日常的会计核算，按照本合同约定编制会计报表。</w:t>
      </w:r>
    </w:p>
    <w:p w14:paraId="522CA02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7、资产托管人定期与资产管理人就资产管理计划的会计核算、报表编制等进行核对并以书面方式确认。</w:t>
      </w:r>
    </w:p>
    <w:p w14:paraId="1509707C" w14:textId="77777777" w:rsidR="00D4368C" w:rsidRDefault="00D4368C">
      <w:pPr>
        <w:spacing w:line="360" w:lineRule="auto"/>
        <w:ind w:firstLine="480"/>
        <w:rPr>
          <w:rFonts w:ascii="宋体" w:eastAsia="宋体" w:hAnsi="宋体" w:cs="宋体"/>
          <w:sz w:val="21"/>
          <w:szCs w:val="21"/>
        </w:rPr>
      </w:pPr>
    </w:p>
    <w:p w14:paraId="262CF6E0" w14:textId="77777777" w:rsidR="00D4368C" w:rsidRDefault="001710E2">
      <w:pPr>
        <w:pStyle w:val="Heading1"/>
        <w:spacing w:before="0" w:after="0" w:line="360" w:lineRule="auto"/>
        <w:jc w:val="center"/>
        <w:rPr>
          <w:rFonts w:ascii="宋体" w:eastAsia="宋体" w:hAnsi="宋体" w:cs="宋体"/>
          <w:sz w:val="21"/>
          <w:szCs w:val="21"/>
        </w:rPr>
      </w:pPr>
      <w:bookmarkStart w:id="55" w:name="_Toc401668945"/>
      <w:bookmarkStart w:id="56" w:name="_Toc70622200"/>
      <w:bookmarkStart w:id="57" w:name="_Toc194741918"/>
      <w:r>
        <w:rPr>
          <w:rFonts w:ascii="宋体" w:eastAsia="宋体" w:hAnsi="宋体" w:cs="宋体" w:hint="eastAsia"/>
          <w:sz w:val="21"/>
          <w:szCs w:val="21"/>
        </w:rPr>
        <w:t>二十一、资产管理计划的费用与税收</w:t>
      </w:r>
      <w:bookmarkEnd w:id="55"/>
      <w:bookmarkEnd w:id="56"/>
      <w:bookmarkEnd w:id="57"/>
    </w:p>
    <w:p w14:paraId="2607C13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)资产管理业务费用的种类</w:t>
      </w:r>
    </w:p>
    <w:p w14:paraId="128B827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1、资产管理人的管理费；</w:t>
      </w:r>
    </w:p>
    <w:p w14:paraId="0D19E1C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2、资产托管人的托管费；</w:t>
      </w:r>
    </w:p>
    <w:p w14:paraId="34F69BF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3、委托财产拨</w:t>
      </w:r>
      <w:proofErr w:type="gramStart"/>
      <w:r>
        <w:rPr>
          <w:rFonts w:ascii="宋体" w:eastAsia="宋体" w:hAnsi="宋体" w:cs="宋体" w:hint="eastAsia"/>
          <w:sz w:val="21"/>
          <w:szCs w:val="21"/>
        </w:rPr>
        <w:t>划支付</w:t>
      </w:r>
      <w:proofErr w:type="gramEnd"/>
      <w:r>
        <w:rPr>
          <w:rFonts w:ascii="宋体" w:eastAsia="宋体" w:hAnsi="宋体" w:cs="宋体" w:hint="eastAsia"/>
          <w:sz w:val="21"/>
          <w:szCs w:val="21"/>
        </w:rPr>
        <w:t>的银行费用；</w:t>
      </w:r>
    </w:p>
    <w:p w14:paraId="73CAB11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4、委托财产的证券、期货等账户的开户费用以及证券、期货等投资交易费用；</w:t>
      </w:r>
    </w:p>
    <w:p w14:paraId="41F9A9E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5、资产管理计划成立后的资产管理计划信息披露费用；</w:t>
      </w:r>
    </w:p>
    <w:p w14:paraId="21F90E2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6、资产管理计划成立后与资产管理计划有关的会计师费、审计费、律师费、仲裁费、诉讼费、保全费等；</w:t>
      </w:r>
    </w:p>
    <w:p w14:paraId="6AA1410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7、按照法律法规及本合同的约定可以在委托财产中列支的其他费用。</w:t>
      </w:r>
    </w:p>
    <w:p w14:paraId="4748158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(二)费用计提方法、计提标准和支付方式</w:t>
      </w:r>
    </w:p>
    <w:p w14:paraId="336F15D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1、资产管理人的管理费</w:t>
      </w:r>
    </w:p>
    <w:p w14:paraId="47A6AB1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本委托财产的年管理费率为【0.02】%。计算方法如下：</w:t>
      </w:r>
    </w:p>
    <w:p w14:paraId="5FFF134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H＝E×年管理费率÷365</w:t>
      </w:r>
    </w:p>
    <w:p w14:paraId="5792ACC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H为每日应计提的委托财产管理费</w:t>
      </w:r>
    </w:p>
    <w:p w14:paraId="30FA69E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E为前一自然</w:t>
      </w:r>
      <w:proofErr w:type="gramStart"/>
      <w:r>
        <w:rPr>
          <w:rFonts w:ascii="宋体" w:eastAsia="宋体" w:hAnsi="宋体" w:cs="宋体" w:hint="eastAsia"/>
          <w:sz w:val="21"/>
          <w:szCs w:val="21"/>
        </w:rPr>
        <w:t>日委托</w:t>
      </w:r>
      <w:proofErr w:type="gramEnd"/>
      <w:r>
        <w:rPr>
          <w:rFonts w:ascii="宋体" w:eastAsia="宋体" w:hAnsi="宋体" w:cs="宋体" w:hint="eastAsia"/>
          <w:sz w:val="21"/>
          <w:szCs w:val="21"/>
        </w:rPr>
        <w:t>财产净值</w:t>
      </w:r>
    </w:p>
    <w:p w14:paraId="11BD1A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委托财产管理费</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计划成立日起，每日计提，按自然季度支付。由资产管理人向资产托管人发送划款指令，资产托管人复核后从资产管理计划财产中一次性支付给资产管理人。若因不可抗力或持有的委托财产无法及时变现致使无法按时支付的，则在不可抗力或无法变现的情形消除后支付。本计划终止（包括提前或延期）后，依据清算程序支付管理人尚未支付的管理费。</w:t>
      </w:r>
    </w:p>
    <w:p w14:paraId="1EA9F12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资产管理人管理费收费账户信息如下：</w:t>
      </w:r>
    </w:p>
    <w:p w14:paraId="7896217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户    名: </w:t>
      </w:r>
      <w:r>
        <w:rPr>
          <w:rFonts w:ascii="宋体" w:eastAsia="宋体" w:hAnsi="宋体" w:cs="宋体" w:hint="eastAsia"/>
          <w:color w:val="000000"/>
          <w:sz w:val="21"/>
          <w:szCs w:val="21"/>
        </w:rPr>
        <w:t>光大期货有限公司</w:t>
      </w:r>
    </w:p>
    <w:p w14:paraId="328DBA9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开 户 行: </w:t>
      </w:r>
      <w:r>
        <w:rPr>
          <w:rFonts w:ascii="宋体" w:eastAsia="宋体" w:hAnsi="宋体" w:cs="宋体" w:hint="eastAsia"/>
          <w:color w:val="000000"/>
          <w:sz w:val="21"/>
          <w:szCs w:val="21"/>
        </w:rPr>
        <w:t>建设银行上海期货支行</w:t>
      </w:r>
    </w:p>
    <w:p w14:paraId="023B810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银行账号：</w:t>
      </w:r>
      <w:r>
        <w:rPr>
          <w:rFonts w:ascii="宋体" w:eastAsia="宋体" w:hAnsi="宋体" w:cs="宋体" w:hint="eastAsia"/>
          <w:color w:val="000000"/>
          <w:sz w:val="21"/>
          <w:szCs w:val="21"/>
        </w:rPr>
        <w:t>31001559100056990042</w:t>
      </w:r>
    </w:p>
    <w:p w14:paraId="3FD1CB6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2、资产托管人的托管费</w:t>
      </w:r>
    </w:p>
    <w:p w14:paraId="6E74EA6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本委托财产年托管费率为【0.01】%。计算方法如下：</w:t>
      </w:r>
    </w:p>
    <w:p w14:paraId="1652A82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H＝E×年托管费率÷365</w:t>
      </w:r>
    </w:p>
    <w:p w14:paraId="7C089A9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H为每日应计提的委托财产托管费</w:t>
      </w:r>
    </w:p>
    <w:p w14:paraId="711F207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E为前一自然</w:t>
      </w:r>
      <w:proofErr w:type="gramStart"/>
      <w:r>
        <w:rPr>
          <w:rFonts w:ascii="宋体" w:eastAsia="宋体" w:hAnsi="宋体" w:cs="宋体" w:hint="eastAsia"/>
          <w:sz w:val="21"/>
          <w:szCs w:val="21"/>
        </w:rPr>
        <w:t>日委托</w:t>
      </w:r>
      <w:proofErr w:type="gramEnd"/>
      <w:r>
        <w:rPr>
          <w:rFonts w:ascii="宋体" w:eastAsia="宋体" w:hAnsi="宋体" w:cs="宋体" w:hint="eastAsia"/>
          <w:sz w:val="21"/>
          <w:szCs w:val="21"/>
        </w:rPr>
        <w:t>财产净值</w:t>
      </w:r>
    </w:p>
    <w:p w14:paraId="522E5E0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委托财产托管</w:t>
      </w:r>
      <w:proofErr w:type="gramStart"/>
      <w:r>
        <w:rPr>
          <w:rFonts w:ascii="宋体" w:eastAsia="宋体" w:hAnsi="宋体" w:cs="宋体" w:hint="eastAsia"/>
          <w:sz w:val="21"/>
          <w:szCs w:val="21"/>
        </w:rPr>
        <w:t>费自资产</w:t>
      </w:r>
      <w:proofErr w:type="gramEnd"/>
      <w:r>
        <w:rPr>
          <w:rFonts w:ascii="宋体" w:eastAsia="宋体" w:hAnsi="宋体" w:cs="宋体" w:hint="eastAsia"/>
          <w:sz w:val="21"/>
          <w:szCs w:val="21"/>
        </w:rPr>
        <w:t>计划成立日起，每日计提，按自然季度支付。由资产管理人向资产托管人发送划款指令，资产托管人复核后从资产管理计划财产中一次性支付给资产托管人。若因不可抗力或持有的委托财产无法及时变现致使无法按时支付的，则在不可抗力或无法变现情形消除后支付。本计划终止（包括提前或延期）后，依据清算程序支付托管人尚未支付的托管费。</w:t>
      </w:r>
    </w:p>
    <w:p w14:paraId="57D963A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资产托管人托管费收费账户信息如下：</w:t>
      </w:r>
    </w:p>
    <w:p w14:paraId="49D0808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户  名：基金托管费收入</w:t>
      </w:r>
    </w:p>
    <w:p w14:paraId="5EDF1E0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开户行：中国光大银行（系统支付号303100000006）</w:t>
      </w:r>
    </w:p>
    <w:p w14:paraId="309080E3" w14:textId="77777777" w:rsidR="00D4368C" w:rsidRDefault="001710E2">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账</w:t>
      </w:r>
      <w:proofErr w:type="gramEnd"/>
      <w:r>
        <w:rPr>
          <w:rFonts w:ascii="宋体" w:eastAsia="宋体" w:hAnsi="宋体" w:cs="宋体" w:hint="eastAsia"/>
          <w:sz w:val="21"/>
          <w:szCs w:val="21"/>
        </w:rPr>
        <w:t xml:space="preserve">  号：10010117380000001</w:t>
      </w:r>
    </w:p>
    <w:p w14:paraId="32AD45B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3、上述(</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)中其他项费用由资产托管人根据其他有关法规及相应协议的规定，按费用支出金额支付，列入或摊入当期委托财产运作费用。</w:t>
      </w:r>
    </w:p>
    <w:p w14:paraId="3C58D26D" w14:textId="77777777" w:rsidR="00D4368C" w:rsidRDefault="001710E2">
      <w:pPr>
        <w:spacing w:line="360" w:lineRule="auto"/>
        <w:ind w:firstLine="480"/>
      </w:pPr>
      <w:r>
        <w:rPr>
          <w:rFonts w:ascii="宋体" w:eastAsia="宋体" w:hAnsi="宋体" w:cs="宋体"/>
          <w:sz w:val="21"/>
          <w:szCs w:val="21"/>
        </w:rPr>
        <w:t>应支付跨行资金汇划手续费为人民币元，由资产托管人自动从资产管理计划中扣除，收款账户信息如下：</w:t>
      </w:r>
    </w:p>
    <w:p w14:paraId="368D81FB" w14:textId="77777777" w:rsidR="00D4368C" w:rsidRDefault="001710E2">
      <w:pPr>
        <w:spacing w:line="360" w:lineRule="auto"/>
        <w:ind w:firstLine="480"/>
      </w:pPr>
      <w:r>
        <w:rPr>
          <w:rFonts w:ascii="宋体" w:eastAsia="宋体" w:hAnsi="宋体" w:cs="宋体"/>
          <w:sz w:val="21"/>
          <w:szCs w:val="21"/>
        </w:rPr>
        <w:t>账户名称：国内结算手续费收入</w:t>
      </w:r>
    </w:p>
    <w:p w14:paraId="6DC0409D" w14:textId="77777777" w:rsidR="00D4368C" w:rsidRDefault="001710E2">
      <w:pPr>
        <w:spacing w:line="360" w:lineRule="auto"/>
        <w:ind w:firstLine="480"/>
      </w:pPr>
      <w:r>
        <w:rPr>
          <w:rFonts w:ascii="宋体" w:eastAsia="宋体" w:hAnsi="宋体" w:cs="宋体"/>
          <w:sz w:val="21"/>
          <w:szCs w:val="21"/>
        </w:rPr>
        <w:t>账    号：36510107310000001</w:t>
      </w:r>
    </w:p>
    <w:p w14:paraId="037BBD5A" w14:textId="77777777" w:rsidR="00D4368C" w:rsidRDefault="001710E2">
      <w:pPr>
        <w:spacing w:line="360" w:lineRule="auto"/>
        <w:ind w:firstLine="480"/>
      </w:pPr>
      <w:r>
        <w:rPr>
          <w:rFonts w:ascii="宋体" w:eastAsia="宋体" w:hAnsi="宋体" w:cs="宋体"/>
          <w:sz w:val="21"/>
          <w:szCs w:val="21"/>
        </w:rPr>
        <w:t>开户银行：中国光大银行上海分行营业部</w:t>
      </w:r>
    </w:p>
    <w:p w14:paraId="3D1BD1F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 (三)不列入资产管理业务费用的项目</w:t>
      </w:r>
    </w:p>
    <w:p w14:paraId="6F534B1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1、资产管理人和资产托管人因未履行或未完全履行义务导致的费用支出或委托财产的损失，以及处理与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管理计划财产运作无关的事项或不合理事项所发生的费用等不得列入资产管理计划的费用。</w:t>
      </w:r>
    </w:p>
    <w:p w14:paraId="6973D6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2、资产管理计划成立前发生的费用，以及存续期间发生的与募集有关的费用，不得在计划资产中列</w:t>
      </w:r>
      <w:r>
        <w:rPr>
          <w:rFonts w:ascii="宋体" w:eastAsia="宋体" w:hAnsi="宋体" w:cs="宋体" w:hint="eastAsia"/>
          <w:sz w:val="21"/>
          <w:szCs w:val="21"/>
        </w:rPr>
        <w:lastRenderedPageBreak/>
        <w:t>支。</w:t>
      </w:r>
    </w:p>
    <w:p w14:paraId="1C08C61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3、其他根据相关法律法规及中国证监会、基金业协会的有关规定不得列入计划费用的项目。</w:t>
      </w:r>
    </w:p>
    <w:p w14:paraId="17A36C1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资产管理人和资产托管人与全体资产委托人协商一致后，可根据市场发展情况调整资产管理费率、资产托管费率及业绩报酬计提水平（如有）并履行相应备案报告义务。本合同另有约定的，从其约定。调低管理费率、托管费率的，无需经资产委托人同意，但应以符合法律法规及本合同约定的方式及时向委托人披露。</w:t>
      </w:r>
    </w:p>
    <w:p w14:paraId="7375A59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(五)税收</w:t>
      </w:r>
    </w:p>
    <w:p w14:paraId="035F3EE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运作过程中涉及的各纳税主体，其纳税义务按其适用的税收法律法规执行。因境外投资收到的分红、利息、股息等相关收入以标的资产管理人或其境外行政管理人派发的金额为准，直接确认收益。资产委托人应缴纳的税收，由资产委托人负责，资产管理人不承担代扣代缴或纳税的义务。</w:t>
      </w:r>
    </w:p>
    <w:p w14:paraId="77FD90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根据法律法规或财政、税务主管部门明确要求资产管理人/资产托管人代扣代缴或承担委托财产运营所产生的增值税或其他税费（如有）扣缴义务的，资产管理人/资产托管人有权根据实际情况遵照规则从本计划委托财产中提取并代扣代缴/缴纳。</w:t>
      </w:r>
    </w:p>
    <w:p w14:paraId="55AD4F2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若本计划存续期间进行收益分配或开放赎回后，因本计划委托财产运营所涉相关税费存在应缴但未缴情形的，或本计划终止后出现税务主管部门向资产管理人/资产托管人追缴本计划委托财产运营的相关税收的，资产管理人、资产托管人有权向资产委托人追偿。</w:t>
      </w:r>
    </w:p>
    <w:p w14:paraId="74C2659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本计划应承担的相关税收由本计划委托财产直接缴付，或划付</w:t>
      </w:r>
      <w:proofErr w:type="gramStart"/>
      <w:r>
        <w:rPr>
          <w:rFonts w:ascii="宋体" w:eastAsia="宋体" w:hAnsi="宋体" w:cs="宋体" w:hint="eastAsia"/>
          <w:sz w:val="21"/>
          <w:szCs w:val="21"/>
        </w:rPr>
        <w:t>至资产</w:t>
      </w:r>
      <w:proofErr w:type="gramEnd"/>
      <w:r>
        <w:rPr>
          <w:rFonts w:ascii="宋体" w:eastAsia="宋体" w:hAnsi="宋体" w:cs="宋体" w:hint="eastAsia"/>
          <w:sz w:val="21"/>
          <w:szCs w:val="21"/>
        </w:rPr>
        <w:t>管理人账户并由资产管理人依据税务部门要求完成税款申报缴纳。本计划已经缴纳的税费除发生财政税务主管部门针对本计划退税以外，委托人不得要求管理人以任何方式向其返还或补偿该等税费。</w:t>
      </w:r>
    </w:p>
    <w:p w14:paraId="60C0CE5D" w14:textId="77777777" w:rsidR="00D4368C" w:rsidRDefault="00D4368C">
      <w:pPr>
        <w:spacing w:line="360" w:lineRule="auto"/>
        <w:ind w:firstLine="480"/>
        <w:rPr>
          <w:rFonts w:ascii="宋体" w:eastAsia="宋体" w:hAnsi="宋体" w:cs="宋体"/>
          <w:sz w:val="21"/>
          <w:szCs w:val="21"/>
        </w:rPr>
      </w:pPr>
    </w:p>
    <w:p w14:paraId="5FB9A4B8" w14:textId="77777777" w:rsidR="00D4368C" w:rsidRDefault="001710E2">
      <w:pPr>
        <w:pStyle w:val="Heading1"/>
        <w:spacing w:before="0" w:after="0" w:line="360" w:lineRule="auto"/>
        <w:jc w:val="center"/>
        <w:rPr>
          <w:rFonts w:ascii="宋体" w:eastAsia="宋体" w:hAnsi="宋体" w:cs="宋体"/>
          <w:sz w:val="21"/>
          <w:szCs w:val="21"/>
        </w:rPr>
      </w:pPr>
      <w:bookmarkStart w:id="58" w:name="_Toc70622201"/>
      <w:bookmarkStart w:id="59" w:name="_Toc194741919"/>
      <w:bookmarkStart w:id="60" w:name="_Toc401668946"/>
      <w:r>
        <w:rPr>
          <w:rFonts w:ascii="宋体" w:eastAsia="宋体" w:hAnsi="宋体" w:cs="宋体" w:hint="eastAsia"/>
          <w:sz w:val="21"/>
          <w:szCs w:val="21"/>
        </w:rPr>
        <w:t>二十二、资产管理计划的收益分配</w:t>
      </w:r>
      <w:bookmarkEnd w:id="58"/>
      <w:bookmarkEnd w:id="59"/>
      <w:bookmarkEnd w:id="60"/>
    </w:p>
    <w:p w14:paraId="6FF10600" w14:textId="77777777" w:rsidR="00D4368C" w:rsidRDefault="001710E2">
      <w:pPr>
        <w:spacing w:line="360" w:lineRule="auto"/>
        <w:ind w:left="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管理计划收益分配政策比照证券投资基金现行政策以及本合同约定执行。</w:t>
      </w:r>
    </w:p>
    <w:p w14:paraId="0C80221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（一）可供分配利润的构成</w:t>
      </w:r>
    </w:p>
    <w:p w14:paraId="2AA7A79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收益分配的基准为本计划的累计未支付利润。本计划的累计未支付利润是指本计划的利息收入、投资收益、公允价值变动及其他收入等本计划运作产生的各项收入扣除管理费、托管费、运营服务费等运作产生的各项费用后的余额。</w:t>
      </w:r>
    </w:p>
    <w:p w14:paraId="7CD51548"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（二）资产管理人有权对本计划份额委托人进行收益分配，资产管理人有权决定是否进行收益分配。在符合分配条件下，资产管理人计算本计划可分配的收益，由资产管理人确定分配收益的金额、时</w:t>
      </w:r>
      <w:r>
        <w:rPr>
          <w:rFonts w:ascii="宋体" w:eastAsia="宋体" w:hAnsi="宋体" w:cs="宋体" w:hint="eastAsia"/>
          <w:b/>
          <w:sz w:val="21"/>
          <w:szCs w:val="21"/>
        </w:rPr>
        <w:lastRenderedPageBreak/>
        <w:t>间。在符合有关分红条件和收益分配原则的前提下进行收益分配，收益分配的相关事宜以管理人临时公告为准。</w:t>
      </w:r>
    </w:p>
    <w:p w14:paraId="159E6BA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（三）存续期收益分配原则</w:t>
      </w:r>
    </w:p>
    <w:p w14:paraId="7994F9A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管理计划在存续期内可以进行收益分配。</w:t>
      </w:r>
    </w:p>
    <w:p w14:paraId="633A4B8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w:t>
      </w:r>
      <w:proofErr w:type="gramStart"/>
      <w:r>
        <w:rPr>
          <w:rFonts w:ascii="宋体" w:eastAsia="宋体" w:hAnsi="宋体" w:cs="宋体" w:hint="eastAsia"/>
          <w:b/>
          <w:sz w:val="21"/>
          <w:szCs w:val="21"/>
        </w:rPr>
        <w:t>本资产</w:t>
      </w:r>
      <w:proofErr w:type="gramEnd"/>
      <w:r>
        <w:rPr>
          <w:rFonts w:ascii="宋体" w:eastAsia="宋体" w:hAnsi="宋体" w:cs="宋体" w:hint="eastAsia"/>
          <w:b/>
          <w:sz w:val="21"/>
          <w:szCs w:val="21"/>
        </w:rPr>
        <w:t>管理计划收益分配方式为红利再投资。</w:t>
      </w:r>
      <w:r>
        <w:rPr>
          <w:rFonts w:ascii="宋体" w:eastAsia="宋体" w:hAnsi="宋体" w:cs="宋体" w:hint="eastAsia"/>
          <w:sz w:val="21"/>
          <w:szCs w:val="21"/>
        </w:rPr>
        <w:t>收益分配时发生的银行转账等手续费用由资产委托人自行承担。</w:t>
      </w:r>
    </w:p>
    <w:p w14:paraId="4E70DF3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3、计划收益分配后计划份额净值不能低于面值；即计划收益分配基准日的计划份额净值减去每单位计划份额收益分配金额后不能低于面值。</w:t>
      </w:r>
    </w:p>
    <w:p w14:paraId="5B31663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4、每一计划份额享有同等分配权。</w:t>
      </w:r>
    </w:p>
    <w:p w14:paraId="112B9FF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w:t>
      </w:r>
      <w:proofErr w:type="gramStart"/>
      <w:r>
        <w:rPr>
          <w:rFonts w:ascii="宋体" w:eastAsia="宋体" w:hAnsi="宋体" w:cs="宋体" w:hint="eastAsia"/>
          <w:b/>
          <w:bCs/>
          <w:sz w:val="21"/>
          <w:szCs w:val="21"/>
        </w:rPr>
        <w:t>本资产</w:t>
      </w:r>
      <w:proofErr w:type="gramEnd"/>
      <w:r>
        <w:rPr>
          <w:rFonts w:ascii="宋体" w:eastAsia="宋体" w:hAnsi="宋体" w:cs="宋体" w:hint="eastAsia"/>
          <w:b/>
          <w:bCs/>
          <w:sz w:val="21"/>
          <w:szCs w:val="21"/>
        </w:rPr>
        <w:t>管理计划收益分配频率</w:t>
      </w:r>
      <w:proofErr w:type="gramStart"/>
      <w:r>
        <w:rPr>
          <w:rFonts w:ascii="宋体" w:eastAsia="宋体" w:hAnsi="宋体" w:cs="宋体" w:hint="eastAsia"/>
          <w:b/>
          <w:bCs/>
          <w:sz w:val="21"/>
          <w:szCs w:val="21"/>
        </w:rPr>
        <w:t>每自然</w:t>
      </w:r>
      <w:proofErr w:type="gramEnd"/>
      <w:r>
        <w:rPr>
          <w:rFonts w:ascii="宋体" w:eastAsia="宋体" w:hAnsi="宋体" w:cs="宋体" w:hint="eastAsia"/>
          <w:b/>
          <w:bCs/>
          <w:sz w:val="21"/>
          <w:szCs w:val="21"/>
        </w:rPr>
        <w:t>年度不超过1次。</w:t>
      </w:r>
    </w:p>
    <w:p w14:paraId="51A4282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6、法律法规或监管机构另有规定的，从其规定。</w:t>
      </w:r>
    </w:p>
    <w:p w14:paraId="21A5828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（四）收益分配方案的确定与通知</w:t>
      </w:r>
    </w:p>
    <w:p w14:paraId="658DB33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本计划存续期内的收益分配方案由资产管理人确定，并由资产管理人告知资产委托人。</w:t>
      </w:r>
    </w:p>
    <w:p w14:paraId="0820F89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（五）收益分配方案的执行方式</w:t>
      </w:r>
    </w:p>
    <w:p w14:paraId="73EE31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在收益分配方案公布后，托管人根据管理人的收益分配方案和提供的红利金额的数据，在红利发放日进行处理。</w:t>
      </w:r>
    </w:p>
    <w:p w14:paraId="13FDD585" w14:textId="77777777" w:rsidR="00D4368C" w:rsidRDefault="00D4368C">
      <w:pPr>
        <w:spacing w:line="360" w:lineRule="auto"/>
        <w:ind w:firstLine="480"/>
        <w:rPr>
          <w:rFonts w:ascii="宋体" w:eastAsia="宋体" w:hAnsi="宋体" w:cs="宋体"/>
          <w:sz w:val="21"/>
          <w:szCs w:val="21"/>
        </w:rPr>
      </w:pPr>
    </w:p>
    <w:p w14:paraId="0BF51E5F" w14:textId="77777777" w:rsidR="00D4368C" w:rsidRDefault="001710E2">
      <w:pPr>
        <w:pStyle w:val="Heading1"/>
        <w:spacing w:before="0" w:after="0" w:line="360" w:lineRule="auto"/>
        <w:jc w:val="center"/>
        <w:rPr>
          <w:rFonts w:ascii="宋体" w:eastAsia="宋体" w:hAnsi="宋体" w:cs="宋体"/>
          <w:sz w:val="21"/>
          <w:szCs w:val="21"/>
        </w:rPr>
      </w:pPr>
      <w:bookmarkStart w:id="61" w:name="_Toc194741920"/>
      <w:bookmarkStart w:id="62" w:name="_Toc401668947"/>
      <w:bookmarkStart w:id="63" w:name="_Toc70622202"/>
      <w:r>
        <w:rPr>
          <w:rFonts w:ascii="宋体" w:eastAsia="宋体" w:hAnsi="宋体" w:cs="宋体" w:hint="eastAsia"/>
          <w:sz w:val="21"/>
          <w:szCs w:val="21"/>
        </w:rPr>
        <w:t>二十三、信息披露与报告</w:t>
      </w:r>
      <w:bookmarkEnd w:id="61"/>
      <w:bookmarkEnd w:id="62"/>
      <w:bookmarkEnd w:id="63"/>
    </w:p>
    <w:p w14:paraId="559AC7D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（一）向资产委托人提供的报告</w:t>
      </w:r>
    </w:p>
    <w:p w14:paraId="2DF0D50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1、年度报告</w:t>
      </w:r>
    </w:p>
    <w:p w14:paraId="0B292C3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资产管理人应当在每年结束之日起4个月内，编制完成计划年度报告并经资产托管人复核。年度报告应当披露报告期内本资产管理计划运作情况，包括但不限于管理人履职报告、托管人履职报告、资产管理计划投资表现、资产管理计划投资组合报告（包括但不限于资产种类、投资比例等）、资产管理计划运用杠杆情况（如有）、资产管理计划财务会计报告、资产管理计划支付的管理费、托管费、业绩报酬（如有）等费用的计提基准、计提方式和支付方式、资产管理计划投资收益分配情况、投资经理变更、重大关联交易等涉及投资者权益的重大事项以及中国证监会及基金业协会规定的其他事项。资产管理人应于每年结束之日起3个月内完成年度报告，并将年度报告发送</w:t>
      </w:r>
      <w:proofErr w:type="gramStart"/>
      <w:r>
        <w:rPr>
          <w:rFonts w:ascii="宋体" w:eastAsia="宋体" w:hAnsi="宋体" w:cs="宋体"/>
          <w:sz w:val="21"/>
          <w:szCs w:val="21"/>
        </w:rPr>
        <w:t>至资产</w:t>
      </w:r>
      <w:proofErr w:type="gramEnd"/>
      <w:r>
        <w:rPr>
          <w:rFonts w:ascii="宋体" w:eastAsia="宋体" w:hAnsi="宋体" w:cs="宋体"/>
          <w:sz w:val="21"/>
          <w:szCs w:val="21"/>
        </w:rPr>
        <w:t>托管人复核，资产托管人在收到后1个月内完成对上述信息披露事项中定期报告中财务数据的复核，并将复核结果书面通知资产管理人。资产管理计</w:t>
      </w:r>
      <w:r>
        <w:rPr>
          <w:rFonts w:ascii="宋体" w:eastAsia="宋体" w:hAnsi="宋体" w:cs="宋体"/>
          <w:sz w:val="21"/>
          <w:szCs w:val="21"/>
        </w:rPr>
        <w:lastRenderedPageBreak/>
        <w:t>划成立未满3个月或者存续期间不足3个月的，不编制当期的年度报告。</w:t>
      </w:r>
    </w:p>
    <w:p w14:paraId="4590DB3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管理人的董事、监事、从业人员及其配偶、控股股东、实际控制人或者其他关联方参与本计划的，应向投资者充分披露。</w:t>
      </w:r>
    </w:p>
    <w:p w14:paraId="6136CC8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2、季度报告</w:t>
      </w:r>
    </w:p>
    <w:p w14:paraId="0E5076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资产管理人应当在每季度结束之日起1个月内，编制完成计划季度报告并经资产托管人复核。季度报告应当包括但不限于管理人履职报告、托管人履职报告、资产管理计划投资表现、资产管理计划投资组合报告（包括但不限于资产种类、投资比例等）、资产管理计划运用杠杆情况（如有）、资产管理计划支付的管理费、托管费、业绩报酬等费用的计提基准、计提方式和支付方式、资产管理计划投资收益分配情况、投资经理变更、重大关联交易等涉及投资者权益的重大事项以及中国证监会及基金业协会规定的其他事项。资产管理人应于每季度结束之日起20日内完成季度报告，并将季度报告发送</w:t>
      </w:r>
      <w:proofErr w:type="gramStart"/>
      <w:r>
        <w:rPr>
          <w:rFonts w:ascii="宋体" w:eastAsia="宋体" w:hAnsi="宋体" w:cs="宋体"/>
          <w:sz w:val="21"/>
          <w:szCs w:val="21"/>
        </w:rPr>
        <w:t>至资产</w:t>
      </w:r>
      <w:proofErr w:type="gramEnd"/>
      <w:r>
        <w:rPr>
          <w:rFonts w:ascii="宋体" w:eastAsia="宋体" w:hAnsi="宋体" w:cs="宋体"/>
          <w:sz w:val="21"/>
          <w:szCs w:val="21"/>
        </w:rPr>
        <w:t>托管人复核，资产托管人在收到后10日内完成对上述信息披露事项中定期报告中财务数据的复核，并将复核结果书面通知资产管理人。资产管理计划成立未满3个月或者存续期间不足3个月的，不编制当期的季度报告。</w:t>
      </w:r>
    </w:p>
    <w:p w14:paraId="3FEEA0C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管理人的董事、监事、从业人员及其配偶、控股股东、实际控制人或者其他关联方参与本计划的，应向投资者充分披露。</w:t>
      </w:r>
    </w:p>
    <w:p w14:paraId="409A23B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资产管理计划存续期内，管理人应向投资者指定的邮箱发送并披露包括但不限于资产管理计划投资的资产种类、投资比例等信息，具体以投资者要求为准。</w:t>
      </w:r>
    </w:p>
    <w:p w14:paraId="745828B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3、净值报告</w:t>
      </w:r>
    </w:p>
    <w:p w14:paraId="7520135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本计划成立后，资产管理人每日向资产委托人报告一次当期末经资产托管人复核的计划财产净值。</w:t>
      </w:r>
    </w:p>
    <w:p w14:paraId="6A93808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4、临时报告</w:t>
      </w:r>
    </w:p>
    <w:p w14:paraId="37B64EE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发生本合同约定的、可能影响资产委托人利益的重大事项时，资产管理人应当在事件发生之日起5日内及时通知资产委托人：</w:t>
      </w:r>
    </w:p>
    <w:p w14:paraId="67FDAC9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（1）投资经理发生变动； </w:t>
      </w:r>
    </w:p>
    <w:p w14:paraId="09D1F67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（2）涉及管理人资产管理业务、产品财产、托管人资产托管业务与本合同项下资产管理产品财产相关的行为的诉讼、仲裁、财产纠纷的，以及出现延期兑付、负面舆论、群体性事件等重大风险事件；</w:t>
      </w:r>
    </w:p>
    <w:p w14:paraId="56E816A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（3）资产管理人、资产托管人托管业务部门与本合同项下资产管理计划财产相关的行为受到监管部门的严重行政处罚；</w:t>
      </w:r>
    </w:p>
    <w:p w14:paraId="20B9069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（4）资产管理人及其董事、总经理及其他高级管理人员、投资经理受到严重行政处罚，资产托管人的托管业务或托管业务部门负责人受到严重行政处罚；</w:t>
      </w:r>
    </w:p>
    <w:p w14:paraId="753DA79D" w14:textId="77777777" w:rsidR="00D4368C" w:rsidRDefault="001710E2">
      <w:pPr>
        <w:pStyle w:val="NormalIndent"/>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（5）资产管理人、资产托管人及其与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管理计划相关的工作人员涉及包括但不限于欺诈、舞弊、重大负面舆情、下落不明、接受刑事调查或引起群体性事件等可能影响管理人、托管人履行合同义务，影响委托人权益的重大负面事件；</w:t>
      </w:r>
    </w:p>
    <w:p w14:paraId="5954220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（6）法律法规、监管机构、自律组织的其他事项。</w:t>
      </w:r>
    </w:p>
    <w:p w14:paraId="0BAB3BD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5、资产管理计划年度财务会计报告应当经具有证券相关业务资格的会计师事务所审计，审计机构应当对资产管理计划会计核算及净值计算等出具意见。</w:t>
      </w:r>
    </w:p>
    <w:p w14:paraId="43238F4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6、为免疑义，资产管理人向资产委托人提供的上述报告，不包括反映本计划交易过程的交易明细及交易凭证等信息。</w:t>
      </w:r>
    </w:p>
    <w:p w14:paraId="463B9CE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（二）向资产委托人提供报告及资产委托人信息查询的方式</w:t>
      </w:r>
    </w:p>
    <w:p w14:paraId="77FE75F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资产管理人向资产委托人提供的报告，将严格按照以下方式进行（至少应包含电子邮件）。</w:t>
      </w:r>
    </w:p>
    <w:p w14:paraId="7801A70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1、资产管理人网站</w:t>
      </w:r>
    </w:p>
    <w:p w14:paraId="7272A1D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临时报告等有关</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管理计划的信息可在资产管理人网站上披露，资产委托人可随时查阅。</w:t>
      </w:r>
    </w:p>
    <w:p w14:paraId="32B6D81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资产管理人网站：【</w:t>
      </w:r>
      <w:r>
        <w:rPr>
          <w:rFonts w:ascii="宋体" w:eastAsia="宋体" w:hAnsi="宋体" w:cs="宋体" w:hint="eastAsia"/>
          <w:color w:val="000000"/>
          <w:sz w:val="21"/>
          <w:szCs w:val="21"/>
        </w:rPr>
        <w:t>www.ebfcn.com</w:t>
      </w:r>
      <w:r>
        <w:rPr>
          <w:rFonts w:ascii="宋体" w:eastAsia="宋体" w:hAnsi="宋体" w:cs="宋体" w:hint="eastAsia"/>
          <w:sz w:val="21"/>
          <w:szCs w:val="21"/>
        </w:rPr>
        <w:t>】</w:t>
      </w:r>
    </w:p>
    <w:p w14:paraId="2B8DE73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2、邮寄服务</w:t>
      </w:r>
    </w:p>
    <w:p w14:paraId="7DEC0D8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或代理销售机构（如有）向资产委托人邮寄定期报告、临时报告等有关本计划的信息。资产委托人在合同签署页上填写的通信地址为送达地址。通信地址如有变更，资产委托人应当及时通知资产管理人。</w:t>
      </w:r>
    </w:p>
    <w:p w14:paraId="63D0117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3、传真或电子邮件</w:t>
      </w:r>
    </w:p>
    <w:p w14:paraId="403AF4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如资产委托人留有传真、电子邮箱等联系方式的，资产管理人应通过传真、电子邮件等方式将报告信息通知资产委托人。</w:t>
      </w:r>
    </w:p>
    <w:p w14:paraId="30B7069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color w:val="000000"/>
          <w:sz w:val="21"/>
          <w:szCs w:val="21"/>
        </w:rPr>
        <w:t>对于通过</w:t>
      </w:r>
      <w:r>
        <w:rPr>
          <w:rFonts w:ascii="宋体" w:eastAsia="宋体" w:hAnsi="宋体" w:cs="宋体" w:hint="eastAsia"/>
          <w:sz w:val="21"/>
          <w:szCs w:val="21"/>
        </w:rPr>
        <w:t>代理</w:t>
      </w:r>
      <w:r>
        <w:rPr>
          <w:rFonts w:ascii="宋体" w:eastAsia="宋体" w:hAnsi="宋体" w:cs="宋体" w:hint="eastAsia"/>
          <w:color w:val="000000"/>
          <w:sz w:val="21"/>
          <w:szCs w:val="21"/>
        </w:rPr>
        <w:t>销售机构</w:t>
      </w:r>
      <w:r>
        <w:rPr>
          <w:rFonts w:ascii="宋体" w:eastAsia="宋体" w:hAnsi="宋体" w:cs="宋体" w:hint="eastAsia"/>
          <w:sz w:val="21"/>
          <w:szCs w:val="21"/>
        </w:rPr>
        <w:t>参与</w:t>
      </w:r>
      <w:r>
        <w:rPr>
          <w:rFonts w:ascii="宋体" w:eastAsia="宋体" w:hAnsi="宋体" w:cs="宋体" w:hint="eastAsia"/>
          <w:color w:val="000000"/>
          <w:sz w:val="21"/>
          <w:szCs w:val="21"/>
        </w:rPr>
        <w:t>本计划的</w:t>
      </w:r>
      <w:r>
        <w:rPr>
          <w:rFonts w:ascii="宋体" w:eastAsia="宋体" w:hAnsi="宋体" w:cs="宋体" w:hint="eastAsia"/>
          <w:sz w:val="21"/>
          <w:szCs w:val="21"/>
        </w:rPr>
        <w:t>资产</w:t>
      </w:r>
      <w:r>
        <w:rPr>
          <w:rFonts w:ascii="宋体" w:eastAsia="宋体" w:hAnsi="宋体" w:cs="宋体" w:hint="eastAsia"/>
          <w:color w:val="000000"/>
          <w:sz w:val="21"/>
          <w:szCs w:val="21"/>
        </w:rPr>
        <w:t>委托人，</w:t>
      </w:r>
      <w:r>
        <w:rPr>
          <w:rFonts w:ascii="宋体" w:eastAsia="宋体" w:hAnsi="宋体" w:cs="宋体" w:hint="eastAsia"/>
          <w:sz w:val="21"/>
          <w:szCs w:val="21"/>
        </w:rPr>
        <w:t>资产</w:t>
      </w:r>
      <w:r>
        <w:rPr>
          <w:rFonts w:ascii="宋体" w:eastAsia="宋体" w:hAnsi="宋体" w:cs="宋体" w:hint="eastAsia"/>
          <w:color w:val="000000"/>
          <w:sz w:val="21"/>
          <w:szCs w:val="21"/>
        </w:rPr>
        <w:t>管理人</w:t>
      </w:r>
      <w:r>
        <w:rPr>
          <w:rFonts w:ascii="宋体" w:eastAsia="宋体" w:hAnsi="宋体" w:cs="宋体" w:hint="eastAsia"/>
          <w:sz w:val="21"/>
          <w:szCs w:val="21"/>
        </w:rPr>
        <w:t>可</w:t>
      </w:r>
      <w:r>
        <w:rPr>
          <w:rFonts w:ascii="宋体" w:eastAsia="宋体" w:hAnsi="宋体" w:cs="宋体" w:hint="eastAsia"/>
          <w:color w:val="000000"/>
          <w:sz w:val="21"/>
          <w:szCs w:val="21"/>
        </w:rPr>
        <w:t>将信息披露文件发送给</w:t>
      </w:r>
      <w:r>
        <w:rPr>
          <w:rFonts w:ascii="宋体" w:eastAsia="宋体" w:hAnsi="宋体" w:cs="宋体" w:hint="eastAsia"/>
          <w:sz w:val="21"/>
          <w:szCs w:val="21"/>
        </w:rPr>
        <w:t>代理</w:t>
      </w:r>
      <w:r>
        <w:rPr>
          <w:rFonts w:ascii="宋体" w:eastAsia="宋体" w:hAnsi="宋体" w:cs="宋体" w:hint="eastAsia"/>
          <w:color w:val="000000"/>
          <w:sz w:val="21"/>
          <w:szCs w:val="21"/>
        </w:rPr>
        <w:t>销售机构，由</w:t>
      </w:r>
      <w:r>
        <w:rPr>
          <w:rFonts w:ascii="宋体" w:eastAsia="宋体" w:hAnsi="宋体" w:cs="宋体" w:hint="eastAsia"/>
          <w:sz w:val="21"/>
          <w:szCs w:val="21"/>
        </w:rPr>
        <w:t>代理</w:t>
      </w:r>
      <w:r>
        <w:rPr>
          <w:rFonts w:ascii="宋体" w:eastAsia="宋体" w:hAnsi="宋体" w:cs="宋体" w:hint="eastAsia"/>
          <w:color w:val="000000"/>
          <w:sz w:val="21"/>
          <w:szCs w:val="21"/>
        </w:rPr>
        <w:t>销售机构代为向</w:t>
      </w:r>
      <w:r>
        <w:rPr>
          <w:rFonts w:ascii="宋体" w:eastAsia="宋体" w:hAnsi="宋体" w:cs="宋体" w:hint="eastAsia"/>
          <w:sz w:val="21"/>
          <w:szCs w:val="21"/>
        </w:rPr>
        <w:t>资产</w:t>
      </w:r>
      <w:r>
        <w:rPr>
          <w:rFonts w:ascii="宋体" w:eastAsia="宋体" w:hAnsi="宋体" w:cs="宋体" w:hint="eastAsia"/>
          <w:color w:val="000000"/>
          <w:sz w:val="21"/>
          <w:szCs w:val="21"/>
        </w:rPr>
        <w:t>委托人披露。</w:t>
      </w:r>
    </w:p>
    <w:p w14:paraId="7883D1CC" w14:textId="77777777" w:rsidR="00D4368C" w:rsidRDefault="001710E2">
      <w:pPr>
        <w:spacing w:line="360" w:lineRule="auto"/>
        <w:ind w:firstLine="480"/>
        <w:rPr>
          <w:rFonts w:ascii="宋体" w:eastAsia="宋体" w:hAnsi="宋体" w:cs="宋体"/>
          <w:sz w:val="21"/>
          <w:szCs w:val="21"/>
        </w:rPr>
      </w:pPr>
      <w:bookmarkStart w:id="64" w:name="OLE_LINK39"/>
      <w:r>
        <w:rPr>
          <w:rFonts w:ascii="宋体" w:eastAsia="宋体" w:hAnsi="宋体" w:cs="宋体" w:hint="eastAsia"/>
          <w:sz w:val="21"/>
          <w:szCs w:val="21"/>
        </w:rPr>
        <w:t>（三）向监管机构提供的报告</w:t>
      </w:r>
    </w:p>
    <w:p w14:paraId="7414793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资产管理人、资产托管人应当根据法律法规和监管机构及自律组织的要求履行报告义务。</w:t>
      </w:r>
      <w:bookmarkEnd w:id="64"/>
    </w:p>
    <w:p w14:paraId="507C1C5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当在每季度结束之日起一个月内，编制私募资产管理业务管理季度报告，并报中国证监会相关派出机构和基金业协会备案。资产管理人应当在每年度结束之日起四个月内，编制私募资产管理业务管理年度报告，并报中国证监会相关派出机构和基金业协会备案。资产托管人应当在每年度结束之日起四个月内，编制托管年度报告。</w:t>
      </w:r>
    </w:p>
    <w:p w14:paraId="4458D15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其他需向监管机构报告的事项，资产管理人、资产托管人将根据《指导意见》、《管理办法》、《运作规定》及其他法律、行政法规、监管规定及要求进行及时报告。</w:t>
      </w:r>
    </w:p>
    <w:p w14:paraId="1E648B6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上述报告事项均依据现行有效的法律法规列举，未来监管机构对向其报告的种类、内容、时间和途径等有新规定或新要求的，本集合计划将按照新规定、新要求执行，无需另行履行合同变更程序。</w:t>
      </w:r>
    </w:p>
    <w:p w14:paraId="1244546C" w14:textId="77777777" w:rsidR="00D4368C" w:rsidRDefault="00D4368C">
      <w:pPr>
        <w:spacing w:line="360" w:lineRule="auto"/>
        <w:ind w:firstLine="540"/>
        <w:rPr>
          <w:rFonts w:ascii="宋体" w:eastAsia="宋体" w:hAnsi="宋体" w:cs="宋体"/>
          <w:sz w:val="21"/>
          <w:szCs w:val="21"/>
        </w:rPr>
      </w:pPr>
    </w:p>
    <w:p w14:paraId="62676596" w14:textId="77777777" w:rsidR="00D4368C" w:rsidRDefault="001710E2">
      <w:pPr>
        <w:pStyle w:val="Heading1"/>
        <w:spacing w:before="0" w:after="0" w:line="360" w:lineRule="auto"/>
        <w:jc w:val="center"/>
        <w:rPr>
          <w:rFonts w:ascii="宋体" w:eastAsia="宋体" w:hAnsi="宋体" w:cs="宋体"/>
          <w:sz w:val="21"/>
          <w:szCs w:val="21"/>
        </w:rPr>
      </w:pPr>
      <w:bookmarkStart w:id="65" w:name="_Toc401668948"/>
      <w:bookmarkStart w:id="66" w:name="_Toc70622203"/>
      <w:bookmarkStart w:id="67" w:name="_Toc194741921"/>
      <w:r>
        <w:rPr>
          <w:rFonts w:ascii="宋体" w:eastAsia="宋体" w:hAnsi="宋体" w:cs="宋体" w:hint="eastAsia"/>
          <w:sz w:val="21"/>
          <w:szCs w:val="21"/>
        </w:rPr>
        <w:t>二十四、风险揭示</w:t>
      </w:r>
      <w:bookmarkEnd w:id="65"/>
      <w:bookmarkEnd w:id="66"/>
      <w:bookmarkEnd w:id="67"/>
    </w:p>
    <w:p w14:paraId="33B107B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计划投资可能面临下列各项风险，包括但不限于：</w:t>
      </w:r>
    </w:p>
    <w:p w14:paraId="29825B6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（一）资产管理计划面临的一般风险</w:t>
      </w:r>
    </w:p>
    <w:p w14:paraId="08F9BA1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1、本金损失风险</w:t>
      </w:r>
    </w:p>
    <w:p w14:paraId="6F65C4BF" w14:textId="77777777" w:rsidR="00D4368C" w:rsidRDefault="001710E2">
      <w:pPr>
        <w:widowControl/>
        <w:spacing w:line="360" w:lineRule="auto"/>
        <w:ind w:firstLine="480"/>
        <w:jc w:val="left"/>
        <w:rPr>
          <w:rFonts w:ascii="宋体" w:eastAsia="宋体" w:hAnsi="宋体" w:cs="宋体"/>
          <w:sz w:val="21"/>
          <w:szCs w:val="21"/>
        </w:rPr>
      </w:pPr>
      <w:r>
        <w:rPr>
          <w:rFonts w:ascii="宋体" w:eastAsia="宋体" w:hAnsi="宋体" w:cs="宋体" w:hint="eastAsia"/>
          <w:sz w:val="21"/>
          <w:szCs w:val="21"/>
        </w:rPr>
        <w:t>管理人依照恪尽职守、诚实信用、谨慎勤勉的原则管理和运用计划财产，但不保证计划财产中的认购/参与资金本金不受损失，也不保证一定盈利及最低收益。</w:t>
      </w:r>
    </w:p>
    <w:p w14:paraId="2E39C7E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在发生揭示的风险及其他尚不能预知的风险而导致本计划项下计划财产重大损失的，委托人可能发生委托本金损失的风险。</w:t>
      </w:r>
    </w:p>
    <w:p w14:paraId="79B6ADC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b/>
          <w:bCs/>
          <w:sz w:val="21"/>
          <w:szCs w:val="21"/>
        </w:rPr>
        <w:t xml:space="preserve">本计划属于【R4】投资品种，适合风险识别、评估、承受能力【C4、C5、专业投资者】的合格投资者。 </w:t>
      </w:r>
    </w:p>
    <w:p w14:paraId="7035825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2、市场风险 </w:t>
      </w:r>
    </w:p>
    <w:p w14:paraId="4FD6DFF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资产管理计划的投资品种价格因受到经济因素、政治因素、投资心理和交易制度等各种因素的影响，导致委托财产收益水平变化，产生风险，主要包括： </w:t>
      </w:r>
    </w:p>
    <w:p w14:paraId="015AA06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（1）政策风险 </w:t>
      </w:r>
    </w:p>
    <w:p w14:paraId="0CC9816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因国家宏观政策（如货币政策、财政政策、行业政策、地区发展政策等）发生变化，导致市场价格波动而产生风险。 </w:t>
      </w:r>
    </w:p>
    <w:p w14:paraId="2976971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（2）经济周期风险 </w:t>
      </w:r>
    </w:p>
    <w:p w14:paraId="458F8C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随经济运行的周期性变化，证券、期货市场的收益水平也呈周期性变化。委托财产投资于债券与上市公司的股票，收益水平也会随之变化，从而产生风险。 </w:t>
      </w:r>
    </w:p>
    <w:p w14:paraId="2F097C2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（3）利率风险 </w:t>
      </w:r>
    </w:p>
    <w:p w14:paraId="19EDDA8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金融市场利率的波动会导致证券市场价格和收益率的变动。利率直接影响着债券的价格和收益率，影响着企业的融资成本和利润。委托财产投资于债券和股票，其收益水平会受到利率变化的影响。 </w:t>
      </w:r>
    </w:p>
    <w:p w14:paraId="54E4995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（4）上市公司经营风险 </w:t>
      </w:r>
    </w:p>
    <w:p w14:paraId="60DBC94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 xml:space="preserve">上市公司的经营好坏受多种因素影响，如管理能力、财务状况、市场前景、行业竞争、人员素质等，这些都会导致企业的盈利发生变化。如果委托财产所投资的上市公司经营不善，其股票价格可能下跌，或者能够用于分配的利润减少，使委托财产投资收益下降。虽然委托财产可以通过投资多样化来分散这种非系统风险，但不能完全规避。 </w:t>
      </w:r>
    </w:p>
    <w:p w14:paraId="6AC6138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（5）购买力风险 </w:t>
      </w:r>
    </w:p>
    <w:p w14:paraId="4BE8986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委托财产的利润将主要通过现金形式来分配，而现金可能因为通货膨胀的影响而导致购买力下降，从而使委托财产的实际收益下降。 </w:t>
      </w:r>
    </w:p>
    <w:p w14:paraId="352BB09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（6）债券收益率曲线风险 </w:t>
      </w:r>
    </w:p>
    <w:p w14:paraId="682340E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债券收益率曲线风险是指与收益率曲线非平行移动有关的风险，单一的</w:t>
      </w:r>
      <w:proofErr w:type="gramStart"/>
      <w:r>
        <w:rPr>
          <w:rFonts w:ascii="宋体" w:eastAsia="宋体" w:hAnsi="宋体" w:cs="宋体" w:hint="eastAsia"/>
          <w:sz w:val="21"/>
          <w:szCs w:val="21"/>
        </w:rPr>
        <w:t>久期指标</w:t>
      </w:r>
      <w:proofErr w:type="gramEnd"/>
      <w:r>
        <w:rPr>
          <w:rFonts w:ascii="宋体" w:eastAsia="宋体" w:hAnsi="宋体" w:cs="宋体" w:hint="eastAsia"/>
          <w:sz w:val="21"/>
          <w:szCs w:val="21"/>
        </w:rPr>
        <w:t xml:space="preserve">并不能充分反映这一风险的存在。 </w:t>
      </w:r>
    </w:p>
    <w:p w14:paraId="2B7E2E9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（7）再投资风险 </w:t>
      </w:r>
    </w:p>
    <w:p w14:paraId="22CE520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602E14C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（8）衍生品风险</w:t>
      </w:r>
    </w:p>
    <w:p w14:paraId="62E043F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金融衍生品具有的杠杆性、虚拟性、国际性等特性决定了其高风险性，衍生品市场本身所蕴藏的巨大风险。若管理人投资决策失误，可能导致资产管理计划出现损失。</w:t>
      </w:r>
    </w:p>
    <w:p w14:paraId="509CA94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3、管理风险</w:t>
      </w:r>
    </w:p>
    <w:p w14:paraId="25180D3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运作过程中，管理人依据资产管理合同约定管理和运用资产管理计划财产所产生的风险，由资产管理计划财产及投资者承担。投资者应充分知晓投资运营的相关风险，其风险应由投资者自担。资产管理人的研究水平、投资管理水平直接影响委托财产收益水平，如果资产管理人对经济形势和证券、期货市场判断不准确、获取的信息不全、投资操作出现失误，都会影响委托财产的收益水平。但管理人应尽职履责尽量避免上述管理风险的出现。</w:t>
      </w:r>
    </w:p>
    <w:p w14:paraId="26C00F2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4、流动性风险</w:t>
      </w:r>
    </w:p>
    <w:p w14:paraId="31126E5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在市场或投资品种流动性不足的情况下，资产管理人可能无法迅速、低成本地调整投资计划，或者转变成现金会对资产价格造成重大不利影响，从而对计划收益造成不利影响。</w:t>
      </w:r>
    </w:p>
    <w:p w14:paraId="2B20B0C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在资产委托人在开放期内参与或退出资产管理计划时，可能存在现金不足的风险和现金过多带来的收益下降风险。</w:t>
      </w:r>
    </w:p>
    <w:p w14:paraId="202B086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当本计划出现巨额退出或连续巨额退出等本合同约定情形，资产管理人有权暂停退出、延期退出或延期支付退出款项，该等情形的发生将直接影响资产委托人投资变现。</w:t>
      </w:r>
    </w:p>
    <w:p w14:paraId="2DEE3B2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5、信用风险</w:t>
      </w:r>
    </w:p>
    <w:p w14:paraId="275FF19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信用风险是债务人的违约风险，主要体现在信用产品中。在委托资产投资运作中，如果资产管理人的信用研究水平不足，对信用产品的判断不准确，可能使委托资产承受信用风险所带来的损失。</w:t>
      </w:r>
    </w:p>
    <w:p w14:paraId="26C38D4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本计划交易对手方发生交易违约或者计划持仓债券的发行人拒绝支付债券本息，导致资产管理计划财产损失。</w:t>
      </w:r>
    </w:p>
    <w:p w14:paraId="370F1CA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6、募集失败风险</w:t>
      </w:r>
    </w:p>
    <w:p w14:paraId="59CB204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初始募集期限届满，若本计划不符合成立条件，则存在募集失败的风险，在资产管理计划募集期限届满后30日内返还客户已缴纳的款项，并加计银行同期活期存款利息。管理人以其固有财产承担因募集行为而产生的债务和费用。</w:t>
      </w:r>
    </w:p>
    <w:p w14:paraId="60A286C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7、投资标的风险</w:t>
      </w:r>
    </w:p>
    <w:p w14:paraId="56188C1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价值。</w:t>
      </w:r>
    </w:p>
    <w:p w14:paraId="06C2BFA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（1）投资于股票等股权类资产的风险</w:t>
      </w:r>
    </w:p>
    <w:p w14:paraId="783FEC3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a）国家货币政策、财政政策、产业政策等的变化对证券市场产生一定的影响，导致市场价格水平波动的风险。</w:t>
      </w:r>
    </w:p>
    <w:p w14:paraId="475700A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b）宏观经济运行周期性波动，对证券市场的收益水平产生影响的风险。</w:t>
      </w:r>
    </w:p>
    <w:p w14:paraId="6FC109D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c）上市公司的经营状况受多种因素影响，如市场、技术、竞争、管理、财务等都会导致公司盈利发生变化，从而导致股票价格波动的风险。</w:t>
      </w:r>
    </w:p>
    <w:p w14:paraId="5BA4658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（2）投资于</w:t>
      </w:r>
      <w:proofErr w:type="gramStart"/>
      <w:r>
        <w:rPr>
          <w:rFonts w:ascii="宋体" w:eastAsia="宋体" w:hAnsi="宋体" w:cs="宋体" w:hint="eastAsia"/>
          <w:sz w:val="21"/>
          <w:szCs w:val="21"/>
        </w:rPr>
        <w:t>科创板股票</w:t>
      </w:r>
      <w:proofErr w:type="gramEnd"/>
      <w:r>
        <w:rPr>
          <w:rFonts w:ascii="宋体" w:eastAsia="宋体" w:hAnsi="宋体" w:cs="宋体" w:hint="eastAsia"/>
          <w:sz w:val="21"/>
          <w:szCs w:val="21"/>
        </w:rPr>
        <w:t>的风险</w:t>
      </w:r>
    </w:p>
    <w:p w14:paraId="4CD720B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投资于</w:t>
      </w:r>
      <w:proofErr w:type="gramStart"/>
      <w:r>
        <w:rPr>
          <w:rFonts w:ascii="宋体" w:eastAsia="宋体" w:hAnsi="宋体" w:cs="宋体" w:hint="eastAsia"/>
          <w:sz w:val="21"/>
          <w:szCs w:val="21"/>
        </w:rPr>
        <w:t>科创板</w:t>
      </w:r>
      <w:proofErr w:type="gramEnd"/>
      <w:r>
        <w:rPr>
          <w:rFonts w:ascii="宋体" w:eastAsia="宋体" w:hAnsi="宋体" w:cs="宋体" w:hint="eastAsia"/>
          <w:sz w:val="21"/>
          <w:szCs w:val="21"/>
        </w:rPr>
        <w:t>股票，除了投资于上市公司公开发行股票风险以外，还存在如下风险：</w:t>
      </w:r>
    </w:p>
    <w:p w14:paraId="740FDDC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w:t>
      </w:r>
      <w:proofErr w:type="gramStart"/>
      <w:r>
        <w:rPr>
          <w:rFonts w:ascii="宋体" w:eastAsia="宋体" w:hAnsi="宋体" w:cs="宋体" w:hint="eastAsia"/>
          <w:sz w:val="21"/>
          <w:szCs w:val="21"/>
        </w:rPr>
        <w:t>科创板企业</w:t>
      </w:r>
      <w:proofErr w:type="gramEnd"/>
      <w:r>
        <w:rPr>
          <w:rFonts w:ascii="宋体" w:eastAsia="宋体" w:hAnsi="宋体" w:cs="宋体" w:hint="eastAsia"/>
          <w:sz w:val="21"/>
          <w:szCs w:val="21"/>
        </w:rPr>
        <w:t>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进而会影响到股票价格，给本计划的净值带来波动。</w:t>
      </w:r>
    </w:p>
    <w:p w14:paraId="1FBD1E4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w:t>
      </w:r>
      <w:proofErr w:type="gramStart"/>
      <w:r>
        <w:rPr>
          <w:rFonts w:ascii="宋体" w:eastAsia="宋体" w:hAnsi="宋体" w:cs="宋体" w:hint="eastAsia"/>
          <w:sz w:val="21"/>
          <w:szCs w:val="21"/>
        </w:rPr>
        <w:t>科创板企业</w:t>
      </w:r>
      <w:proofErr w:type="gramEnd"/>
      <w:r>
        <w:rPr>
          <w:rFonts w:ascii="宋体" w:eastAsia="宋体" w:hAnsi="宋体" w:cs="宋体" w:hint="eastAsia"/>
          <w:sz w:val="21"/>
          <w:szCs w:val="21"/>
        </w:rPr>
        <w:t>可能存在首次公开发行</w:t>
      </w:r>
      <w:proofErr w:type="gramStart"/>
      <w:r>
        <w:rPr>
          <w:rFonts w:ascii="宋体" w:eastAsia="宋体" w:hAnsi="宋体" w:cs="宋体" w:hint="eastAsia"/>
          <w:sz w:val="21"/>
          <w:szCs w:val="21"/>
        </w:rPr>
        <w:t>前最近</w:t>
      </w:r>
      <w:proofErr w:type="gramEnd"/>
      <w:r>
        <w:rPr>
          <w:rFonts w:ascii="宋体" w:eastAsia="宋体" w:hAnsi="宋体" w:cs="宋体" w:hint="eastAsia"/>
          <w:sz w:val="21"/>
          <w:szCs w:val="21"/>
        </w:rPr>
        <w:t>3个会计年度未能连续盈利、公开发行并上市时尚未盈利、有累计未弥补亏损等情形，可能存在上市后仍无法盈利、持续亏损、无法进行利润分配等情形，从而</w:t>
      </w:r>
      <w:r>
        <w:rPr>
          <w:rFonts w:ascii="宋体" w:eastAsia="宋体" w:hAnsi="宋体" w:cs="宋体" w:hint="eastAsia"/>
          <w:sz w:val="21"/>
          <w:szCs w:val="21"/>
        </w:rPr>
        <w:lastRenderedPageBreak/>
        <w:t>导致本计划所持股票价格可能下跌，或者能够用于分配的利润减少，从而使产品投资的收益下降。</w:t>
      </w:r>
    </w:p>
    <w:p w14:paraId="35402A3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c）</w:t>
      </w:r>
      <w:proofErr w:type="gramStart"/>
      <w:r>
        <w:rPr>
          <w:rFonts w:ascii="宋体" w:eastAsia="宋体" w:hAnsi="宋体" w:cs="宋体" w:hint="eastAsia"/>
          <w:sz w:val="21"/>
          <w:szCs w:val="21"/>
        </w:rPr>
        <w:t>科创板退</w:t>
      </w:r>
      <w:proofErr w:type="gramEnd"/>
      <w:r>
        <w:rPr>
          <w:rFonts w:ascii="宋体" w:eastAsia="宋体" w:hAnsi="宋体" w:cs="宋体" w:hint="eastAsia"/>
          <w:sz w:val="21"/>
          <w:szCs w:val="21"/>
        </w:rPr>
        <w:t>市制度较主板更为严格，退</w:t>
      </w:r>
      <w:proofErr w:type="gramStart"/>
      <w:r>
        <w:rPr>
          <w:rFonts w:ascii="宋体" w:eastAsia="宋体" w:hAnsi="宋体" w:cs="宋体" w:hint="eastAsia"/>
          <w:sz w:val="21"/>
          <w:szCs w:val="21"/>
        </w:rPr>
        <w:t>市时间</w:t>
      </w:r>
      <w:proofErr w:type="gramEnd"/>
      <w:r>
        <w:rPr>
          <w:rFonts w:ascii="宋体" w:eastAsia="宋体" w:hAnsi="宋体" w:cs="宋体" w:hint="eastAsia"/>
          <w:sz w:val="21"/>
          <w:szCs w:val="21"/>
        </w:rPr>
        <w:t>更短，退</w:t>
      </w:r>
      <w:proofErr w:type="gramStart"/>
      <w:r>
        <w:rPr>
          <w:rFonts w:ascii="宋体" w:eastAsia="宋体" w:hAnsi="宋体" w:cs="宋体" w:hint="eastAsia"/>
          <w:sz w:val="21"/>
          <w:szCs w:val="21"/>
        </w:rPr>
        <w:t>市速度</w:t>
      </w:r>
      <w:proofErr w:type="gramEnd"/>
      <w:r>
        <w:rPr>
          <w:rFonts w:ascii="宋体" w:eastAsia="宋体" w:hAnsi="宋体" w:cs="宋体" w:hint="eastAsia"/>
          <w:sz w:val="21"/>
          <w:szCs w:val="21"/>
        </w:rPr>
        <w:t>更快；退市情形更多，新增了市值低于规定标准、上市公司信息披露或者规范运作存在重大缺陷导致退市的情形；执行标准更严，明显丧失持续经营能力，依赖与主业无关的贸易或者不具备商业实质的关联交易维持收入的上市公司可能会被退市。因此，本计划可能存在因所持个股遭遇非预期性的退市而给计划带来损失的风险。</w:t>
      </w:r>
    </w:p>
    <w:p w14:paraId="799F78C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d）</w:t>
      </w:r>
      <w:proofErr w:type="gramStart"/>
      <w:r>
        <w:rPr>
          <w:rFonts w:ascii="宋体" w:eastAsia="宋体" w:hAnsi="宋体" w:cs="宋体" w:hint="eastAsia"/>
          <w:sz w:val="21"/>
          <w:szCs w:val="21"/>
        </w:rPr>
        <w:t>科创板股票</w:t>
      </w:r>
      <w:proofErr w:type="gramEnd"/>
      <w:r>
        <w:rPr>
          <w:rFonts w:ascii="宋体" w:eastAsia="宋体" w:hAnsi="宋体" w:cs="宋体" w:hint="eastAsia"/>
          <w:sz w:val="21"/>
          <w:szCs w:val="21"/>
        </w:rPr>
        <w:t>竞价交易设置较宽的涨跌幅限制，首次公开发行上市的股票，上市后的前5个交易日不设涨跌幅限制，其后涨跌幅限制为20%，因此股价波动风险更大，从而导致本计划净值的波动。</w:t>
      </w:r>
    </w:p>
    <w:p w14:paraId="75EA835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（3）商品及金融衍生品的投资风险</w:t>
      </w:r>
    </w:p>
    <w:p w14:paraId="40BCF72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本计划若投资于金融期货、商品期货、交易所期权等金融衍生品，无论管理人是否出于投机目的对金融衍生品进行投资，由于金融衍生品的高杠杆性等特征，对金融衍生品的投资无论在任何情况下均具有较高的风险。</w:t>
      </w:r>
    </w:p>
    <w:p w14:paraId="2C631BB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b）管理人以期货交易所会员（即期货经纪人）之客户的身份参与期货交易，可能存在因期货经纪人违规经营、管理疏忽、资金能力出现问题等原因而导致本计划蒙受损失。</w:t>
      </w:r>
    </w:p>
    <w:p w14:paraId="712C09C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c）期货交易所实行保证金制度、当日无负债结算制度、涨跌停板制度、持仓限额和大户持仓报告制度、风险准备金制度以及国务院期货监督管理机构规定的其他风险管理制度。本</w:t>
      </w:r>
      <w:proofErr w:type="gramStart"/>
      <w:r>
        <w:rPr>
          <w:rFonts w:ascii="宋体" w:eastAsia="宋体" w:hAnsi="宋体" w:cs="宋体"/>
          <w:sz w:val="21"/>
          <w:szCs w:val="21"/>
        </w:rPr>
        <w:t>资管计划</w:t>
      </w:r>
      <w:proofErr w:type="gramEnd"/>
      <w:r>
        <w:rPr>
          <w:rFonts w:ascii="宋体" w:eastAsia="宋体" w:hAnsi="宋体" w:cs="宋体"/>
          <w:sz w:val="21"/>
          <w:szCs w:val="21"/>
        </w:rPr>
        <w:t>可能因保证金不足而被采取限制开仓、强制平仓，进而可能给本</w:t>
      </w:r>
      <w:proofErr w:type="gramStart"/>
      <w:r>
        <w:rPr>
          <w:rFonts w:ascii="宋体" w:eastAsia="宋体" w:hAnsi="宋体" w:cs="宋体"/>
          <w:sz w:val="21"/>
          <w:szCs w:val="21"/>
        </w:rPr>
        <w:t>资管计划</w:t>
      </w:r>
      <w:proofErr w:type="gramEnd"/>
      <w:r>
        <w:rPr>
          <w:rFonts w:ascii="宋体" w:eastAsia="宋体" w:hAnsi="宋体" w:cs="宋体"/>
          <w:sz w:val="21"/>
          <w:szCs w:val="21"/>
        </w:rPr>
        <w:t>造成重大损失；本</w:t>
      </w:r>
      <w:proofErr w:type="gramStart"/>
      <w:r>
        <w:rPr>
          <w:rFonts w:ascii="宋体" w:eastAsia="宋体" w:hAnsi="宋体" w:cs="宋体"/>
          <w:sz w:val="21"/>
          <w:szCs w:val="21"/>
        </w:rPr>
        <w:t>资管计划</w:t>
      </w:r>
      <w:proofErr w:type="gramEnd"/>
      <w:r>
        <w:rPr>
          <w:rFonts w:ascii="宋体" w:eastAsia="宋体" w:hAnsi="宋体" w:cs="宋体"/>
          <w:sz w:val="21"/>
          <w:szCs w:val="21"/>
        </w:rPr>
        <w:t>所委托的交易所会员除接受本</w:t>
      </w:r>
      <w:proofErr w:type="gramStart"/>
      <w:r>
        <w:rPr>
          <w:rFonts w:ascii="宋体" w:eastAsia="宋体" w:hAnsi="宋体" w:cs="宋体"/>
          <w:sz w:val="21"/>
          <w:szCs w:val="21"/>
        </w:rPr>
        <w:t>资管计划</w:t>
      </w:r>
      <w:proofErr w:type="gramEnd"/>
      <w:r>
        <w:rPr>
          <w:rFonts w:ascii="宋体" w:eastAsia="宋体" w:hAnsi="宋体" w:cs="宋体"/>
          <w:sz w:val="21"/>
          <w:szCs w:val="21"/>
        </w:rPr>
        <w:t>委托外,还可能同时接受其他主体的委托,本</w:t>
      </w:r>
      <w:proofErr w:type="gramStart"/>
      <w:r>
        <w:rPr>
          <w:rFonts w:ascii="宋体" w:eastAsia="宋体" w:hAnsi="宋体" w:cs="宋体"/>
          <w:sz w:val="21"/>
          <w:szCs w:val="21"/>
        </w:rPr>
        <w:t>资管计划</w:t>
      </w:r>
      <w:proofErr w:type="gramEnd"/>
      <w:r>
        <w:rPr>
          <w:rFonts w:ascii="宋体" w:eastAsia="宋体" w:hAnsi="宋体" w:cs="宋体"/>
          <w:sz w:val="21"/>
          <w:szCs w:val="21"/>
        </w:rPr>
        <w:t>所委托的交易所会员发生保证金不足时将被采取限制开仓、强制平仓等措施，而这种不足不一定是本</w:t>
      </w:r>
      <w:proofErr w:type="gramStart"/>
      <w:r>
        <w:rPr>
          <w:rFonts w:ascii="宋体" w:eastAsia="宋体" w:hAnsi="宋体" w:cs="宋体"/>
          <w:sz w:val="21"/>
          <w:szCs w:val="21"/>
        </w:rPr>
        <w:t>资管计划</w:t>
      </w:r>
      <w:proofErr w:type="gramEnd"/>
      <w:r>
        <w:rPr>
          <w:rFonts w:ascii="宋体" w:eastAsia="宋体" w:hAnsi="宋体" w:cs="宋体"/>
          <w:sz w:val="21"/>
          <w:szCs w:val="21"/>
        </w:rPr>
        <w:t>的保证金不足造成的,还可能是上述交易所会员进行其他主体的委托操作所造成的,但即便如此本</w:t>
      </w:r>
      <w:proofErr w:type="gramStart"/>
      <w:r>
        <w:rPr>
          <w:rFonts w:ascii="宋体" w:eastAsia="宋体" w:hAnsi="宋体" w:cs="宋体"/>
          <w:sz w:val="21"/>
          <w:szCs w:val="21"/>
        </w:rPr>
        <w:t>资管计划</w:t>
      </w:r>
      <w:proofErr w:type="gramEnd"/>
      <w:r>
        <w:rPr>
          <w:rFonts w:ascii="宋体" w:eastAsia="宋体" w:hAnsi="宋体" w:cs="宋体"/>
          <w:sz w:val="21"/>
          <w:szCs w:val="21"/>
        </w:rPr>
        <w:t>也可能因此受到重大损失；为及时缴纳保证金，本</w:t>
      </w:r>
      <w:proofErr w:type="gramStart"/>
      <w:r>
        <w:rPr>
          <w:rFonts w:ascii="宋体" w:eastAsia="宋体" w:hAnsi="宋体" w:cs="宋体"/>
          <w:sz w:val="21"/>
          <w:szCs w:val="21"/>
        </w:rPr>
        <w:t>资管计划</w:t>
      </w:r>
      <w:proofErr w:type="gramEnd"/>
      <w:r>
        <w:rPr>
          <w:rFonts w:ascii="宋体" w:eastAsia="宋体" w:hAnsi="宋体" w:cs="宋体"/>
          <w:sz w:val="21"/>
          <w:szCs w:val="21"/>
        </w:rPr>
        <w:t>可能紧急变现部分</w:t>
      </w:r>
      <w:proofErr w:type="gramStart"/>
      <w:r>
        <w:rPr>
          <w:rFonts w:ascii="宋体" w:eastAsia="宋体" w:hAnsi="宋体" w:cs="宋体"/>
          <w:sz w:val="21"/>
          <w:szCs w:val="21"/>
        </w:rPr>
        <w:t>资管计划</w:t>
      </w:r>
      <w:proofErr w:type="gramEnd"/>
      <w:r>
        <w:rPr>
          <w:rFonts w:ascii="宋体" w:eastAsia="宋体" w:hAnsi="宋体" w:cs="宋体"/>
          <w:sz w:val="21"/>
          <w:szCs w:val="21"/>
        </w:rPr>
        <w:t>财产，在上述情况下，该部分</w:t>
      </w:r>
      <w:proofErr w:type="gramStart"/>
      <w:r>
        <w:rPr>
          <w:rFonts w:ascii="宋体" w:eastAsia="宋体" w:hAnsi="宋体" w:cs="宋体"/>
          <w:sz w:val="21"/>
          <w:szCs w:val="21"/>
        </w:rPr>
        <w:t>资管计划</w:t>
      </w:r>
      <w:proofErr w:type="gramEnd"/>
      <w:r>
        <w:rPr>
          <w:rFonts w:ascii="宋体" w:eastAsia="宋体" w:hAnsi="宋体" w:cs="宋体"/>
          <w:sz w:val="21"/>
          <w:szCs w:val="21"/>
        </w:rPr>
        <w:t>财产的变现可能并非以最优价格进行，从而造成本</w:t>
      </w:r>
      <w:proofErr w:type="gramStart"/>
      <w:r>
        <w:rPr>
          <w:rFonts w:ascii="宋体" w:eastAsia="宋体" w:hAnsi="宋体" w:cs="宋体"/>
          <w:sz w:val="21"/>
          <w:szCs w:val="21"/>
        </w:rPr>
        <w:t>资管计划</w:t>
      </w:r>
      <w:proofErr w:type="gramEnd"/>
      <w:r>
        <w:rPr>
          <w:rFonts w:ascii="宋体" w:eastAsia="宋体" w:hAnsi="宋体" w:cs="宋体"/>
          <w:sz w:val="21"/>
          <w:szCs w:val="21"/>
        </w:rPr>
        <w:t>的损失。本</w:t>
      </w:r>
      <w:proofErr w:type="gramStart"/>
      <w:r>
        <w:rPr>
          <w:rFonts w:ascii="宋体" w:eastAsia="宋体" w:hAnsi="宋体" w:cs="宋体"/>
          <w:sz w:val="21"/>
          <w:szCs w:val="21"/>
        </w:rPr>
        <w:t>资管计划</w:t>
      </w:r>
      <w:proofErr w:type="gramEnd"/>
      <w:r>
        <w:rPr>
          <w:rFonts w:ascii="宋体" w:eastAsia="宋体" w:hAnsi="宋体" w:cs="宋体"/>
          <w:sz w:val="21"/>
          <w:szCs w:val="21"/>
        </w:rPr>
        <w:t>及本</w:t>
      </w:r>
      <w:proofErr w:type="gramStart"/>
      <w:r>
        <w:rPr>
          <w:rFonts w:ascii="宋体" w:eastAsia="宋体" w:hAnsi="宋体" w:cs="宋体"/>
          <w:sz w:val="21"/>
          <w:szCs w:val="21"/>
        </w:rPr>
        <w:t>资管计划</w:t>
      </w:r>
      <w:proofErr w:type="gramEnd"/>
      <w:r>
        <w:rPr>
          <w:rFonts w:ascii="宋体" w:eastAsia="宋体" w:hAnsi="宋体" w:cs="宋体"/>
          <w:sz w:val="21"/>
          <w:szCs w:val="21"/>
        </w:rPr>
        <w:t>所委托的交易所会员可能被实行强制结算，一旦本</w:t>
      </w:r>
      <w:proofErr w:type="gramStart"/>
      <w:r>
        <w:rPr>
          <w:rFonts w:ascii="宋体" w:eastAsia="宋体" w:hAnsi="宋体" w:cs="宋体"/>
          <w:sz w:val="21"/>
          <w:szCs w:val="21"/>
        </w:rPr>
        <w:t>资管计划</w:t>
      </w:r>
      <w:proofErr w:type="gramEnd"/>
      <w:r>
        <w:rPr>
          <w:rFonts w:ascii="宋体" w:eastAsia="宋体" w:hAnsi="宋体" w:cs="宋体"/>
          <w:sz w:val="21"/>
          <w:szCs w:val="21"/>
        </w:rPr>
        <w:t>或本</w:t>
      </w:r>
      <w:proofErr w:type="gramStart"/>
      <w:r>
        <w:rPr>
          <w:rFonts w:ascii="宋体" w:eastAsia="宋体" w:hAnsi="宋体" w:cs="宋体"/>
          <w:sz w:val="21"/>
          <w:szCs w:val="21"/>
        </w:rPr>
        <w:t>资管计划</w:t>
      </w:r>
      <w:proofErr w:type="gramEnd"/>
      <w:r>
        <w:rPr>
          <w:rFonts w:ascii="宋体" w:eastAsia="宋体" w:hAnsi="宋体" w:cs="宋体"/>
          <w:sz w:val="21"/>
          <w:szCs w:val="21"/>
        </w:rPr>
        <w:t>所委托的交易所会员被强制结算、可能给本</w:t>
      </w:r>
      <w:proofErr w:type="gramStart"/>
      <w:r>
        <w:rPr>
          <w:rFonts w:ascii="宋体" w:eastAsia="宋体" w:hAnsi="宋体" w:cs="宋体"/>
          <w:sz w:val="21"/>
          <w:szCs w:val="21"/>
        </w:rPr>
        <w:t>资管计划</w:t>
      </w:r>
      <w:proofErr w:type="gramEnd"/>
      <w:r>
        <w:rPr>
          <w:rFonts w:ascii="宋体" w:eastAsia="宋体" w:hAnsi="宋体" w:cs="宋体"/>
          <w:sz w:val="21"/>
          <w:szCs w:val="21"/>
        </w:rPr>
        <w:t>财产造成损失。</w:t>
      </w:r>
    </w:p>
    <w:p w14:paraId="4181367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d）金融衍生品具有高杠杆性的特征，当出现不利行情时，本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所投资期货合约品种微小的变动就可能使本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遭受较大损失。</w:t>
      </w:r>
    </w:p>
    <w:p w14:paraId="1513859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e）在市场剧烈变化的情况下，管理人可能难以或无法将持有的未平仓合约平仓。这类情况将导致保证金有可能无法弥补全部损失，本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必须承担由此导致的全部损失。同时本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将面临期货合约无法当天平仓而价格变动的风险。</w:t>
      </w:r>
    </w:p>
    <w:p w14:paraId="28F7DBB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f）相关交易所可能对交易品种的套期保值或套利实行额度管理，本</w:t>
      </w:r>
      <w:proofErr w:type="gramStart"/>
      <w:r>
        <w:rPr>
          <w:rFonts w:ascii="宋体" w:eastAsia="宋体" w:hAnsi="宋体" w:cs="宋体" w:hint="eastAsia"/>
          <w:sz w:val="21"/>
          <w:szCs w:val="21"/>
        </w:rPr>
        <w:t>资管计划如拟</w:t>
      </w:r>
      <w:proofErr w:type="gramEnd"/>
      <w:r>
        <w:rPr>
          <w:rFonts w:ascii="宋体" w:eastAsia="宋体" w:hAnsi="宋体" w:cs="宋体" w:hint="eastAsia"/>
          <w:sz w:val="21"/>
          <w:szCs w:val="21"/>
        </w:rPr>
        <w:t>进行某交易品种的套期保值或套利交易的，可能因无法申请额度或无法及时获得额度而不能开展相关交易。</w:t>
      </w:r>
    </w:p>
    <w:p w14:paraId="47B43B9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g）相比于其他交易品种，金融衍生品的投资交易可能更加频繁，频繁操作将可能增加管理人、期货经纪人等相关</w:t>
      </w:r>
      <w:proofErr w:type="gramStart"/>
      <w:r>
        <w:rPr>
          <w:rFonts w:ascii="宋体" w:eastAsia="宋体" w:hAnsi="宋体" w:cs="宋体" w:hint="eastAsia"/>
          <w:sz w:val="21"/>
          <w:szCs w:val="21"/>
        </w:rPr>
        <w:t>方操作</w:t>
      </w:r>
      <w:proofErr w:type="gramEnd"/>
      <w:r>
        <w:rPr>
          <w:rFonts w:ascii="宋体" w:eastAsia="宋体" w:hAnsi="宋体" w:cs="宋体" w:hint="eastAsia"/>
          <w:sz w:val="21"/>
          <w:szCs w:val="21"/>
        </w:rPr>
        <w:t>失误的可能性，存在操作风险。</w:t>
      </w:r>
    </w:p>
    <w:p w14:paraId="685E05D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（4）投资于股指期货的特别风险</w:t>
      </w:r>
    </w:p>
    <w:p w14:paraId="7A12CC9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除本合同提示的“商品及金融衍生品的投资风险”外，投资于股指期货还存在以下特别风险：作为股指期货合约标的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股票指数受股票交易市场价格波动的影响，从而给股指期货的投资来带风险。</w:t>
      </w:r>
    </w:p>
    <w:p w14:paraId="3E40962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（5）投资于国债期货的特别风险</w:t>
      </w:r>
    </w:p>
    <w:p w14:paraId="4ECC237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除本合同提示的“商品及金融衍生品的投资风险”的风险外，投资于国债期货还存在以下特别风险：</w:t>
      </w:r>
    </w:p>
    <w:p w14:paraId="08795DE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为进行国债期货的交割，投资者需要提供符合交易所要求的可交割国债，如管理人未能在国债期货合约到期前进行平仓，则需要购入/接受相关的可交割国债以满足交割的需求，或者需要以差额补偿的方式了结未平仓合约，甚至有可能因持仓不满足交割要求而需要支付额外的违约金/补偿金等。</w:t>
      </w:r>
    </w:p>
    <w:p w14:paraId="3314404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b）国债期货的合约标的为国债，与以较综合性的股票指数为标的物的股指期货相比，以国债合约作为合约标的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国债期货的价格更容易受市场部分投资者或某一市场消息的影响而发生价格或持续或较大幅度的波动，从而给国债期货的投资带来风险。</w:t>
      </w:r>
    </w:p>
    <w:p w14:paraId="2AF3E4E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（6）投资于期权的特别风险</w:t>
      </w:r>
    </w:p>
    <w:p w14:paraId="69A223D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除提示的“商品及金融衍生品的投资风险”外，投资于期权，还存在以下特别风险：</w:t>
      </w:r>
    </w:p>
    <w:p w14:paraId="0C462E2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a）期权属于高风险高收益的金融衍生品，由于高杠杆特征，当出现不利行情时，所投资期权合约品种微小的变动就可能会使本计划遭受较大损失；</w:t>
      </w:r>
    </w:p>
    <w:p w14:paraId="7B662ED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期权合约交易采取权利金和保证金的交易方式，资产管理计划购买期权可能没有任何收益，甚至损失全部投资；资产管理计划卖出期权可能发生巨额损失，这一损失可能大于该期权权利金，资产管理计划可能承受超过保证金甚至计划财产本金的损失。</w:t>
      </w:r>
    </w:p>
    <w:p w14:paraId="1A20CF2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（7）投资于债券等债权类资产的风险</w:t>
      </w:r>
    </w:p>
    <w:p w14:paraId="77B87A4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债券等固定收益类品种除存在市场风险、信用风险和流动性风险等外，还存在其自身的特定风险，包括：</w:t>
      </w:r>
    </w:p>
    <w:p w14:paraId="7B374DC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a）市场平均利率水平变化导致债券价格变化的风险；</w:t>
      </w:r>
    </w:p>
    <w:p w14:paraId="13AFCBC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b）债券市场不同期限、</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同类属债券之间的利差变动导致相应期限和类属债券价格变化的风险；</w:t>
      </w:r>
    </w:p>
    <w:p w14:paraId="5A2A185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c）发行主体的风险：债券发行人出现违约导致债券无法及时兑付或付息，或由于债券发行人信用质</w:t>
      </w:r>
      <w:r>
        <w:rPr>
          <w:rFonts w:ascii="宋体" w:eastAsia="宋体" w:hAnsi="宋体" w:cs="宋体" w:hint="eastAsia"/>
          <w:sz w:val="21"/>
          <w:szCs w:val="21"/>
        </w:rPr>
        <w:lastRenderedPageBreak/>
        <w:t>量降低导致债券价格下降的风险；</w:t>
      </w:r>
    </w:p>
    <w:p w14:paraId="1BF59E0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d）流动性风险：由于债券无法及时兑付、付息，导致投资人退出、清算延期办理，或因在存续期内投资人强制提前退出，导致计划债券折价变现造成损失的风险；</w:t>
      </w:r>
    </w:p>
    <w:p w14:paraId="38BC17C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e）再投资风险：债券偿付本息后以及回购到期后可能由于市场利率的下降面临资金再投资的收益率低于原来利率；</w:t>
      </w:r>
    </w:p>
    <w:p w14:paraId="22E9381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f）债券回购风险：债券回购为提升整体投资组合收益提供了可能，其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14:paraId="6818809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（8）投资于融资融券的特别风险</w:t>
      </w:r>
    </w:p>
    <w:p w14:paraId="0F095B2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a）可能放大投资损失的风险</w:t>
      </w:r>
    </w:p>
    <w:p w14:paraId="74FB83A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与普通证券交易不同，具有财务杠杆放大效应，它在放大投资收益的同时也必然放大投资损失。进行融资融券交易时，既需要承担自有股票价格波动带来的风险，又得承担融资买入或融券卖出股票带来的风险，同时还须支付相应的利息和费用，由此承担的风险可能远远超过普通证券交易。</w:t>
      </w:r>
    </w:p>
    <w:p w14:paraId="6FF72B68"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b）资不抵债的风险</w:t>
      </w:r>
    </w:p>
    <w:p w14:paraId="7849316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属于计划与证券公司之间资金和证券的借贷行为，计划需要承担因自主投资决策产生的风险，当发生亏损时，因需向证券公司偿还融资融券本金及利息，除损失自有资金外，有可能发生资不抵债的情形。</w:t>
      </w:r>
    </w:p>
    <w:p w14:paraId="2AF87F8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c）特有的卖空风险</w:t>
      </w:r>
    </w:p>
    <w:p w14:paraId="1A4037E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中的融券交易存在着与普通证券截然不同的风险——卖空风险。普通证券投资发生的损失是有限的，最多不会超过计划投入的全部本金，但是融券交易的负债在理论上可以无限扩大，因为证券上涨的幅度是没有上限的，而证券涨得越多，融券负债的规模就越大。此外，当融券卖出的证券长期停牌时，因无法买入证券，计划将无法及时归还融券负债，进而可能蒙受巨大的投资损失。</w:t>
      </w:r>
    </w:p>
    <w:p w14:paraId="2CAE648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d）强制平仓风险</w:t>
      </w:r>
    </w:p>
    <w:p w14:paraId="39544CD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融资融券交易中，计划与证券公司间除了债权债务关系，还存在因债权债务产生的信托关系和担保关</w:t>
      </w:r>
      <w:r>
        <w:rPr>
          <w:rFonts w:ascii="宋体" w:eastAsia="宋体" w:hAnsi="宋体" w:cs="宋体" w:hint="eastAsia"/>
          <w:sz w:val="21"/>
          <w:szCs w:val="21"/>
        </w:rPr>
        <w:lastRenderedPageBreak/>
        <w:t>系。当计划未及时偿还融资融券本金及利息或信用账户的维持担保比例触及平仓维持担保比例时，证券公司为保护自身债权并根据融资融券合同约定有权对本基金信用账户内的担保资产执行强制平仓。平仓的品种、数量、价格、时机将不受计划的控制，平仓的数量、金额可能超过计划的全部负债，由此导致的一切损失，由计划自行承担。</w:t>
      </w:r>
    </w:p>
    <w:p w14:paraId="7213AE5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e）提前了结债务的风险</w:t>
      </w:r>
    </w:p>
    <w:p w14:paraId="781507B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融资融券交易中，证券公司在融资融券合同中与计划约定提前了结融资融券债务的条款。计划在从事融资融券交易期间，如果发生可能影响计划偿债能力的重大事项或发生对标的证券产生重大不利影响的情形时，计划可能面临被证券公司提前了结融资融券交易的风险，并可能由此给计划造成损失。</w:t>
      </w:r>
    </w:p>
    <w:p w14:paraId="59D5E0E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f）逆周期调节风险</w:t>
      </w:r>
    </w:p>
    <w:p w14:paraId="7D21EDA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开展融资融券业务期间，当证监会、证券交易所或证券公司根据市场情况实施逆周期调节，对保证金比例、标的证券范围、可充抵保证金的证券种类及折算率、补（平）</w:t>
      </w:r>
      <w:proofErr w:type="gramStart"/>
      <w:r>
        <w:rPr>
          <w:rFonts w:ascii="宋体" w:eastAsia="宋体" w:hAnsi="宋体" w:cs="宋体"/>
          <w:sz w:val="21"/>
          <w:szCs w:val="21"/>
        </w:rPr>
        <w:t>仓维持</w:t>
      </w:r>
      <w:proofErr w:type="gramEnd"/>
      <w:r>
        <w:rPr>
          <w:rFonts w:ascii="宋体" w:eastAsia="宋体" w:hAnsi="宋体" w:cs="宋体"/>
          <w:sz w:val="21"/>
          <w:szCs w:val="21"/>
        </w:rPr>
        <w:t>担保比例、提取担保物的维持担保比例、补仓期限、平仓期限、接受单只担保股票的市值与该股票总市值的最大比例、客户担保物中单一证券市值的</w:t>
      </w:r>
      <w:proofErr w:type="gramStart"/>
      <w:r>
        <w:rPr>
          <w:rFonts w:ascii="宋体" w:eastAsia="宋体" w:hAnsi="宋体" w:cs="宋体"/>
          <w:sz w:val="21"/>
          <w:szCs w:val="21"/>
        </w:rPr>
        <w:t>最大占</w:t>
      </w:r>
      <w:proofErr w:type="gramEnd"/>
      <w:r>
        <w:rPr>
          <w:rFonts w:ascii="宋体" w:eastAsia="宋体" w:hAnsi="宋体" w:cs="宋体"/>
          <w:sz w:val="21"/>
          <w:szCs w:val="21"/>
        </w:rPr>
        <w:t>比、合约展期应满足的条件等进行动态调整或发生标的证券或担保证券暂停交易或终止上市等情况，计划将可能面临被证券公司提前了结融资融券交易、已获批的固定额度失效、保证金可用余额减少、无法提取担保物、合约无法展期、信用账户交易受限或担保物以强制平仓等形式被处分的风险，可能造成的损失由计划自行承担。</w:t>
      </w:r>
    </w:p>
    <w:p w14:paraId="19A6596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8、税收风险</w:t>
      </w:r>
    </w:p>
    <w:p w14:paraId="1DBFF66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资产管理计划所适用的税收征管法律法规可能会由于国家相关税收政策调整而发生变化，投资者收益也可能因相关税收政策调整而受到影响。</w:t>
      </w:r>
    </w:p>
    <w:p w14:paraId="685D3D5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资产管理计划运营过程中需要缴纳增值税应税的，将由委托人承担并从委托资产中支付，按照税务机关的规定以资产管理人为增值税纳税人履行纳税义务，因此可能增加资产委托人的投资税费成本。</w:t>
      </w:r>
    </w:p>
    <w:p w14:paraId="5C06FD9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9、关联交易风险</w:t>
      </w:r>
    </w:p>
    <w:p w14:paraId="133C1CB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不损害委托人利益的前提下，管理人在根据计划合同规定管理、运用和处分计划财产时，可以公平的市场价格进行关联交易；委托人知晓并同意开展该等关联交易。该等关联交易事项可能包括但不限于管理人可运用计划财产买卖计划管理人、托管人及其控股股东、实际控制人或者与其有其他重大利害关系的公司等关联</w:t>
      </w:r>
      <w:proofErr w:type="gramStart"/>
      <w:r>
        <w:rPr>
          <w:rFonts w:ascii="宋体" w:eastAsia="宋体" w:hAnsi="宋体" w:cs="宋体" w:hint="eastAsia"/>
          <w:sz w:val="21"/>
          <w:szCs w:val="21"/>
        </w:rPr>
        <w:t>方发行</w:t>
      </w:r>
      <w:proofErr w:type="gramEnd"/>
      <w:r>
        <w:rPr>
          <w:rFonts w:ascii="宋体" w:eastAsia="宋体" w:hAnsi="宋体" w:cs="宋体" w:hint="eastAsia"/>
          <w:sz w:val="21"/>
          <w:szCs w:val="21"/>
        </w:rPr>
        <w:t>的证券或承销期内承销的证券，或合同约定的其他形式的关联交易。管理人及资产管理计划相关方将根据监管规定及合同约定履行相关义务，管理人将在已知范围内确保交易价格公允。</w:t>
      </w:r>
    </w:p>
    <w:p w14:paraId="0425960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虽然资产管理人积极遵循资产委托人利益优先的原则、遵守相关法律法规的规定进行操作、积极防范</w:t>
      </w:r>
      <w:r>
        <w:rPr>
          <w:rFonts w:ascii="宋体" w:eastAsia="宋体" w:hAnsi="宋体" w:cs="宋体" w:hint="eastAsia"/>
          <w:sz w:val="21"/>
          <w:szCs w:val="21"/>
        </w:rPr>
        <w:lastRenderedPageBreak/>
        <w:t>利益冲突，但仍可能因资产管理人运用委托财产从事关联交易被监管部门认为存在利益输送、内幕交易的风险，进而可能影响资产委托人的利益。该类证券价格可能会出现下跌，从而使本计划收益下降，甚至带来本金损失。</w:t>
      </w:r>
    </w:p>
    <w:p w14:paraId="30F981A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此外，资产管理人运用计划财产从事关联交易时可能依照相关法律法规、监管机构、自律组织的规定被限制相关权利的行使，进而可能影响委托财产的投资收益。 </w:t>
      </w:r>
    </w:p>
    <w:p w14:paraId="6EF0C2B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10、操作或技术风险</w:t>
      </w:r>
    </w:p>
    <w:p w14:paraId="256A731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相关当事人在业务各环节操作过程中，因内部控制存在缺陷或者人为因素造成操作失误或违反操作规程等引致的风险，例如，越权违规交易、会计部门欺诈、交易错误、IT系统故障等风险。</w:t>
      </w:r>
    </w:p>
    <w:p w14:paraId="7FCD40C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计划的各种交易行为或者后台运作中，可能因为技术系统的故障或者差错而影响交易的正常进行或者导致投资者的利益受到影响。这种技术风险可能来自基金管理公司、注册登记机构、销售机构、证券交易所、证券注册登记机构等。</w:t>
      </w:r>
    </w:p>
    <w:p w14:paraId="003BA1F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11、发生不可抗力事件的风险及其他风险</w:t>
      </w:r>
    </w:p>
    <w:p w14:paraId="0AC20C4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（1）战争、自然灾害等不可抗力因素的出现，将会严重影响证券市场的运行，可能导致资产管理计划财产的损失；</w:t>
      </w:r>
    </w:p>
    <w:p w14:paraId="515EB1F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（2）金融市场危机、行业竞争、代理商违约等超出管理人自身直接控制能力之外的风险，也可能导致投资者利益受损。</w:t>
      </w:r>
    </w:p>
    <w:p w14:paraId="38DDA68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对交由登记结算机构、证券期货经营机构、交易所等机构负责清算、保管的资产（包括但不限于期货保证金、合约等）及其产生的收益因该等机构欺诈、疏忽、过失、破产等原因对资产管理计划财产造成的损失。</w:t>
      </w:r>
    </w:p>
    <w:p w14:paraId="2A4ABC9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（4）在资产管理计划存续期间，管理人在一定条件下存在变更投资经理人选的可能，会对资产管理计划投资策略的执行产生影响。</w:t>
      </w:r>
    </w:p>
    <w:p w14:paraId="10310EF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（5）可能危害资产管理计划财产导致投资者利益受损的其他风险。</w:t>
      </w:r>
    </w:p>
    <w:p w14:paraId="4518297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（二）资产管理计划面临的特定风险</w:t>
      </w:r>
    </w:p>
    <w:p w14:paraId="4AFABCB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1、资产管理合同与证券投资基金业协会合同指引不一致所涉风险</w:t>
      </w:r>
    </w:p>
    <w:p w14:paraId="1026FBE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资产管理合同参照证券投资基金业协会合同指引进行编制，并根据资产管理计划实际运作管理需求及各方协商情况约定合同条款，</w:t>
      </w:r>
      <w:proofErr w:type="gramStart"/>
      <w:r>
        <w:rPr>
          <w:rFonts w:ascii="宋体" w:eastAsia="宋体" w:hAnsi="宋体" w:cs="宋体"/>
          <w:sz w:val="21"/>
          <w:szCs w:val="21"/>
        </w:rPr>
        <w:t>故资产</w:t>
      </w:r>
      <w:proofErr w:type="gramEnd"/>
      <w:r>
        <w:rPr>
          <w:rFonts w:ascii="宋体" w:eastAsia="宋体" w:hAnsi="宋体" w:cs="宋体"/>
          <w:sz w:val="21"/>
          <w:szCs w:val="21"/>
        </w:rPr>
        <w:t>管理合同可能存在与证券投资基金业协会合同指引不一致情形。投资者应当认真阅读</w:t>
      </w:r>
      <w:proofErr w:type="gramStart"/>
      <w:r>
        <w:rPr>
          <w:rFonts w:ascii="宋体" w:eastAsia="宋体" w:hAnsi="宋体" w:cs="宋体"/>
          <w:sz w:val="21"/>
          <w:szCs w:val="21"/>
        </w:rPr>
        <w:t>本资产</w:t>
      </w:r>
      <w:proofErr w:type="gramEnd"/>
      <w:r>
        <w:rPr>
          <w:rFonts w:ascii="宋体" w:eastAsia="宋体" w:hAnsi="宋体" w:cs="宋体"/>
          <w:sz w:val="21"/>
          <w:szCs w:val="21"/>
        </w:rPr>
        <w:t>管理合同，理解</w:t>
      </w:r>
      <w:proofErr w:type="gramStart"/>
      <w:r>
        <w:rPr>
          <w:rFonts w:ascii="宋体" w:eastAsia="宋体" w:hAnsi="宋体" w:cs="宋体"/>
          <w:sz w:val="21"/>
          <w:szCs w:val="21"/>
        </w:rPr>
        <w:t>本资产</w:t>
      </w:r>
      <w:proofErr w:type="gramEnd"/>
      <w:r>
        <w:rPr>
          <w:rFonts w:ascii="宋体" w:eastAsia="宋体" w:hAnsi="宋体" w:cs="宋体"/>
          <w:sz w:val="21"/>
          <w:szCs w:val="21"/>
        </w:rPr>
        <w:t>管理合同的全部条款，独立做出是否签署</w:t>
      </w:r>
      <w:proofErr w:type="gramStart"/>
      <w:r>
        <w:rPr>
          <w:rFonts w:ascii="宋体" w:eastAsia="宋体" w:hAnsi="宋体" w:cs="宋体"/>
          <w:sz w:val="21"/>
          <w:szCs w:val="21"/>
        </w:rPr>
        <w:t>本资产</w:t>
      </w:r>
      <w:proofErr w:type="gramEnd"/>
      <w:r>
        <w:rPr>
          <w:rFonts w:ascii="宋体" w:eastAsia="宋体" w:hAnsi="宋体" w:cs="宋体"/>
          <w:sz w:val="21"/>
          <w:szCs w:val="21"/>
        </w:rPr>
        <w:t>管理合同的决定。但是资产委托人签署</w:t>
      </w:r>
      <w:proofErr w:type="gramStart"/>
      <w:r>
        <w:rPr>
          <w:rFonts w:ascii="宋体" w:eastAsia="宋体" w:hAnsi="宋体" w:cs="宋体"/>
          <w:sz w:val="21"/>
          <w:szCs w:val="21"/>
        </w:rPr>
        <w:t>本资产</w:t>
      </w:r>
      <w:proofErr w:type="gramEnd"/>
      <w:r>
        <w:rPr>
          <w:rFonts w:ascii="宋体" w:eastAsia="宋体" w:hAnsi="宋体" w:cs="宋体"/>
          <w:sz w:val="21"/>
          <w:szCs w:val="21"/>
        </w:rPr>
        <w:t>管理合同不代表资产委托人接受因资产管理合同违反法律法规、监管机</w:t>
      </w:r>
      <w:r>
        <w:rPr>
          <w:rFonts w:ascii="宋体" w:eastAsia="宋体" w:hAnsi="宋体" w:cs="宋体"/>
          <w:sz w:val="21"/>
          <w:szCs w:val="21"/>
        </w:rPr>
        <w:lastRenderedPageBreak/>
        <w:t>构和行业自律规则进而导致</w:t>
      </w:r>
      <w:proofErr w:type="gramStart"/>
      <w:r>
        <w:rPr>
          <w:rFonts w:ascii="宋体" w:eastAsia="宋体" w:hAnsi="宋体" w:cs="宋体"/>
          <w:sz w:val="21"/>
          <w:szCs w:val="21"/>
        </w:rPr>
        <w:t>本资产</w:t>
      </w:r>
      <w:proofErr w:type="gramEnd"/>
      <w:r>
        <w:rPr>
          <w:rFonts w:ascii="宋体" w:eastAsia="宋体" w:hAnsi="宋体" w:cs="宋体"/>
          <w:sz w:val="21"/>
          <w:szCs w:val="21"/>
        </w:rPr>
        <w:t>管理计划下的损失。因资产管理人过错或过失导致资产管理合同违反法律法规、监管机构规定和行业自律规则或资产管理合同的约定进而导致</w:t>
      </w:r>
      <w:proofErr w:type="gramStart"/>
      <w:r>
        <w:rPr>
          <w:rFonts w:ascii="宋体" w:eastAsia="宋体" w:hAnsi="宋体" w:cs="宋体"/>
          <w:sz w:val="21"/>
          <w:szCs w:val="21"/>
        </w:rPr>
        <w:t>本资产</w:t>
      </w:r>
      <w:proofErr w:type="gramEnd"/>
      <w:r>
        <w:rPr>
          <w:rFonts w:ascii="宋体" w:eastAsia="宋体" w:hAnsi="宋体" w:cs="宋体"/>
          <w:sz w:val="21"/>
          <w:szCs w:val="21"/>
        </w:rPr>
        <w:t>管理计划下的损失，由资产管理人承担相应的责任。</w:t>
      </w:r>
    </w:p>
    <w:p w14:paraId="429A4F3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2、资产管理计划未托管所涉风险</w:t>
      </w:r>
    </w:p>
    <w:p w14:paraId="34DEC93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不适用。</w:t>
      </w:r>
    </w:p>
    <w:p w14:paraId="61D994E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3、资产管理计划委托募集所涉风险</w:t>
      </w:r>
    </w:p>
    <w:p w14:paraId="7332208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资产管理计划由管理人委托代理销售机构进行募集的，相关投资者适当性工作亦由管理人委托的代理销售机构进行核查验证，代理销售机构未能尽职核查的，可能会对投资者产生不利影响。</w:t>
      </w:r>
      <w:bookmarkStart w:id="68" w:name="_Hlk70618700"/>
      <w:r>
        <w:rPr>
          <w:rFonts w:ascii="宋体" w:eastAsia="宋体" w:hAnsi="宋体" w:cs="宋体" w:hint="eastAsia"/>
          <w:sz w:val="21"/>
          <w:szCs w:val="21"/>
        </w:rPr>
        <w:t>因资产管理人、管理人委托的代理销售机构过错或过失导致</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管理计划下的损失，由相关责任方承担相应的责任。</w:t>
      </w:r>
      <w:bookmarkEnd w:id="68"/>
    </w:p>
    <w:p w14:paraId="6517E21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4、资产管理计划外包事项所涉风险</w:t>
      </w:r>
    </w:p>
    <w:p w14:paraId="60498BF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资产管理人可委托具备相应资质的外包服务机构【光大证券股份有限公司】提供</w:t>
      </w:r>
      <w:r>
        <w:rPr>
          <w:rFonts w:ascii="宋体" w:eastAsia="宋体" w:hAnsi="宋体" w:cs="宋体" w:hint="eastAsia"/>
          <w:sz w:val="21"/>
          <w:szCs w:val="21"/>
          <w:lang w:bidi="ar"/>
        </w:rPr>
        <w:t>份额登记和估值核算服务</w:t>
      </w:r>
      <w:proofErr w:type="gramStart"/>
      <w:r>
        <w:rPr>
          <w:rFonts w:ascii="宋体" w:eastAsia="宋体" w:hAnsi="宋体" w:cs="宋体" w:hint="eastAsia"/>
          <w:sz w:val="21"/>
          <w:szCs w:val="21"/>
          <w:lang w:bidi="ar"/>
        </w:rPr>
        <w:t>等</w:t>
      </w:r>
      <w:r>
        <w:rPr>
          <w:rFonts w:ascii="宋体" w:eastAsia="宋体" w:hAnsi="宋体" w:cs="宋体" w:hint="eastAsia"/>
          <w:sz w:val="21"/>
          <w:szCs w:val="21"/>
        </w:rPr>
        <w:t>资管计划</w:t>
      </w:r>
      <w:proofErr w:type="gramEnd"/>
      <w:r>
        <w:rPr>
          <w:rFonts w:ascii="宋体" w:eastAsia="宋体" w:hAnsi="宋体" w:cs="宋体" w:hint="eastAsia"/>
          <w:sz w:val="21"/>
          <w:szCs w:val="21"/>
        </w:rPr>
        <w:t>外包服务。外包服务机构相信其本身将按照相关法律的规定进行营运及管理，但无法保证其本身可以永久维持符合监管部门的金融监管法律。如在计划存续期间外包服务机构无法继续从事</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外包服务，则可能会对</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产生不利影响。</w:t>
      </w:r>
    </w:p>
    <w:p w14:paraId="008B1CA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5、资产管理计划聘请投资顾问所涉风险</w:t>
      </w:r>
    </w:p>
    <w:p w14:paraId="73D72D0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不适用。</w:t>
      </w:r>
    </w:p>
    <w:p w14:paraId="20E730C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6、资产管理计划份额转让所涉风险</w:t>
      </w:r>
    </w:p>
    <w:p w14:paraId="6046E90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在具备可行条件且经管理人公告或通知后，投资者可以按照法律法规及资产管理合同的规定进行份额转让。资产管理计划份额转让的交易平台可以是证券交易所，也可以是中国证监会认可的其他交易平台。</w:t>
      </w:r>
    </w:p>
    <w:p w14:paraId="1B66AE3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受限于份额受让方须满足合格投资者要求、投资者合计不得超过200人以及届时计划份额流动性不足等相关限制因素的影响，都可能导致投资者届时可能无法顺利及时转让其所持有的计划份额。而且，计划份额转让须遵守交易场所的相关规定及要求，并按资产管理人的规定办理份额变更登记手续。由此，在办理该等份额转让过程中，投资者须履行相关程序性要求并不排除需要支付相关份额转让费用。</w:t>
      </w:r>
    </w:p>
    <w:p w14:paraId="4D36A42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7、资产管理计划设置份额持有人大会所涉风险</w:t>
      </w:r>
    </w:p>
    <w:p w14:paraId="4443ADF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不适用。</w:t>
      </w:r>
    </w:p>
    <w:p w14:paraId="737632C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8、资产管理计划未在证券投资基金业协会完成备案手续或不予备案情形所涉风险</w:t>
      </w:r>
    </w:p>
    <w:p w14:paraId="1887BA4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w:t>
      </w:r>
      <w:r>
        <w:rPr>
          <w:rFonts w:ascii="宋体" w:eastAsia="宋体" w:hAnsi="宋体" w:cs="宋体" w:hint="eastAsia"/>
          <w:sz w:val="21"/>
          <w:szCs w:val="21"/>
        </w:rPr>
        <w:lastRenderedPageBreak/>
        <w:t>完成基金业协会备案前不得开展投资活动。</w:t>
      </w:r>
    </w:p>
    <w:p w14:paraId="2A027E3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因此，即使本计划成立，并不意味着本计划必然能获得基金业协会的备案。而该等备案过程可能会受到相应监管政策的影响，包括备案所需时间、能否通过备案都存在一定的不确定性。</w:t>
      </w:r>
    </w:p>
    <w:p w14:paraId="3CB14CA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如果在计划成立后不能及时完成备案，将可能导致本计划错过市场行情或投资机会；如果本计划在成立后无法获得基金业协会的备案，则将直接影响本计划设立目的的实现。当出现无法通过基金业协会备案的情形，本计划提前终止，由此直接影响资产委托人参与本计划的投资目的。</w:t>
      </w:r>
    </w:p>
    <w:p w14:paraId="78D5F3A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9、特定的投资方法及资产管理计划财产所投资的特定投资对象可能引起的特定风险</w:t>
      </w:r>
    </w:p>
    <w:p w14:paraId="42F2850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（1）盯市结算风险 </w:t>
      </w:r>
    </w:p>
    <w:p w14:paraId="6CE6FC9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期货采取保证金交易，保证金账户实行当日无负债结算制度，对资金管理要求较高。假如市场走势对本计划财产不利，期货经纪公司会按照期货经纪合同约定的时间和方式通知资产管理人追加保证金，以使资产管理计划财产能继续持有未平仓合约。如出现极端行情，市场持续向不利方向波动导致期货保证金不足，又未能在规定时间内补足，按规定保证金账户将被强制平仓，甚至已缴付的所有保证金都不能弥补损失，从而导致超出预期的损失。 </w:t>
      </w:r>
    </w:p>
    <w:p w14:paraId="747527E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（2）平仓风险 </w:t>
      </w:r>
    </w:p>
    <w:p w14:paraId="4D88133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在某些市场情况下，计划财产可能会难以或无法将持有的未平仓合约平仓，例如，这种情况可能在市场达到涨跌停板时出现。出现这类情况，计划财产缴付的所有保证金有可能无法弥补全部损失，委托人还必须承担由此导致的损失。期货经纪公司或其客户保证金不足，又未能在规定的时间内补足，或因其他原因导致期货交易所对期货经纪公司的经纪账户强行平仓，资产管理计划财产可能因被连带强行平仓而遭受损失。因管理</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 xml:space="preserve">未在规定时间内补足保证金导致被强制平仓，给投资者造成的损失由管理人承担。 </w:t>
      </w:r>
    </w:p>
    <w:p w14:paraId="7855360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（3）债券回购风险</w:t>
      </w:r>
    </w:p>
    <w:p w14:paraId="7805EA8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sz w:val="21"/>
          <w:szCs w:val="21"/>
        </w:rPr>
        <w:t>债券回购为提升整体投资组合收益提供了可能，但也存在一定的风险。债券回购的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14:paraId="16041EE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10、本计划展期或提前终止的风险</w:t>
      </w:r>
    </w:p>
    <w:p w14:paraId="3723661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若发生本计划约定展期或提前终止情形时，将可能导致资产委托人无法按照预期安排委托财产投资或无法按时收回委托财产或委托财产收回金额不及预期等风险。</w:t>
      </w:r>
    </w:p>
    <w:p w14:paraId="6410E4E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11、预警止损的风险</w:t>
      </w:r>
    </w:p>
    <w:p w14:paraId="7729B27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本计划虽然设定了预警机制，但该等预警线并不代表本计划最终实际净值。本计划不设置止损操作，计划资产可能发生大幅亏损，甚至本金全部损失。</w:t>
      </w:r>
    </w:p>
    <w:p w14:paraId="15AFEBC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（三）其它风险 </w:t>
      </w:r>
    </w:p>
    <w:p w14:paraId="18F3F5E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1、战争、自然灾害等不可抗力因素的出现，将会严重影响证券市场的运行，可能导致委托财产的损失； </w:t>
      </w:r>
    </w:p>
    <w:p w14:paraId="622D4787"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2、金融市场危机、行业竞争、代理商违约等超出资产管理人自身直接控制能力之外的风险，也可能导致资产委托人利益受损。</w:t>
      </w:r>
    </w:p>
    <w:p w14:paraId="7E1DF11D"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发生上述风险事件不代表管理人免于承担责任，如因管理人自身原因引起的并导致资产管理产品发生损失的，由管理人承担相应损失。</w:t>
      </w:r>
    </w:p>
    <w:p w14:paraId="5DB7D507" w14:textId="77777777" w:rsidR="00D4368C" w:rsidRDefault="00D4368C">
      <w:pPr>
        <w:pStyle w:val="NormalIndent"/>
        <w:spacing w:line="360" w:lineRule="auto"/>
        <w:rPr>
          <w:rFonts w:ascii="宋体" w:eastAsia="宋体" w:hAnsi="宋体" w:cs="宋体"/>
          <w:sz w:val="21"/>
          <w:szCs w:val="21"/>
        </w:rPr>
      </w:pPr>
    </w:p>
    <w:p w14:paraId="7074522B" w14:textId="77777777" w:rsidR="00D4368C" w:rsidRDefault="001710E2">
      <w:pPr>
        <w:pStyle w:val="Heading1"/>
        <w:spacing w:before="0" w:after="0" w:line="360" w:lineRule="auto"/>
        <w:jc w:val="center"/>
        <w:rPr>
          <w:rFonts w:ascii="宋体" w:eastAsia="宋体" w:hAnsi="宋体" w:cs="宋体"/>
          <w:sz w:val="21"/>
          <w:szCs w:val="21"/>
        </w:rPr>
      </w:pPr>
      <w:bookmarkStart w:id="69" w:name="_Toc70622204"/>
      <w:r>
        <w:rPr>
          <w:rFonts w:ascii="宋体" w:eastAsia="宋体" w:hAnsi="宋体" w:cs="宋体" w:hint="eastAsia"/>
          <w:sz w:val="21"/>
          <w:szCs w:val="21"/>
        </w:rPr>
        <w:t>二十五、资产管理合同的变更、终止与财产清算</w:t>
      </w:r>
      <w:bookmarkEnd w:id="69"/>
    </w:p>
    <w:p w14:paraId="398139A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（一）资产管理合同的变更</w:t>
      </w:r>
    </w:p>
    <w:p w14:paraId="2D8D833A"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因法律法规或中国证监会、证券投资基金业协会的相关规定、要求发生变化必须变更资产管理合同的，在必须变更的范围内，资产管理人可以与资产托管人协商后修改资产管理合同，并由资产管理人按照合同约定及时向投资者披露变更的具体内容。</w:t>
      </w:r>
    </w:p>
    <w:p w14:paraId="28F00D7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2、因其他原因需要变更资产管理合同的，资产管理人与资产委托人、资产托管人对合同变更事宜达成一致后，方可对合同内容进行变更。资产管理计划改变投向和比例的，应当事先取得资产委托人同意。</w:t>
      </w:r>
    </w:p>
    <w:p w14:paraId="1C40FCA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3、如果资产管理人被依法撤销资产管理业务资格或者依法解散、被撤销、宣告破产，经资产委托人及资产托管人协商一致，可选择符合条件的其他资产管理人承接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管理计划项下资产管理人相关权利义务。发生此等情形时，原资产管理人应当向新的资产管理人交接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管理计划资产管理事务。</w:t>
      </w:r>
    </w:p>
    <w:p w14:paraId="042845A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如果资产托管人被依法撤销基金托管资格或者依法解散、被撤销、宣告破产，经资产委托人及资产管理人协商一致，可选择符合条件的其他资产托管人承接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管理计划项下资产托管人相关权利义务。发生此等情形时，原资产托管人应当向新的资产托管人交接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管理计划资产托管事务。</w:t>
      </w:r>
    </w:p>
    <w:p w14:paraId="180565C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4、资产管理人应当合理保障合同变更后投资者选择退出资产管理计划的权利，具体以资产管理人经与资产委托人协商一致后的届时安排（公告）为准。</w:t>
      </w:r>
    </w:p>
    <w:p w14:paraId="221F113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5、资产管理人应当</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管理合同变更之日起五个工作日内</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w:t>
      </w:r>
    </w:p>
    <w:p w14:paraId="1CE31C4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（二）本计划终止（含提前终止）的情形包括下列事项：</w:t>
      </w:r>
    </w:p>
    <w:p w14:paraId="4FBFBDD5"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1、</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存续期届满而</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展期的；</w:t>
      </w:r>
    </w:p>
    <w:p w14:paraId="09E27484"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2、资产管理人被依法撤销资产管理业务资格或者依法解散、被撤销、被宣告破产，且在六个月内没有新的资产管理人承接；</w:t>
      </w:r>
    </w:p>
    <w:p w14:paraId="4F9CA127"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3、资产托管人被依法撤销基金托管资格或者依法解散、被撤销、被宣告破产，且在六个月内没有新的资产托管人承接；</w:t>
      </w:r>
    </w:p>
    <w:p w14:paraId="46DF2DA8"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4、经资产委托人、资产管理人和托管人协商一致决定终止的；</w:t>
      </w:r>
    </w:p>
    <w:p w14:paraId="7AE773B9"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5、本计划存续期间内，持续五个工作日投资者少于二人；</w:t>
      </w:r>
    </w:p>
    <w:p w14:paraId="1C4F7D6A"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6、本计划在成立后，未在基金业协会完成备案或不予备案的；</w:t>
      </w:r>
    </w:p>
    <w:p w14:paraId="308B1311"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7、法律、行政法规及中国证监会规定及本合同约定的其他情形。</w:t>
      </w:r>
    </w:p>
    <w:p w14:paraId="6267388F" w14:textId="77777777" w:rsidR="00D4368C" w:rsidRDefault="001710E2">
      <w:pPr>
        <w:spacing w:line="360" w:lineRule="auto"/>
        <w:ind w:firstLine="540"/>
        <w:rPr>
          <w:rFonts w:ascii="宋体" w:eastAsia="宋体" w:hAnsi="宋体" w:cs="宋体"/>
          <w:sz w:val="21"/>
          <w:szCs w:val="21"/>
        </w:rPr>
      </w:pPr>
      <w:r>
        <w:rPr>
          <w:rFonts w:ascii="宋体" w:eastAsia="宋体" w:hAnsi="宋体" w:cs="宋体" w:hint="eastAsia"/>
          <w:sz w:val="21"/>
          <w:szCs w:val="21"/>
        </w:rPr>
        <w:t>资产管理人应当</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管理计划终止之日起五个工作日内</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业协会备案，并抄报中国证监会相关派出机构，前述第7项约定的情形除外。</w:t>
      </w:r>
    </w:p>
    <w:p w14:paraId="2CF1A76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（三）本计划的展期</w:t>
      </w:r>
    </w:p>
    <w:p w14:paraId="4DB10CD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如果本计划届时符合如下条件，则视为本计划展期成功：</w:t>
      </w:r>
    </w:p>
    <w:p w14:paraId="1C47555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1、资产管理计划运作规范，资产管理人、托管人未违反法律、行政法规、中国证监会规定和资产管理合同的约定；</w:t>
      </w:r>
    </w:p>
    <w:p w14:paraId="77A11F3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2、经全体资产委托人、资产管理人和资产托管人协商一致后，可以对计划进行延期；</w:t>
      </w:r>
    </w:p>
    <w:p w14:paraId="7B37D83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3、资产管理计划展期没有损害投资者利益的情形；</w:t>
      </w:r>
    </w:p>
    <w:p w14:paraId="286FE38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4、符合本合同第七章第（一）条所约定的本计划成立条件；</w:t>
      </w:r>
    </w:p>
    <w:p w14:paraId="677932AC"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5、中国证监会规定的其他条件。</w:t>
      </w:r>
    </w:p>
    <w:p w14:paraId="2F99CEE5"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（四）财产清算</w:t>
      </w:r>
    </w:p>
    <w:p w14:paraId="3AA2FBF0"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1、清算小组</w:t>
      </w:r>
    </w:p>
    <w:p w14:paraId="19A7EA60"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管理计划终止（含提前终止）的，资产管理人应当在发生终止（含提前终止）情形之日起五个工作日内开始组织清算资产管理计划财产，具体可由清算小组具体处理。</w:t>
      </w:r>
    </w:p>
    <w:p w14:paraId="59D72397"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清算小组成员由资产管理人、资产托管人组成。清算小组可以聘用必要的工作人员。</w:t>
      </w:r>
    </w:p>
    <w:p w14:paraId="2D7D32F8"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清算小组职责：负责资产管理计划财产的保管、清理、估价、变现和分配。资产管理计划财产清算小</w:t>
      </w:r>
      <w:r>
        <w:rPr>
          <w:rFonts w:ascii="宋体" w:eastAsia="宋体" w:hAnsi="宋体" w:cs="宋体" w:hint="eastAsia"/>
          <w:sz w:val="21"/>
          <w:szCs w:val="21"/>
        </w:rPr>
        <w:lastRenderedPageBreak/>
        <w:t>组可以依法进行必要的民事活动。</w:t>
      </w:r>
    </w:p>
    <w:p w14:paraId="37192923"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2、清算程序</w:t>
      </w:r>
    </w:p>
    <w:p w14:paraId="5B4C03C6"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管理计划终止（含提前终止），应当按法律法规和资产管理合同的有关规定对资产管理计划财产进行清算。资产管理计划财产清算程序主要包括：</w:t>
      </w:r>
    </w:p>
    <w:p w14:paraId="0E399787"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（1）资产管理计划终止时，由资产管理计划财产清算小组统一接管财产；</w:t>
      </w:r>
    </w:p>
    <w:p w14:paraId="5276CC4A"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（2）对资产管理计划财产进行清理和确认；</w:t>
      </w:r>
    </w:p>
    <w:p w14:paraId="32882034"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（3）对资产管理计划财产进行估价和变现；</w:t>
      </w:r>
    </w:p>
    <w:p w14:paraId="2B484541"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（4）制作清算报告；</w:t>
      </w:r>
    </w:p>
    <w:p w14:paraId="0E95AAB4"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（5）对资产管理计划剩余财产进行分配。</w:t>
      </w:r>
    </w:p>
    <w:p w14:paraId="1EC277EF"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3、清算费用的来源和支付方式</w:t>
      </w:r>
    </w:p>
    <w:p w14:paraId="257FDCAC"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清算费用是指清算小组在进行资产管理计划财产清算过程中发生的所有合理费用，清算费用由资产管理计划财产清算小组优先从资产管理计划财产中支付。清算费用包括但不限于：</w:t>
      </w:r>
    </w:p>
    <w:p w14:paraId="35418BF3"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（1）聘请会计师（如需）、律师（如需），以及其他工作人员所发生的报酬；</w:t>
      </w:r>
    </w:p>
    <w:p w14:paraId="2EA2BE79"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（2）资产管理计划资产的保管、清理、估价、变现和分配产生的费用；</w:t>
      </w:r>
    </w:p>
    <w:p w14:paraId="3471EF97"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（3）信息披露所发生的费用；</w:t>
      </w:r>
    </w:p>
    <w:p w14:paraId="12014036"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（4）诉讼、仲裁、保全等维护计划委托财产利益所发生的费用；</w:t>
      </w:r>
    </w:p>
    <w:p w14:paraId="55090E9D"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（5）其他与清算事项有关的费用。</w:t>
      </w:r>
    </w:p>
    <w:p w14:paraId="57828350"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除交易所、登记结算机构、开户银行等自动扣缴的费用外，所有清算费用由资产管理人向资产托管人出具指令，由资产托管人复核后办理支付。</w:t>
      </w:r>
    </w:p>
    <w:p w14:paraId="44F46B94"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4、清算剩余财产的支付</w:t>
      </w:r>
    </w:p>
    <w:p w14:paraId="6FCFEC99"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依据资产管理计划财产清算的分配方案，将资产管理计划财产清算后的全部剩余资产扣除资产管理计划财产清算费用及各项负债后，向资产委托人进行分配。计划财产按下列顺序清偿：</w:t>
      </w:r>
    </w:p>
    <w:p w14:paraId="16B48FA3"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（1）支付清算费用；</w:t>
      </w:r>
    </w:p>
    <w:p w14:paraId="27F722FA"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（2）交纳所欠税款；</w:t>
      </w:r>
    </w:p>
    <w:p w14:paraId="4F05A497"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（3）清偿计划债务（包括但不限于管理费、托管费、业绩报酬等）；</w:t>
      </w:r>
    </w:p>
    <w:p w14:paraId="2688118B"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（4）向资产委托人进行分配。</w:t>
      </w:r>
    </w:p>
    <w:p w14:paraId="4D15CF6C"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计划财产未按前款（1）、（2）、（3）项约定清偿前，不分配给计划份额持有人。在完成前款（1）、（2）、（3）</w:t>
      </w:r>
      <w:proofErr w:type="gramStart"/>
      <w:r>
        <w:rPr>
          <w:rFonts w:ascii="宋体" w:eastAsia="宋体" w:hAnsi="宋体" w:cs="宋体" w:hint="eastAsia"/>
          <w:sz w:val="21"/>
          <w:szCs w:val="21"/>
        </w:rPr>
        <w:t>项程序</w:t>
      </w:r>
      <w:proofErr w:type="gramEnd"/>
      <w:r>
        <w:rPr>
          <w:rFonts w:ascii="宋体" w:eastAsia="宋体" w:hAnsi="宋体" w:cs="宋体" w:hint="eastAsia"/>
          <w:sz w:val="21"/>
          <w:szCs w:val="21"/>
        </w:rPr>
        <w:t>后的剩余财产，资产管理人将按照资产委托人所持份额占本计划总份额的比</w:t>
      </w:r>
      <w:r>
        <w:rPr>
          <w:rFonts w:ascii="宋体" w:eastAsia="宋体" w:hAnsi="宋体" w:cs="宋体" w:hint="eastAsia"/>
          <w:sz w:val="21"/>
          <w:szCs w:val="21"/>
        </w:rPr>
        <w:lastRenderedPageBreak/>
        <w:t>例，以现金形式向资产委托人进行分配。</w:t>
      </w:r>
    </w:p>
    <w:p w14:paraId="58C3387A"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sz w:val="21"/>
          <w:szCs w:val="21"/>
        </w:rPr>
        <w:t>计划终止日后，计划财产不应仍持有可</w:t>
      </w:r>
      <w:proofErr w:type="gramStart"/>
      <w:r>
        <w:rPr>
          <w:rFonts w:ascii="宋体" w:eastAsia="宋体" w:hAnsi="宋体" w:cs="宋体"/>
          <w:sz w:val="21"/>
          <w:szCs w:val="21"/>
        </w:rPr>
        <w:t>流通非</w:t>
      </w:r>
      <w:proofErr w:type="gramEnd"/>
      <w:r>
        <w:rPr>
          <w:rFonts w:ascii="宋体" w:eastAsia="宋体" w:hAnsi="宋体" w:cs="宋体"/>
          <w:sz w:val="21"/>
          <w:szCs w:val="21"/>
        </w:rPr>
        <w:t>现金资产。如遇特殊情况，计划财产仍持有未能流通变现的证券的，资产管理人可采取二次或多次清盘的方式，先对本计划所持有的现金资产进行清算，并按本合同约定的规则向委托人进行分配。</w:t>
      </w:r>
      <w:proofErr w:type="gramStart"/>
      <w:r>
        <w:rPr>
          <w:rFonts w:ascii="宋体" w:eastAsia="宋体" w:hAnsi="宋体" w:cs="宋体"/>
          <w:sz w:val="21"/>
          <w:szCs w:val="21"/>
        </w:rPr>
        <w:t>待本计划</w:t>
      </w:r>
      <w:proofErr w:type="gramEnd"/>
      <w:r>
        <w:rPr>
          <w:rFonts w:ascii="宋体" w:eastAsia="宋体" w:hAnsi="宋体" w:cs="宋体"/>
          <w:sz w:val="21"/>
          <w:szCs w:val="21"/>
        </w:rPr>
        <w:t>所持资产中剩余流通受限资产的流通限制解除后，资产管理人应及时变现，并对变现资产进行二次或多次清算。每次清算时，资产管理人向资产托管人出具划款指令，将当前剩余现金资产扣除本计划财产当前应付的清算费用、应付税款、各项债务及预留后续或有支出后的剩余现金资产，向委托人进行分配。在进行二次或多次清算的变现过程中，变现的资金以现金保存，不得再进行投资。计划终止日至本计划财产全部完成变现前，资产管理人、资产托管人继续按本合同第二十一章第（二）条约定的费率及计算方法收取管理费、托管费、业绩报酬。管理费、托管费计提规则是以当日资产净值为基数在下一日计提，对于合同最后一日费用则以当日资产净值为基数在当日计提。</w:t>
      </w:r>
    </w:p>
    <w:p w14:paraId="545A7CC8"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在委托财产移交前，由资产托管人负责保管。保管期间，任何当事人均不得运用该委托财产。保管期间产生的收益归委托财产所有，发生的保管费用由委托财产承担。因资产委托人原因导致委托财产无法转移的，资产托管人和资产管理人可以在协商一致后按照有关法律法规进行处理。</w:t>
      </w:r>
    </w:p>
    <w:p w14:paraId="2E71E40B"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委托财产清算工作结束，并全部划入指定账户后，资产托管人应在资产委托人和资产管理人的配合下，尽快完成本合同项下相关账户的销户工作，并将销</w:t>
      </w:r>
      <w:proofErr w:type="gramStart"/>
      <w:r>
        <w:rPr>
          <w:rFonts w:ascii="宋体" w:eastAsia="宋体" w:hAnsi="宋体" w:cs="宋体" w:hint="eastAsia"/>
          <w:sz w:val="21"/>
          <w:szCs w:val="21"/>
        </w:rPr>
        <w:t>户结果</w:t>
      </w:r>
      <w:proofErr w:type="gramEnd"/>
      <w:r>
        <w:rPr>
          <w:rFonts w:ascii="宋体" w:eastAsia="宋体" w:hAnsi="宋体" w:cs="宋体" w:hint="eastAsia"/>
          <w:sz w:val="21"/>
          <w:szCs w:val="21"/>
        </w:rPr>
        <w:t>通知资产委托人和资产管理人。如因本合同相关当事人故意拖延等行为造成销户不及时而出现直接损失或造成相关费用，应当对各自行为承担赔偿责任。</w:t>
      </w:r>
    </w:p>
    <w:p w14:paraId="6246363D"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资产管理计划因委托财产流动性受限等原因延期清算的，资产管理人应当及时向中国证监会相关派出机构和证券投资基金业协会报告。</w:t>
      </w:r>
    </w:p>
    <w:p w14:paraId="3A9B9D80"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资产管理人应当在资产管理计划清算结束后五个工作日内将清算结果</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w:t>
      </w:r>
    </w:p>
    <w:p w14:paraId="7EF5FB15"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资产托管人等机构应当按照法律法规、监管机构及自律组织的规定保存资产管理计划的会计账册，妥善保存有关的合同、协议、交易记录等文件、资料和数据，任何人不得隐匿、伪造、篡改或者销毁。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管理计划终止之日起不少于二十年。</w:t>
      </w:r>
    </w:p>
    <w:p w14:paraId="3DAE4EB0" w14:textId="77777777" w:rsidR="00D4368C" w:rsidRDefault="00D4368C">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p>
    <w:p w14:paraId="630D8BBB" w14:textId="77777777" w:rsidR="00D4368C" w:rsidRDefault="001710E2">
      <w:pPr>
        <w:pStyle w:val="Heading1"/>
        <w:spacing w:before="0" w:after="0" w:line="360" w:lineRule="auto"/>
        <w:jc w:val="center"/>
        <w:rPr>
          <w:rFonts w:ascii="宋体" w:eastAsia="宋体" w:hAnsi="宋体" w:cs="宋体"/>
          <w:sz w:val="21"/>
          <w:szCs w:val="21"/>
        </w:rPr>
      </w:pPr>
      <w:bookmarkStart w:id="70" w:name="_Toc70622205"/>
      <w:bookmarkStart w:id="71" w:name="_Toc401668951"/>
      <w:r>
        <w:rPr>
          <w:rFonts w:ascii="宋体" w:eastAsia="宋体" w:hAnsi="宋体" w:cs="宋体" w:hint="eastAsia"/>
          <w:sz w:val="21"/>
          <w:szCs w:val="21"/>
        </w:rPr>
        <w:t>二十六、违约责任</w:t>
      </w:r>
      <w:bookmarkEnd w:id="70"/>
      <w:bookmarkEnd w:id="71"/>
    </w:p>
    <w:p w14:paraId="19B65DF3"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sz w:val="21"/>
          <w:szCs w:val="21"/>
        </w:rPr>
        <w:t>(</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)因本合同当事人的违约行为造成本合同不能履行或者不能完全履行的，由违约的一方承担违约责任；如属当事人双方或多方当事人的违约，根据实际情况，由违约方分别承担各自应负的违约责任。</w:t>
      </w:r>
      <w:r>
        <w:rPr>
          <w:rFonts w:ascii="宋体" w:eastAsia="宋体" w:hAnsi="宋体" w:cs="宋体" w:hint="eastAsia"/>
          <w:b/>
          <w:sz w:val="21"/>
          <w:szCs w:val="21"/>
        </w:rPr>
        <w:t>但是</w:t>
      </w:r>
      <w:r>
        <w:rPr>
          <w:rFonts w:ascii="宋体" w:eastAsia="宋体" w:hAnsi="宋体" w:cs="宋体" w:hint="eastAsia"/>
          <w:b/>
          <w:sz w:val="21"/>
          <w:szCs w:val="21"/>
        </w:rPr>
        <w:lastRenderedPageBreak/>
        <w:t>发生下列情况，当事人应当免责：</w:t>
      </w:r>
    </w:p>
    <w:p w14:paraId="043F0507"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1、对于无法预见、无法抗拒、无法避免且在本合同签署之日后发生的不可抗力事件，包括但不限于战争、自然灾害、政府行为等情形，导致合同当事人方无法全部履行或部分履行本合同的，任何一方当事人不承担违约责任，但是，合同各方当事人应当在合理行为能力范围内勤勉尽责，以降低此类事件对委托财产和其他当事人方的影响；</w:t>
      </w:r>
    </w:p>
    <w:p w14:paraId="00B0978B"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2.计算机系统故障、网络故障、通讯故障、电力故障、计算机病毒攻击及其它</w:t>
      </w:r>
      <w:proofErr w:type="gramStart"/>
      <w:r>
        <w:rPr>
          <w:rFonts w:ascii="宋体" w:eastAsia="宋体" w:hAnsi="宋体" w:cs="宋体" w:hint="eastAsia"/>
          <w:b/>
          <w:sz w:val="21"/>
          <w:szCs w:val="21"/>
        </w:rPr>
        <w:t>非资产</w:t>
      </w:r>
      <w:proofErr w:type="gramEnd"/>
      <w:r>
        <w:rPr>
          <w:rFonts w:ascii="宋体" w:eastAsia="宋体" w:hAnsi="宋体" w:cs="宋体" w:hint="eastAsia"/>
          <w:b/>
          <w:sz w:val="21"/>
          <w:szCs w:val="21"/>
        </w:rPr>
        <w:t>管理人、资产托管人故意或过失造成的意外事故；</w:t>
      </w:r>
    </w:p>
    <w:p w14:paraId="11B2533D"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3、资产管理人及/或资产托管人按照有效的法律法规或中国证监会的规定作为或不作为而造成的损失，管理人或托管人存在过错的情形除外；</w:t>
      </w:r>
    </w:p>
    <w:p w14:paraId="0130174B"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4、在没有故意或过失的情况下，资产管理人按照本合同规定的投资原则行使或不行使其投资权而造成的损失；</w:t>
      </w:r>
    </w:p>
    <w:p w14:paraId="2CFA45D7"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5、资产委托人未能事前向资产管理人履行信息披露义务（如告知关联证券或其他禁止交易证券等），致使发生违规投资行为的，资产委托人需就资产管理人与资产托管人由此遭受的损失承担赔偿责任；</w:t>
      </w:r>
    </w:p>
    <w:p w14:paraId="18562409"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6、因证券市场波动、上市公司合并、计划财产规模变动等资产管理人之外的因素致使计划财产投资不符合本合同项下约定的投资策略的，将</w:t>
      </w:r>
      <w:proofErr w:type="gramStart"/>
      <w:r>
        <w:rPr>
          <w:rFonts w:ascii="宋体" w:eastAsia="宋体" w:hAnsi="宋体" w:cs="宋体" w:hint="eastAsia"/>
          <w:b/>
          <w:sz w:val="21"/>
          <w:szCs w:val="21"/>
        </w:rPr>
        <w:t>不</w:t>
      </w:r>
      <w:proofErr w:type="gramEnd"/>
      <w:r>
        <w:rPr>
          <w:rFonts w:ascii="宋体" w:eastAsia="宋体" w:hAnsi="宋体" w:cs="宋体" w:hint="eastAsia"/>
          <w:b/>
          <w:sz w:val="21"/>
          <w:szCs w:val="21"/>
        </w:rPr>
        <w:t>视为资产管理人的违约行为；</w:t>
      </w:r>
    </w:p>
    <w:p w14:paraId="3BB12936"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7、资产管理人及资产托管人对因所引用的投资对象、证券经纪商及其他中介机构提供的信息的真实性、准确性和完整性存在瑕疵，管理人和托管人虽然已经采取必要、适当、合理、专业的措施进行检查，但是未能发现该错误的；</w:t>
      </w:r>
    </w:p>
    <w:p w14:paraId="1686E273" w14:textId="77777777" w:rsidR="00D4368C" w:rsidRDefault="001710E2">
      <w:pPr>
        <w:spacing w:line="360" w:lineRule="auto"/>
        <w:ind w:firstLine="480"/>
        <w:rPr>
          <w:rFonts w:ascii="宋体" w:eastAsia="宋体" w:hAnsi="宋体" w:cs="宋体"/>
          <w:b/>
          <w:sz w:val="21"/>
          <w:szCs w:val="21"/>
        </w:rPr>
      </w:pPr>
      <w:r>
        <w:rPr>
          <w:rFonts w:ascii="宋体" w:eastAsia="宋体" w:hAnsi="宋体" w:cs="宋体" w:hint="eastAsia"/>
          <w:b/>
          <w:sz w:val="21"/>
          <w:szCs w:val="21"/>
        </w:rPr>
        <w:t>8、资产委托人理解委托财产的投资、运作、托管面临本合同第二十四章中列举的各类风险，资产管理人就委托财产面临的上述固有风险免于承担责任，资产管理人存在过失或故意导致的除外。</w:t>
      </w:r>
    </w:p>
    <w:p w14:paraId="4FAA037C" w14:textId="77777777" w:rsidR="00D4368C" w:rsidRDefault="001710E2">
      <w:pPr>
        <w:spacing w:line="360" w:lineRule="auto"/>
        <w:ind w:firstLine="482"/>
        <w:rPr>
          <w:rFonts w:ascii="宋体" w:eastAsia="宋体" w:hAnsi="宋体" w:cs="宋体"/>
          <w:b/>
          <w:sz w:val="21"/>
          <w:szCs w:val="21"/>
        </w:rPr>
      </w:pPr>
      <w:r>
        <w:rPr>
          <w:rFonts w:ascii="宋体" w:eastAsia="宋体" w:hAnsi="宋体" w:cs="宋体" w:hint="eastAsia"/>
          <w:b/>
          <w:sz w:val="21"/>
          <w:szCs w:val="21"/>
        </w:rPr>
        <w:t>9、在没有故意或过失的情况下，资产托管人由于按照资产管理人符合本合同约定的有效指令执行而造成的损失等。</w:t>
      </w:r>
    </w:p>
    <w:p w14:paraId="48547E3E"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二）资产管理人、资产托管人在履行各自职责的过程中，违反法律法规的规定或者本合同约定，给委托财产或者资产委托人造成损害的，应当分别对各自的行为依法承担赔偿责任；因共同行为委托财产或者资产委托人造成损害的，应当分别承担相应赔偿责任。</w:t>
      </w:r>
    </w:p>
    <w:p w14:paraId="6C7BF453"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（三）在发生一方或多方违约的情况下，在最大限度地保护资产委托人利益的前提下，本合同能够继续履行的应当继续履行。非违约方当事人在职责范围内有义务及时采取必要的措施，防止损失的扩大。没</w:t>
      </w:r>
      <w:r>
        <w:rPr>
          <w:rFonts w:ascii="宋体" w:eastAsia="宋体" w:hAnsi="宋体" w:cs="宋体" w:hint="eastAsia"/>
          <w:sz w:val="21"/>
          <w:szCs w:val="21"/>
        </w:rPr>
        <w:lastRenderedPageBreak/>
        <w:t>有采取适当措施致使损失进一步扩大的，不得就扩大的损失要求赔偿。非违约方因防止损失扩大而支出的合理费用由违约方承担。</w:t>
      </w:r>
    </w:p>
    <w:p w14:paraId="6A591241"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（四）一方依据本合同向另一方赔偿的损失，仅限于直接经济损失。</w:t>
      </w:r>
    </w:p>
    <w:p w14:paraId="761E3C6C"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（五）管理人因违反本合同约定管理本集合计划资产或者因违背管理职责、处理资产管理计划事务不当致使本集合计划资产受到损失的，由管理人以固有财产赔偿损失。</w:t>
      </w:r>
    </w:p>
    <w:p w14:paraId="01010242"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sz w:val="21"/>
          <w:szCs w:val="21"/>
        </w:rPr>
        <w:t>（六）管理人应对提供给投资者的信息（包括但不限于投资标的信息、资产管理计划资产净值和份额净值、业绩报酬数据、资产管理计划年度报告、季度报告、净值报告、临时报告等报告中的相关信息）的真实性、准确性、完整性负责。若上述管理人提供给投资者的信息的真实性、准确性或完整性存在瑕疵，委托人有权追究资产管理人的违约责任，并行使本合同项下一项或多项救济措施，包括但不限于，资产管理人应当对因信息质量瑕疵给资产管理计划财产或者委托人造成的损失依法承担赔偿责任，并由委托人向资产管理人主张法律法规或有权机关支持的其他权利。但因第三方提供信息质量存在瑕疵等非管理</w:t>
      </w:r>
      <w:proofErr w:type="gramStart"/>
      <w:r>
        <w:rPr>
          <w:rFonts w:ascii="宋体" w:eastAsia="宋体" w:hAnsi="宋体" w:cs="宋体"/>
          <w:sz w:val="21"/>
          <w:szCs w:val="21"/>
        </w:rPr>
        <w:t>人原因</w:t>
      </w:r>
      <w:proofErr w:type="gramEnd"/>
      <w:r>
        <w:rPr>
          <w:rFonts w:ascii="宋体" w:eastAsia="宋体" w:hAnsi="宋体" w:cs="宋体"/>
          <w:sz w:val="21"/>
          <w:szCs w:val="21"/>
        </w:rPr>
        <w:t>导致管理人提供的信息不符合上述要求的，管理人免责。</w:t>
      </w:r>
    </w:p>
    <w:p w14:paraId="1EC05DBE" w14:textId="77777777" w:rsidR="00D4368C" w:rsidRDefault="00D4368C">
      <w:pPr>
        <w:pStyle w:val="NormalIndent"/>
        <w:spacing w:line="360" w:lineRule="auto"/>
        <w:rPr>
          <w:rFonts w:ascii="宋体" w:eastAsia="宋体" w:hAnsi="宋体" w:cs="宋体"/>
          <w:sz w:val="21"/>
          <w:szCs w:val="21"/>
        </w:rPr>
      </w:pPr>
    </w:p>
    <w:p w14:paraId="54D90B9A" w14:textId="77777777" w:rsidR="00D4368C" w:rsidRDefault="001710E2">
      <w:pPr>
        <w:pStyle w:val="Heading1"/>
        <w:spacing w:before="0" w:after="0" w:line="360" w:lineRule="auto"/>
        <w:jc w:val="center"/>
        <w:rPr>
          <w:rFonts w:ascii="宋体" w:eastAsia="宋体" w:hAnsi="宋体" w:cs="宋体"/>
          <w:sz w:val="21"/>
          <w:szCs w:val="21"/>
        </w:rPr>
      </w:pPr>
      <w:bookmarkStart w:id="72" w:name="_Toc70622206"/>
      <w:r>
        <w:rPr>
          <w:rFonts w:ascii="宋体" w:eastAsia="宋体" w:hAnsi="宋体" w:cs="宋体" w:hint="eastAsia"/>
          <w:sz w:val="21"/>
          <w:szCs w:val="21"/>
        </w:rPr>
        <w:t>二十七、通知与送达</w:t>
      </w:r>
      <w:bookmarkEnd w:id="72"/>
    </w:p>
    <w:p w14:paraId="259F068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除本合同另有约定外，任何与本合同有关的通知、报告均应以书面形式</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，由本合同一方以传真、邮递、电子邮件、网站公告等方式发出，有效送达至其他各相关方。</w:t>
      </w:r>
    </w:p>
    <w:p w14:paraId="60CA104E"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除资产管理合同另有约定外，通讯地址或联络方式发生变化的一方（简称“变动方”），应提前5个工作日以书面形式通知其他各方。如果变动方，未将有关变化及时通知其他各方，变动方应对由此而造成的影响和损失承担责任。</w:t>
      </w:r>
    </w:p>
    <w:p w14:paraId="42E06112" w14:textId="77777777" w:rsidR="00D4368C" w:rsidRDefault="00D4368C">
      <w:pPr>
        <w:pStyle w:val="NormalIndent"/>
        <w:spacing w:line="360" w:lineRule="auto"/>
        <w:rPr>
          <w:rFonts w:ascii="宋体" w:eastAsia="宋体" w:hAnsi="宋体" w:cs="宋体"/>
          <w:sz w:val="21"/>
          <w:szCs w:val="21"/>
        </w:rPr>
      </w:pPr>
    </w:p>
    <w:p w14:paraId="34F8B61F" w14:textId="77777777" w:rsidR="00D4368C" w:rsidRDefault="001710E2">
      <w:pPr>
        <w:pStyle w:val="Heading1"/>
        <w:spacing w:before="0" w:after="0" w:line="360" w:lineRule="auto"/>
        <w:jc w:val="center"/>
        <w:rPr>
          <w:rFonts w:ascii="宋体" w:eastAsia="宋体" w:hAnsi="宋体" w:cs="宋体"/>
          <w:sz w:val="21"/>
          <w:szCs w:val="21"/>
        </w:rPr>
      </w:pPr>
      <w:bookmarkStart w:id="73" w:name="_Toc70622207"/>
      <w:r>
        <w:rPr>
          <w:rFonts w:ascii="宋体" w:eastAsia="宋体" w:hAnsi="宋体" w:cs="宋体" w:hint="eastAsia"/>
          <w:sz w:val="21"/>
          <w:szCs w:val="21"/>
        </w:rPr>
        <w:t>二十八、保密要求</w:t>
      </w:r>
      <w:bookmarkEnd w:id="73"/>
    </w:p>
    <w:p w14:paraId="446FA12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本合同各方当事人应对签署和履行本合同过程中所接触和获取的其他方当事人的未公开信息严格保密。除本合同另有规定外，“保密信息”指信息提供方提供给信息接受方的有关信息提供方的一切非公开信息，无论该等信息是以任何载体提供给信息接受方，但该等信息在信息接受</w:t>
      </w:r>
      <w:proofErr w:type="gramStart"/>
      <w:r>
        <w:rPr>
          <w:rFonts w:ascii="宋体" w:eastAsia="宋体" w:hAnsi="宋体" w:cs="宋体" w:hint="eastAsia"/>
          <w:sz w:val="21"/>
          <w:szCs w:val="21"/>
        </w:rPr>
        <w:t>方收到</w:t>
      </w:r>
      <w:proofErr w:type="gramEnd"/>
      <w:r>
        <w:rPr>
          <w:rFonts w:ascii="宋体" w:eastAsia="宋体" w:hAnsi="宋体" w:cs="宋体" w:hint="eastAsia"/>
          <w:sz w:val="21"/>
          <w:szCs w:val="21"/>
        </w:rPr>
        <w:t>时已通过合法程序为公众共知的除外。</w:t>
      </w:r>
    </w:p>
    <w:p w14:paraId="0985F92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（一）信息接受方应对其获得的保密信息予以严格保密。</w:t>
      </w:r>
    </w:p>
    <w:p w14:paraId="73B36E62"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（二）信息接受方仅可为本合同规定的目的使用保密信息，不能将保密信息用于任何其他目的。</w:t>
      </w:r>
    </w:p>
    <w:p w14:paraId="459E880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（三）除非信息提供方事先书面同意，信息接受方不得披露、泄露、转让、许可或其他任何形式将保</w:t>
      </w:r>
      <w:r>
        <w:rPr>
          <w:rFonts w:ascii="宋体" w:eastAsia="宋体" w:hAnsi="宋体" w:cs="宋体" w:hint="eastAsia"/>
          <w:sz w:val="21"/>
          <w:szCs w:val="21"/>
        </w:rPr>
        <w:lastRenderedPageBreak/>
        <w:t>密信息提供给第三方。</w:t>
      </w:r>
    </w:p>
    <w:p w14:paraId="6DD674FF"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（四）保密信息部分公开时，信息接受方仍有义务对保密信息的未被公开部分履行保密义务。</w:t>
      </w:r>
    </w:p>
    <w:p w14:paraId="57535AC3"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若根据任何司法管辖权的法院或任何有权的司法机构、政府机构、监管机构的要求或规定，或根据任何法律法规要求，信息接受方需要披露保密信息，信息接受方应在获知该等要求后立即通知信息提供方（除非该通知为法律法规或有权机关所禁止），并应配合信息提供方及其关联公司采取适当和合理的措施以依法避免或限制对保密信息的披露。在此情形下，信息接受方应仅将依照法律要求披露的最低部分的信息予以提供，并要求信息接受方对收到的信息予以保密。</w:t>
      </w:r>
    </w:p>
    <w:p w14:paraId="33CDDC0F" w14:textId="77777777" w:rsidR="00D4368C" w:rsidRDefault="001710E2">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（六）本保密义务不因合同终止而终止。</w:t>
      </w:r>
    </w:p>
    <w:p w14:paraId="7B7FF088" w14:textId="77777777" w:rsidR="00D4368C" w:rsidRDefault="00D4368C">
      <w:pPr>
        <w:pStyle w:val="NormalIndent"/>
        <w:spacing w:line="360" w:lineRule="auto"/>
        <w:rPr>
          <w:rFonts w:ascii="宋体" w:eastAsia="宋体" w:hAnsi="宋体" w:cs="宋体"/>
          <w:sz w:val="21"/>
          <w:szCs w:val="21"/>
        </w:rPr>
      </w:pPr>
    </w:p>
    <w:p w14:paraId="763B7D60" w14:textId="77777777" w:rsidR="00D4368C" w:rsidRDefault="001710E2">
      <w:pPr>
        <w:pStyle w:val="Heading1"/>
        <w:spacing w:before="0" w:after="0" w:line="360" w:lineRule="auto"/>
        <w:jc w:val="center"/>
        <w:rPr>
          <w:rFonts w:ascii="宋体" w:eastAsia="宋体" w:hAnsi="宋体" w:cs="宋体"/>
          <w:sz w:val="21"/>
          <w:szCs w:val="21"/>
        </w:rPr>
      </w:pPr>
      <w:bookmarkStart w:id="74" w:name="_Toc401668952"/>
      <w:bookmarkStart w:id="75" w:name="_Toc70622208"/>
      <w:r>
        <w:rPr>
          <w:rFonts w:ascii="宋体" w:eastAsia="宋体" w:hAnsi="宋体" w:cs="宋体" w:hint="eastAsia"/>
          <w:sz w:val="21"/>
          <w:szCs w:val="21"/>
        </w:rPr>
        <w:t>二十九、法律适用和争议的处理</w:t>
      </w:r>
      <w:bookmarkEnd w:id="74"/>
      <w:bookmarkEnd w:id="75"/>
    </w:p>
    <w:p w14:paraId="6345C256"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对于因本合同的订立、内容、履行和解释或与本合同有关的争议，合同当事人应尽量通过协商或调解途径解决。不愿或者不能通过协商或调解解决的，合同签订任何一方均有权将争议提交上海国际经济贸易仲裁委员会，按提交仲裁申请时该会有效之仲裁规则进行仲裁，仲裁地点为上海。仲裁裁决是终局性的并对各方当事人具有约束力，仲裁费用由败诉方承担。争议处理期间，合同当事人应恪守各自的职责，继续忠实、勤勉、尽责地履行资产管理合同规定的义务，维护资产委托人的合法权益。</w:t>
      </w:r>
    </w:p>
    <w:p w14:paraId="063D3DD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（二）本合同适用中华人民共和国法律并依据其解释。</w:t>
      </w:r>
    </w:p>
    <w:p w14:paraId="7679A6A9" w14:textId="77777777" w:rsidR="00D4368C" w:rsidRDefault="00D4368C">
      <w:pPr>
        <w:pStyle w:val="NormalIndent"/>
        <w:spacing w:line="360" w:lineRule="auto"/>
        <w:ind w:firstLine="0"/>
        <w:rPr>
          <w:rFonts w:ascii="宋体" w:eastAsia="宋体" w:hAnsi="宋体" w:cs="宋体"/>
          <w:sz w:val="21"/>
          <w:szCs w:val="21"/>
        </w:rPr>
      </w:pPr>
    </w:p>
    <w:p w14:paraId="33FB8786" w14:textId="77777777" w:rsidR="00D4368C" w:rsidRDefault="00D4368C">
      <w:pPr>
        <w:pStyle w:val="NormalIndent"/>
        <w:spacing w:line="360" w:lineRule="auto"/>
        <w:ind w:firstLine="0"/>
        <w:rPr>
          <w:rFonts w:ascii="宋体" w:eastAsia="宋体" w:hAnsi="宋体" w:cs="宋体"/>
          <w:sz w:val="21"/>
          <w:szCs w:val="21"/>
        </w:rPr>
      </w:pPr>
    </w:p>
    <w:p w14:paraId="538AE955" w14:textId="77777777" w:rsidR="00D4368C" w:rsidRDefault="001710E2">
      <w:pPr>
        <w:pStyle w:val="Heading1"/>
        <w:spacing w:before="0" w:after="0" w:line="360" w:lineRule="auto"/>
        <w:jc w:val="center"/>
        <w:rPr>
          <w:rFonts w:ascii="宋体" w:eastAsia="宋体" w:hAnsi="宋体" w:cs="宋体"/>
          <w:sz w:val="21"/>
          <w:szCs w:val="21"/>
        </w:rPr>
      </w:pPr>
      <w:bookmarkStart w:id="76" w:name="_Toc401668949"/>
      <w:bookmarkStart w:id="77" w:name="_Toc277321602"/>
      <w:bookmarkStart w:id="78" w:name="_Toc70622209"/>
      <w:r>
        <w:rPr>
          <w:rFonts w:ascii="宋体" w:eastAsia="宋体" w:hAnsi="宋体" w:cs="宋体" w:hint="eastAsia"/>
          <w:sz w:val="21"/>
          <w:szCs w:val="21"/>
        </w:rPr>
        <w:t>三十、资产管理合同的</w:t>
      </w:r>
      <w:bookmarkEnd w:id="76"/>
      <w:bookmarkEnd w:id="77"/>
      <w:r>
        <w:rPr>
          <w:rFonts w:ascii="宋体" w:eastAsia="宋体" w:hAnsi="宋体" w:cs="宋体" w:hint="eastAsia"/>
          <w:sz w:val="21"/>
          <w:szCs w:val="21"/>
        </w:rPr>
        <w:t>效力</w:t>
      </w:r>
      <w:bookmarkEnd w:id="78"/>
    </w:p>
    <w:p w14:paraId="132650E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（一）资产管理合同是约定资产管理合同当事人之间权利义务关系的法律文件。资产委托人为法人的，本合同</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委托人、资产管理人、资产托管人加盖公章或合同专用章以及各方法定代表人/负责人或授权代表签字或盖章之日起成立；资产委托人为自然人的，本合同</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委托人本人签字、资产管理人和资产托管人加盖公章或合同专用章并由双方法定代表人或授权代表签字或盖章之日起成立。</w:t>
      </w:r>
    </w:p>
    <w:p w14:paraId="3FFB4EEB" w14:textId="77777777" w:rsidR="00D4368C" w:rsidRDefault="001710E2">
      <w:pPr>
        <w:spacing w:line="360" w:lineRule="auto"/>
        <w:ind w:firstLine="480"/>
        <w:rPr>
          <w:rFonts w:ascii="宋体" w:eastAsia="宋体" w:hAnsi="宋体" w:cs="宋体"/>
          <w:b/>
          <w:bCs/>
          <w:sz w:val="21"/>
          <w:szCs w:val="21"/>
        </w:rPr>
      </w:pPr>
      <w:r>
        <w:rPr>
          <w:rFonts w:ascii="宋体" w:eastAsia="宋体" w:hAnsi="宋体" w:cs="宋体" w:hint="eastAsia"/>
          <w:b/>
          <w:bCs/>
          <w:sz w:val="21"/>
          <w:szCs w:val="21"/>
        </w:rPr>
        <w:t>委托人通过销售机构以电子形式签署本合同的，与委托人签署纸质</w:t>
      </w:r>
      <w:proofErr w:type="gramStart"/>
      <w:r>
        <w:rPr>
          <w:rFonts w:ascii="宋体" w:eastAsia="宋体" w:hAnsi="宋体" w:cs="宋体" w:hint="eastAsia"/>
          <w:b/>
          <w:bCs/>
          <w:sz w:val="21"/>
          <w:szCs w:val="21"/>
        </w:rPr>
        <w:t>版资产</w:t>
      </w:r>
      <w:proofErr w:type="gramEnd"/>
      <w:r>
        <w:rPr>
          <w:rFonts w:ascii="宋体" w:eastAsia="宋体" w:hAnsi="宋体" w:cs="宋体" w:hint="eastAsia"/>
          <w:b/>
          <w:bCs/>
          <w:sz w:val="21"/>
          <w:szCs w:val="21"/>
        </w:rPr>
        <w:t>管理合同具备同等法律效力，投资者均受本合同约束。</w:t>
      </w:r>
      <w:r>
        <w:rPr>
          <w:rFonts w:ascii="宋体" w:eastAsia="宋体" w:hAnsi="宋体" w:cs="宋体" w:hint="eastAsia"/>
          <w:b/>
          <w:bCs/>
          <w:color w:val="000000"/>
          <w:sz w:val="21"/>
          <w:szCs w:val="21"/>
        </w:rPr>
        <w:t>投资者应当在签署电子签名合同前认真阅读本合同、计划说明书及风险揭示书；投资者应当妥善保管与身份认证有关的设备、资料以及登录密码、交易密码等相关信息。通过销售机构认可的有效身份验证措施登录相关网络系统后的所有操作均视同投资者本人行为，投资者应当承担由此产生的一切民事责任和法律后果</w:t>
      </w:r>
      <w:r>
        <w:rPr>
          <w:rFonts w:ascii="宋体" w:eastAsia="宋体" w:hAnsi="宋体" w:cs="宋体" w:hint="eastAsia"/>
          <w:color w:val="000000"/>
          <w:sz w:val="21"/>
          <w:szCs w:val="21"/>
        </w:rPr>
        <w:t>。</w:t>
      </w:r>
    </w:p>
    <w:p w14:paraId="270F576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管理计划的募集金额缴足之日起十个工作日内，资产管理人应当委托具有证券相关业务资格的会计师事务所进行验资并出具验资报告。</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管理计划在取得验资报告后，由资产管理人公告资产管理计划成立。资产管理人应当在资产管理计划成立之日起五个工作日内，将资产管理合同、投资者名单与认购金额、验资报告或者资产缴付证明等材料</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w:t>
      </w:r>
    </w:p>
    <w:p w14:paraId="1298CF94"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（三）本合同自成立之日起生效。</w:t>
      </w:r>
    </w:p>
    <w:p w14:paraId="0B602D59"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（四）本合同自生效之日起对资产委托人、资产管理人、资产托管人具有同等的法律约束力。</w:t>
      </w:r>
    </w:p>
    <w:p w14:paraId="03B854E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（五）本计划的存续期为60个月。本合同另有约定的，从其约定。 </w:t>
      </w:r>
    </w:p>
    <w:p w14:paraId="519CC8ED"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（六）资产委托人自签订资产管理合同即成为资产管理合同的当事人。在本计划存续期间，资产委托人</w:t>
      </w:r>
      <w:proofErr w:type="gramStart"/>
      <w:r>
        <w:rPr>
          <w:rFonts w:ascii="宋体" w:eastAsia="宋体" w:hAnsi="宋体" w:cs="宋体" w:hint="eastAsia"/>
          <w:sz w:val="21"/>
          <w:szCs w:val="21"/>
        </w:rPr>
        <w:t>自全部</w:t>
      </w:r>
      <w:proofErr w:type="gramEnd"/>
      <w:r>
        <w:rPr>
          <w:rFonts w:ascii="宋体" w:eastAsia="宋体" w:hAnsi="宋体" w:cs="宋体" w:hint="eastAsia"/>
          <w:sz w:val="21"/>
          <w:szCs w:val="21"/>
        </w:rPr>
        <w:t>退出资产管理计划之日起，该资产委托人不再是资产管理计划的投资人和资产管理合同的当事人。</w:t>
      </w:r>
    </w:p>
    <w:p w14:paraId="06D504BE" w14:textId="77777777" w:rsidR="00D4368C" w:rsidRDefault="00D4368C">
      <w:pPr>
        <w:spacing w:line="360" w:lineRule="auto"/>
        <w:ind w:firstLine="480"/>
        <w:rPr>
          <w:rFonts w:ascii="宋体" w:eastAsia="宋体" w:hAnsi="宋体" w:cs="宋体"/>
          <w:sz w:val="21"/>
          <w:szCs w:val="21"/>
        </w:rPr>
      </w:pPr>
    </w:p>
    <w:p w14:paraId="35239BEE" w14:textId="77777777" w:rsidR="00D4368C" w:rsidRDefault="001710E2">
      <w:pPr>
        <w:pStyle w:val="Heading1"/>
        <w:spacing w:before="0" w:after="0" w:line="360" w:lineRule="auto"/>
        <w:jc w:val="center"/>
        <w:rPr>
          <w:rFonts w:ascii="宋体" w:eastAsia="宋体" w:hAnsi="宋体" w:cs="宋体"/>
          <w:sz w:val="21"/>
          <w:szCs w:val="21"/>
        </w:rPr>
      </w:pPr>
      <w:bookmarkStart w:id="79" w:name="_Toc194741922"/>
      <w:bookmarkStart w:id="80" w:name="_Toc401668953"/>
      <w:bookmarkStart w:id="81" w:name="_Toc70622210"/>
      <w:r>
        <w:rPr>
          <w:rFonts w:ascii="宋体" w:eastAsia="宋体" w:hAnsi="宋体" w:cs="宋体" w:hint="eastAsia"/>
          <w:sz w:val="21"/>
          <w:szCs w:val="21"/>
        </w:rPr>
        <w:t>三十一、</w:t>
      </w:r>
      <w:bookmarkEnd w:id="79"/>
      <w:bookmarkEnd w:id="80"/>
      <w:r>
        <w:rPr>
          <w:rFonts w:ascii="宋体" w:eastAsia="宋体" w:hAnsi="宋体" w:cs="宋体" w:hint="eastAsia"/>
          <w:sz w:val="21"/>
          <w:szCs w:val="21"/>
        </w:rPr>
        <w:t>其他事项</w:t>
      </w:r>
      <w:bookmarkEnd w:id="81"/>
    </w:p>
    <w:p w14:paraId="3221C810"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一）如将来法律法规、中国证监会、基金业协会或其他有权机构对资产管理合同的内容与格式有其他要求的，资产委托人、资产管理人和资产托管人应立即展开协商，根据法律法规、中国证监会、基金业协会或其他有权机构的相关要求修改本合同的内容和格式。</w:t>
      </w:r>
    </w:p>
    <w:p w14:paraId="5504D60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（二）本合同如有未尽事宜，由合同当事人各方按有关法律法规和规定协商解决。</w:t>
      </w:r>
    </w:p>
    <w:p w14:paraId="359441BB"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三）如司法或行政机关等有权机关对本协议项下托管专户采取任何查封、冻结、扣押、扣划等措施，资产托管人有权根据该有权机关的要求执行，而无需对资产委托人及资产管理人承担任何责任，资产托管人知悉后，在不违反有权机关要求下应通知资产管理人、资产委托人。</w:t>
      </w:r>
    </w:p>
    <w:p w14:paraId="13AA85B1"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（四）各方承诺，未经其他方书面同意，不得使用对方名称、商标、标识等知识产权及与对方本协议项下的合作关系进行任何对外宣传。</w:t>
      </w:r>
    </w:p>
    <w:p w14:paraId="0FD79A37" w14:textId="77777777" w:rsidR="00D4368C" w:rsidRDefault="001710E2">
      <w:pPr>
        <w:spacing w:line="360" w:lineRule="auto"/>
        <w:ind w:firstLine="480"/>
        <w:rPr>
          <w:rFonts w:ascii="宋体" w:eastAsia="宋体" w:hAnsi="宋体" w:cs="宋体"/>
          <w:sz w:val="21"/>
          <w:szCs w:val="21"/>
        </w:rPr>
      </w:pPr>
      <w:r>
        <w:rPr>
          <w:rFonts w:ascii="宋体" w:eastAsia="宋体" w:hAnsi="宋体" w:cs="宋体" w:hint="eastAsia"/>
          <w:sz w:val="21"/>
          <w:szCs w:val="21"/>
        </w:rPr>
        <w:t>（五）本合同一式叁份，资产委托人、资产管理人、资产托管人各执壹份，每份具有同等法律效力。</w:t>
      </w:r>
    </w:p>
    <w:p w14:paraId="5D43EB52" w14:textId="77777777" w:rsidR="00D4368C" w:rsidRDefault="001710E2">
      <w:pPr>
        <w:spacing w:line="360" w:lineRule="auto"/>
        <w:jc w:val="center"/>
        <w:rPr>
          <w:rFonts w:ascii="宋体" w:eastAsia="宋体" w:hAnsi="宋体" w:cs="宋体"/>
          <w:sz w:val="21"/>
          <w:szCs w:val="21"/>
        </w:rPr>
      </w:pPr>
      <w:r>
        <w:rPr>
          <w:rFonts w:ascii="宋体" w:eastAsia="宋体" w:hAnsi="宋体" w:cs="宋体" w:hint="eastAsia"/>
          <w:sz w:val="21"/>
          <w:szCs w:val="21"/>
        </w:rPr>
        <w:t>（以下无正文）</w:t>
      </w:r>
    </w:p>
    <w:p w14:paraId="11A7A39A" w14:textId="77777777" w:rsidR="00D4368C" w:rsidRDefault="001710E2">
      <w:pPr>
        <w:spacing w:line="300" w:lineRule="auto"/>
        <w:jc w:val="left"/>
        <w:rPr>
          <w:rFonts w:ascii="宋体" w:eastAsia="宋体" w:hAnsi="宋体" w:cs="宋体"/>
          <w:b/>
          <w:i/>
          <w:sz w:val="21"/>
          <w:szCs w:val="21"/>
        </w:rPr>
      </w:pPr>
      <w:r>
        <w:rPr>
          <w:rFonts w:ascii="华文宋体" w:hAnsi="华文宋体"/>
          <w:szCs w:val="21"/>
        </w:rPr>
        <w:br w:type="page"/>
      </w:r>
      <w:r>
        <w:rPr>
          <w:rFonts w:ascii="宋体" w:eastAsia="宋体" w:hAnsi="宋体" w:cs="宋体" w:hint="eastAsia"/>
          <w:b/>
          <w:i/>
        </w:rPr>
        <w:lastRenderedPageBreak/>
        <w:t>委托人填写（务必确保填写的资料正确有效，如因填写错误导致的任何损失由委托人承担）：</w:t>
      </w:r>
    </w:p>
    <w:p w14:paraId="673BF341" w14:textId="77777777" w:rsidR="00D4368C" w:rsidRDefault="001710E2">
      <w:pPr>
        <w:adjustRightInd w:val="0"/>
        <w:snapToGrid w:val="0"/>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（一）资产委托人</w:t>
      </w:r>
    </w:p>
    <w:p w14:paraId="01EFFA2E"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1、自然人</w:t>
      </w:r>
    </w:p>
    <w:p w14:paraId="6E5D69F6"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 xml:space="preserve">姓名：                      </w:t>
      </w:r>
    </w:p>
    <w:p w14:paraId="10B6E581"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证件名称：身份证□、其他</w:t>
      </w:r>
      <w:r>
        <w:rPr>
          <w:rFonts w:ascii="宋体" w:eastAsia="宋体" w:hAnsi="宋体" w:cs="宋体" w:hint="eastAsia"/>
          <w:sz w:val="21"/>
          <w:szCs w:val="21"/>
        </w:rPr>
        <w:sym w:font="Wingdings 2" w:char="00A3"/>
      </w:r>
      <w:r>
        <w:rPr>
          <w:rFonts w:ascii="宋体" w:eastAsia="宋体" w:hAnsi="宋体" w:cs="宋体" w:hint="eastAsia"/>
          <w:sz w:val="21"/>
          <w:szCs w:val="21"/>
        </w:rPr>
        <w:t>___________________</w:t>
      </w:r>
    </w:p>
    <w:p w14:paraId="538F35E4"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证件号码：□□□□□□□□□□□□□□□□□□</w:t>
      </w:r>
    </w:p>
    <w:p w14:paraId="3813563A"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住所：</w:t>
      </w:r>
    </w:p>
    <w:p w14:paraId="58DFC636"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通讯地址：</w:t>
      </w:r>
    </w:p>
    <w:p w14:paraId="1BC3E8FA"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电子邮箱：</w:t>
      </w:r>
    </w:p>
    <w:p w14:paraId="45CD6CC0"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联系电话：</w:t>
      </w:r>
    </w:p>
    <w:p w14:paraId="74D1E8D9"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传真：</w:t>
      </w:r>
    </w:p>
    <w:p w14:paraId="33DECAA3"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2、法人或其他组织</w:t>
      </w:r>
    </w:p>
    <w:p w14:paraId="0510A829"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名称：</w:t>
      </w:r>
    </w:p>
    <w:p w14:paraId="6B0FD14F"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统一社会信用代码：</w:t>
      </w:r>
    </w:p>
    <w:p w14:paraId="58DDA82D"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法定代表人或授权代表：</w:t>
      </w:r>
    </w:p>
    <w:p w14:paraId="4A89B684"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住所：</w:t>
      </w:r>
    </w:p>
    <w:p w14:paraId="202BBC93"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通讯地址：</w:t>
      </w:r>
    </w:p>
    <w:p w14:paraId="48EE05FB"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联系人：</w:t>
      </w:r>
    </w:p>
    <w:p w14:paraId="6E6838F6"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邮政编码：</w:t>
      </w:r>
    </w:p>
    <w:p w14:paraId="2F5E19D9"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联系电话：</w:t>
      </w:r>
    </w:p>
    <w:p w14:paraId="481263A3"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传真：</w:t>
      </w:r>
    </w:p>
    <w:p w14:paraId="04853AD6"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电子邮箱：</w:t>
      </w:r>
    </w:p>
    <w:p w14:paraId="062ED653" w14:textId="77777777" w:rsidR="00D4368C" w:rsidRDefault="001710E2">
      <w:pPr>
        <w:adjustRightInd w:val="0"/>
        <w:snapToGrid w:val="0"/>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（二）资产委托人认购金额</w:t>
      </w:r>
    </w:p>
    <w:p w14:paraId="4DE0D291" w14:textId="77777777" w:rsidR="00D4368C" w:rsidRDefault="001710E2">
      <w:pPr>
        <w:adjustRightInd w:val="0"/>
        <w:snapToGrid w:val="0"/>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人民币                        元整（￥               ）</w:t>
      </w:r>
    </w:p>
    <w:p w14:paraId="44FAE928"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（三）资产委托人账户</w:t>
      </w:r>
    </w:p>
    <w:p w14:paraId="68CF6D42"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资产委托人认购、参与计划的划出账户与退出计划的划入账户，必须为以资产委托人名义开立的同一个账户。特殊情况导致认购、参与和退出计划的账户名称不一致时，资产委托人应出具符合相关法律法规规定的书面说明并提供相关证明。账户信息如下：</w:t>
      </w:r>
    </w:p>
    <w:p w14:paraId="789F72FC" w14:textId="77777777" w:rsidR="00D4368C" w:rsidRDefault="001710E2">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 xml:space="preserve">账户名称： </w:t>
      </w:r>
    </w:p>
    <w:p w14:paraId="180B30F9" w14:textId="77777777" w:rsidR="00D4368C" w:rsidRDefault="001710E2">
      <w:pPr>
        <w:adjustRightInd w:val="0"/>
        <w:snapToGrid w:val="0"/>
        <w:spacing w:line="360" w:lineRule="auto"/>
        <w:ind w:firstLine="420"/>
        <w:jc w:val="left"/>
        <w:rPr>
          <w:rFonts w:ascii="宋体" w:eastAsia="宋体" w:hAnsi="宋体" w:cs="宋体"/>
          <w:sz w:val="21"/>
          <w:szCs w:val="21"/>
        </w:rPr>
      </w:pPr>
      <w:r>
        <w:rPr>
          <w:rFonts w:ascii="宋体" w:eastAsia="宋体" w:hAnsi="宋体" w:cs="宋体" w:hint="eastAsia"/>
          <w:sz w:val="21"/>
          <w:szCs w:val="21"/>
        </w:rPr>
        <w:t>账号：</w:t>
      </w:r>
    </w:p>
    <w:p w14:paraId="00628B04" w14:textId="77777777" w:rsidR="00D4368C" w:rsidRDefault="001710E2">
      <w:pPr>
        <w:adjustRightInd w:val="0"/>
        <w:snapToGrid w:val="0"/>
        <w:spacing w:line="360" w:lineRule="auto"/>
        <w:ind w:firstLine="420"/>
        <w:jc w:val="left"/>
        <w:rPr>
          <w:rFonts w:ascii="宋体" w:eastAsia="宋体" w:hAnsi="宋体" w:cs="宋体"/>
          <w:sz w:val="21"/>
          <w:szCs w:val="21"/>
        </w:rPr>
      </w:pPr>
      <w:r>
        <w:rPr>
          <w:rFonts w:ascii="宋体" w:eastAsia="宋体" w:hAnsi="宋体" w:cs="宋体" w:hint="eastAsia"/>
          <w:sz w:val="21"/>
          <w:szCs w:val="21"/>
        </w:rPr>
        <w:t>开户银行名称：</w:t>
      </w:r>
    </w:p>
    <w:p w14:paraId="5F7BC1A9" w14:textId="77777777" w:rsidR="00D4368C" w:rsidRDefault="00D4368C">
      <w:pPr>
        <w:pStyle w:val="NormalIndent"/>
        <w:rPr>
          <w:rFonts w:ascii="宋体" w:eastAsia="宋体" w:hAnsi="宋体" w:cs="宋体"/>
          <w:szCs w:val="21"/>
        </w:rPr>
      </w:pPr>
    </w:p>
    <w:p w14:paraId="29C16CDB" w14:textId="77777777" w:rsidR="00D4368C" w:rsidRDefault="00D4368C">
      <w:pPr>
        <w:pStyle w:val="NormalIndent"/>
        <w:rPr>
          <w:rFonts w:ascii="宋体" w:eastAsia="宋体" w:hAnsi="宋体" w:cs="宋体"/>
          <w:szCs w:val="21"/>
        </w:rPr>
      </w:pPr>
    </w:p>
    <w:p w14:paraId="7C79C41A" w14:textId="77777777" w:rsidR="00D4368C" w:rsidRDefault="00D4368C">
      <w:pPr>
        <w:pStyle w:val="NormalIndent"/>
        <w:rPr>
          <w:rFonts w:ascii="宋体" w:eastAsia="宋体" w:hAnsi="宋体" w:cs="宋体"/>
          <w:szCs w:val="21"/>
        </w:rPr>
      </w:pPr>
    </w:p>
    <w:p w14:paraId="666522A3" w14:textId="77777777" w:rsidR="00D4368C" w:rsidRDefault="001710E2">
      <w:pPr>
        <w:spacing w:line="300" w:lineRule="auto"/>
        <w:rPr>
          <w:rFonts w:ascii="宋体" w:eastAsia="宋体" w:hAnsi="宋体" w:cs="宋体"/>
          <w:szCs w:val="21"/>
        </w:rPr>
      </w:pPr>
      <w:r>
        <w:rPr>
          <w:rFonts w:ascii="宋体" w:eastAsia="宋体" w:hAnsi="宋体" w:cs="宋体" w:hint="eastAsia"/>
          <w:szCs w:val="21"/>
        </w:rPr>
        <w:t>（本页无正文，为合同编号为【GDQH-2021JH019】的《光大期货-光大理财阳光精选2号集合资产管理计划资产管理合同》签署页。）</w:t>
      </w:r>
    </w:p>
    <w:p w14:paraId="50EEB788" w14:textId="77777777" w:rsidR="00D4368C" w:rsidRDefault="00D4368C">
      <w:pPr>
        <w:spacing w:line="300" w:lineRule="auto"/>
        <w:rPr>
          <w:rFonts w:ascii="宋体" w:eastAsia="宋体" w:hAnsi="宋体" w:cs="宋体"/>
          <w:b/>
          <w:szCs w:val="21"/>
        </w:rPr>
      </w:pPr>
    </w:p>
    <w:p w14:paraId="7103C0F5"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资产委托人：</w:t>
      </w:r>
    </w:p>
    <w:p w14:paraId="380E6E11" w14:textId="77777777" w:rsidR="00D4368C" w:rsidRDefault="00D4368C">
      <w:pPr>
        <w:spacing w:line="300" w:lineRule="auto"/>
        <w:rPr>
          <w:rFonts w:ascii="宋体" w:eastAsia="宋体" w:hAnsi="宋体" w:cs="宋体"/>
          <w:b/>
          <w:szCs w:val="21"/>
        </w:rPr>
      </w:pPr>
    </w:p>
    <w:p w14:paraId="1CA14DC8"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自然人（签字）：                或  法人或其他组织（盖章）：</w:t>
      </w:r>
    </w:p>
    <w:p w14:paraId="7331AFB2" w14:textId="77777777" w:rsidR="00D4368C" w:rsidRDefault="00D4368C">
      <w:pPr>
        <w:spacing w:line="300" w:lineRule="auto"/>
        <w:rPr>
          <w:rFonts w:ascii="宋体" w:eastAsia="宋体" w:hAnsi="宋体" w:cs="宋体"/>
          <w:b/>
          <w:szCs w:val="21"/>
        </w:rPr>
      </w:pPr>
    </w:p>
    <w:p w14:paraId="542E28CA"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 xml:space="preserve">                                   法定代表人或授权代表（签字或盖章）： </w:t>
      </w:r>
    </w:p>
    <w:p w14:paraId="09DFA13B" w14:textId="77777777" w:rsidR="00D4368C" w:rsidRDefault="001710E2">
      <w:pPr>
        <w:spacing w:line="300" w:lineRule="auto"/>
        <w:jc w:val="left"/>
        <w:rPr>
          <w:rFonts w:ascii="宋体" w:eastAsia="宋体" w:hAnsi="宋体" w:cs="宋体"/>
          <w:b/>
          <w:szCs w:val="21"/>
        </w:rPr>
      </w:pPr>
      <w:r>
        <w:rPr>
          <w:rFonts w:ascii="宋体" w:eastAsia="宋体" w:hAnsi="宋体" w:cs="宋体" w:hint="eastAsia"/>
          <w:b/>
          <w:szCs w:val="21"/>
        </w:rPr>
        <w:t xml:space="preserve">签署日期：    年    月    日 </w:t>
      </w:r>
    </w:p>
    <w:p w14:paraId="633911B9" w14:textId="77777777" w:rsidR="00D4368C" w:rsidRDefault="00D4368C">
      <w:pPr>
        <w:spacing w:line="300" w:lineRule="auto"/>
        <w:ind w:right="210"/>
        <w:jc w:val="left"/>
        <w:rPr>
          <w:rFonts w:ascii="宋体" w:eastAsia="宋体" w:hAnsi="宋体" w:cs="宋体"/>
          <w:szCs w:val="21"/>
        </w:rPr>
      </w:pPr>
    </w:p>
    <w:p w14:paraId="1F69D661" w14:textId="77777777" w:rsidR="00D4368C" w:rsidRDefault="00D4368C">
      <w:pPr>
        <w:pStyle w:val="NormalIndent"/>
      </w:pPr>
    </w:p>
    <w:p w14:paraId="3A51F77E" w14:textId="77777777" w:rsidR="00D4368C" w:rsidRDefault="00D4368C">
      <w:pPr>
        <w:pStyle w:val="NormalIndent"/>
        <w:rPr>
          <w:rFonts w:ascii="宋体" w:eastAsia="宋体" w:hAnsi="宋体" w:cs="宋体"/>
          <w:szCs w:val="21"/>
        </w:rPr>
      </w:pPr>
    </w:p>
    <w:p w14:paraId="759075B6" w14:textId="77777777" w:rsidR="00D4368C" w:rsidRDefault="00D4368C">
      <w:pPr>
        <w:pStyle w:val="NormalIndent"/>
        <w:rPr>
          <w:rFonts w:ascii="宋体" w:eastAsia="宋体" w:hAnsi="宋体" w:cs="宋体"/>
          <w:szCs w:val="21"/>
        </w:rPr>
      </w:pPr>
    </w:p>
    <w:p w14:paraId="4200B842"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资产管理人：【光大期货有限公司】（盖章）：</w:t>
      </w:r>
    </w:p>
    <w:p w14:paraId="30A9A09B" w14:textId="77777777" w:rsidR="00D4368C" w:rsidRDefault="00D4368C">
      <w:pPr>
        <w:spacing w:line="300" w:lineRule="auto"/>
        <w:rPr>
          <w:rFonts w:ascii="宋体" w:eastAsia="宋体" w:hAnsi="宋体" w:cs="宋体"/>
          <w:b/>
          <w:szCs w:val="21"/>
        </w:rPr>
      </w:pPr>
    </w:p>
    <w:p w14:paraId="768331F9" w14:textId="77777777" w:rsidR="00D4368C" w:rsidRDefault="00D4368C">
      <w:pPr>
        <w:pStyle w:val="NormalIndent"/>
      </w:pPr>
    </w:p>
    <w:p w14:paraId="22210B3B"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法定代表人或授权代表：</w:t>
      </w:r>
    </w:p>
    <w:p w14:paraId="68B88DF4" w14:textId="77777777" w:rsidR="00D4368C" w:rsidRDefault="00D4368C">
      <w:pPr>
        <w:spacing w:line="300" w:lineRule="auto"/>
        <w:rPr>
          <w:rFonts w:ascii="宋体" w:eastAsia="宋体" w:hAnsi="宋体" w:cs="宋体"/>
          <w:b/>
          <w:szCs w:val="21"/>
        </w:rPr>
      </w:pPr>
    </w:p>
    <w:p w14:paraId="0B2ABA56" w14:textId="77777777" w:rsidR="00D4368C" w:rsidRDefault="00D4368C">
      <w:pPr>
        <w:pStyle w:val="NormalIndent"/>
      </w:pPr>
    </w:p>
    <w:p w14:paraId="013B2FEA" w14:textId="77777777" w:rsidR="00D4368C" w:rsidRDefault="001710E2">
      <w:pPr>
        <w:spacing w:line="300" w:lineRule="auto"/>
        <w:ind w:right="480"/>
        <w:jc w:val="left"/>
        <w:rPr>
          <w:rFonts w:ascii="宋体" w:eastAsia="宋体" w:hAnsi="宋体" w:cs="宋体"/>
          <w:b/>
          <w:szCs w:val="21"/>
        </w:rPr>
      </w:pPr>
      <w:r>
        <w:rPr>
          <w:rFonts w:ascii="宋体" w:eastAsia="宋体" w:hAnsi="宋体" w:cs="宋体" w:hint="eastAsia"/>
          <w:b/>
          <w:szCs w:val="21"/>
        </w:rPr>
        <w:t xml:space="preserve">签署日期：    年    月    日 </w:t>
      </w:r>
    </w:p>
    <w:p w14:paraId="56A9E019" w14:textId="77777777" w:rsidR="00D4368C" w:rsidRDefault="00D4368C">
      <w:pPr>
        <w:spacing w:line="300" w:lineRule="auto"/>
        <w:rPr>
          <w:rFonts w:ascii="宋体" w:eastAsia="宋体" w:hAnsi="宋体" w:cs="宋体"/>
          <w:b/>
          <w:szCs w:val="21"/>
        </w:rPr>
      </w:pPr>
    </w:p>
    <w:p w14:paraId="4E0712D9" w14:textId="77777777" w:rsidR="00D4368C" w:rsidRDefault="00D4368C">
      <w:pPr>
        <w:pStyle w:val="NormalIndent"/>
      </w:pPr>
    </w:p>
    <w:p w14:paraId="006AE621" w14:textId="77777777" w:rsidR="00D4368C" w:rsidRDefault="00D4368C">
      <w:pPr>
        <w:spacing w:line="300" w:lineRule="auto"/>
        <w:rPr>
          <w:rFonts w:ascii="宋体" w:eastAsia="宋体" w:hAnsi="宋体" w:cs="宋体"/>
          <w:b/>
          <w:szCs w:val="21"/>
        </w:rPr>
      </w:pPr>
    </w:p>
    <w:p w14:paraId="200B248E" w14:textId="77777777" w:rsidR="00D4368C" w:rsidRDefault="00D4368C">
      <w:pPr>
        <w:spacing w:line="300" w:lineRule="auto"/>
        <w:rPr>
          <w:rFonts w:ascii="宋体" w:eastAsia="宋体" w:hAnsi="宋体" w:cs="宋体"/>
          <w:b/>
          <w:szCs w:val="21"/>
        </w:rPr>
      </w:pPr>
    </w:p>
    <w:p w14:paraId="668627A3"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资产托管人：【中国光大银行股份有限公司上海分行】（盖章）：</w:t>
      </w:r>
    </w:p>
    <w:p w14:paraId="43AB8B91" w14:textId="77777777" w:rsidR="00D4368C" w:rsidRDefault="00D4368C">
      <w:pPr>
        <w:spacing w:line="300" w:lineRule="auto"/>
        <w:rPr>
          <w:rFonts w:ascii="宋体" w:eastAsia="宋体" w:hAnsi="宋体" w:cs="宋体"/>
          <w:b/>
          <w:szCs w:val="21"/>
        </w:rPr>
      </w:pPr>
    </w:p>
    <w:p w14:paraId="271618B0" w14:textId="77777777" w:rsidR="00D4368C" w:rsidRDefault="00D4368C">
      <w:pPr>
        <w:pStyle w:val="NormalIndent"/>
      </w:pPr>
    </w:p>
    <w:p w14:paraId="15BDD7B4" w14:textId="77777777" w:rsidR="00D4368C" w:rsidRDefault="001710E2">
      <w:pPr>
        <w:spacing w:line="300" w:lineRule="auto"/>
        <w:rPr>
          <w:rFonts w:ascii="宋体" w:eastAsia="宋体" w:hAnsi="宋体" w:cs="宋体"/>
          <w:b/>
          <w:szCs w:val="21"/>
        </w:rPr>
      </w:pPr>
      <w:r>
        <w:rPr>
          <w:rFonts w:ascii="宋体" w:eastAsia="宋体" w:hAnsi="宋体" w:cs="宋体" w:hint="eastAsia"/>
          <w:b/>
          <w:szCs w:val="21"/>
        </w:rPr>
        <w:t>负责人或授权代表：</w:t>
      </w:r>
    </w:p>
    <w:p w14:paraId="2F08DDF9" w14:textId="77777777" w:rsidR="00D4368C" w:rsidRDefault="00D4368C">
      <w:pPr>
        <w:spacing w:line="300" w:lineRule="auto"/>
        <w:ind w:right="480"/>
        <w:jc w:val="right"/>
        <w:rPr>
          <w:rFonts w:ascii="宋体" w:eastAsia="宋体" w:hAnsi="宋体" w:cs="宋体"/>
          <w:b/>
          <w:szCs w:val="21"/>
        </w:rPr>
      </w:pPr>
    </w:p>
    <w:p w14:paraId="02385B2C" w14:textId="77777777" w:rsidR="00D4368C" w:rsidRDefault="00D4368C">
      <w:pPr>
        <w:pStyle w:val="NormalIndent"/>
      </w:pPr>
    </w:p>
    <w:p w14:paraId="470E65ED" w14:textId="77777777" w:rsidR="00D4368C" w:rsidRDefault="001710E2">
      <w:pPr>
        <w:spacing w:line="300" w:lineRule="auto"/>
        <w:ind w:right="480"/>
        <w:rPr>
          <w:rFonts w:ascii="宋体" w:eastAsia="宋体" w:hAnsi="宋体" w:cs="宋体"/>
          <w:b/>
          <w:szCs w:val="21"/>
        </w:rPr>
      </w:pPr>
      <w:r>
        <w:rPr>
          <w:rFonts w:ascii="宋体" w:eastAsia="宋体" w:hAnsi="宋体" w:cs="宋体" w:hint="eastAsia"/>
          <w:b/>
          <w:szCs w:val="21"/>
        </w:rPr>
        <w:t xml:space="preserve">签署日期：    年    月    日 </w:t>
      </w:r>
    </w:p>
    <w:p w14:paraId="0E68FEC2" w14:textId="77777777" w:rsidR="00D4368C" w:rsidRDefault="00D4368C">
      <w:pPr>
        <w:pStyle w:val="NormalIndent"/>
        <w:rPr>
          <w:rFonts w:ascii="宋体" w:eastAsia="宋体" w:hAnsi="宋体" w:cs="宋体"/>
          <w:b/>
          <w:szCs w:val="21"/>
        </w:rPr>
      </w:pPr>
    </w:p>
    <w:p w14:paraId="6D0211CB" w14:textId="77777777" w:rsidR="00D4368C" w:rsidRDefault="00D4368C">
      <w:pPr>
        <w:pStyle w:val="NormalIndent"/>
        <w:rPr>
          <w:rFonts w:ascii="宋体" w:eastAsia="宋体" w:hAnsi="宋体" w:cs="宋体"/>
          <w:b/>
          <w:szCs w:val="21"/>
        </w:rPr>
      </w:pPr>
    </w:p>
    <w:p w14:paraId="0371973B" w14:textId="77777777" w:rsidR="00D4368C" w:rsidRDefault="00D4368C">
      <w:pPr>
        <w:pStyle w:val="NormalIndent"/>
        <w:rPr>
          <w:rFonts w:ascii="宋体" w:eastAsia="宋体" w:hAnsi="宋体" w:cs="宋体"/>
          <w:b/>
          <w:szCs w:val="21"/>
        </w:rPr>
      </w:pPr>
    </w:p>
    <w:p w14:paraId="37C356ED" w14:textId="77777777" w:rsidR="00D4368C" w:rsidRDefault="00D4368C">
      <w:pPr>
        <w:pStyle w:val="NormalIndent"/>
        <w:rPr>
          <w:rFonts w:ascii="宋体" w:eastAsia="宋体" w:hAnsi="宋体" w:cs="宋体"/>
          <w:b/>
          <w:szCs w:val="21"/>
        </w:rPr>
      </w:pPr>
    </w:p>
    <w:p w14:paraId="5BEA872E" w14:textId="77777777" w:rsidR="00D4368C" w:rsidRDefault="00D4368C">
      <w:pPr>
        <w:pStyle w:val="NormalIndent"/>
        <w:rPr>
          <w:rFonts w:ascii="宋体" w:eastAsia="宋体" w:hAnsi="宋体" w:cs="宋体"/>
          <w:b/>
          <w:szCs w:val="21"/>
        </w:rPr>
      </w:pPr>
    </w:p>
    <w:p w14:paraId="4F50DBAF" w14:textId="77777777" w:rsidR="00D4368C" w:rsidRDefault="001710E2">
      <w:pPr>
        <w:pStyle w:val="Heading1"/>
        <w:rPr>
          <w:rFonts w:ascii="宋体" w:eastAsia="宋体" w:hAnsi="宋体" w:cs="宋体"/>
          <w:sz w:val="24"/>
        </w:rPr>
      </w:pPr>
      <w:bookmarkStart w:id="82" w:name="_Toc70622211"/>
      <w:bookmarkStart w:id="83" w:name="_Toc40283668"/>
      <w:r>
        <w:rPr>
          <w:rFonts w:ascii="宋体" w:eastAsia="宋体" w:hAnsi="宋体" w:cs="宋体" w:hint="eastAsia"/>
          <w:sz w:val="24"/>
        </w:rPr>
        <w:t>附件一</w:t>
      </w:r>
      <w:bookmarkEnd w:id="82"/>
    </w:p>
    <w:p w14:paraId="6C089898" w14:textId="77777777" w:rsidR="00D4368C" w:rsidRDefault="001710E2">
      <w:pPr>
        <w:spacing w:line="360" w:lineRule="auto"/>
        <w:jc w:val="center"/>
        <w:rPr>
          <w:rFonts w:ascii="宋体" w:eastAsia="宋体" w:hAnsi="宋体" w:cs="宋体"/>
        </w:rPr>
      </w:pPr>
      <w:r>
        <w:rPr>
          <w:rFonts w:ascii="宋体" w:eastAsia="宋体" w:hAnsi="宋体" w:cs="宋体" w:hint="eastAsia"/>
          <w:b/>
        </w:rPr>
        <w:t>交易监控合</w:t>
      </w:r>
      <w:proofErr w:type="gramStart"/>
      <w:r>
        <w:rPr>
          <w:rFonts w:ascii="宋体" w:eastAsia="宋体" w:hAnsi="宋体" w:cs="宋体" w:hint="eastAsia"/>
          <w:b/>
        </w:rPr>
        <w:t>规</w:t>
      </w:r>
      <w:proofErr w:type="gramEnd"/>
      <w:r>
        <w:rPr>
          <w:rFonts w:ascii="宋体" w:eastAsia="宋体" w:hAnsi="宋体" w:cs="宋体" w:hint="eastAsia"/>
          <w:b/>
        </w:rPr>
        <w:t>表</w:t>
      </w:r>
    </w:p>
    <w:tbl>
      <w:tblPr>
        <w:tblStyle w:val="TableGrid"/>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7444"/>
      </w:tblGrid>
      <w:tr w:rsidR="00D4368C" w14:paraId="48F1C1C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vAlign w:val="center"/>
          </w:tcPr>
          <w:p w14:paraId="20D2FF20" w14:textId="77777777" w:rsidR="00D4368C" w:rsidRDefault="001710E2">
            <w:pPr>
              <w:spacing w:line="300" w:lineRule="auto"/>
              <w:ind w:right="-108"/>
              <w:jc w:val="center"/>
              <w:rPr>
                <w:rFonts w:ascii="宋体" w:eastAsia="宋体" w:hAnsi="宋体" w:cs="宋体"/>
                <w:b/>
                <w:sz w:val="21"/>
                <w:szCs w:val="21"/>
              </w:rPr>
            </w:pPr>
            <w:r>
              <w:rPr>
                <w:rFonts w:ascii="宋体" w:eastAsia="宋体" w:hAnsi="宋体" w:cs="宋体" w:hint="eastAsia"/>
                <w:b/>
                <w:sz w:val="21"/>
                <w:szCs w:val="21"/>
              </w:rPr>
              <w:t>序号</w:t>
            </w:r>
          </w:p>
        </w:tc>
        <w:tc>
          <w:tcPr>
            <w:tcW w:w="1417" w:type="dxa"/>
            <w:vAlign w:val="center"/>
          </w:tcPr>
          <w:p w14:paraId="5992247F" w14:textId="77777777" w:rsidR="00D4368C" w:rsidRDefault="001710E2">
            <w:pPr>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sz w:val="21"/>
                <w:szCs w:val="21"/>
              </w:rPr>
            </w:pPr>
            <w:r>
              <w:rPr>
                <w:rFonts w:ascii="宋体" w:eastAsia="宋体" w:hAnsi="宋体" w:cs="宋体" w:hint="eastAsia"/>
                <w:b/>
                <w:sz w:val="21"/>
                <w:szCs w:val="21"/>
              </w:rPr>
              <w:t>项目</w:t>
            </w:r>
          </w:p>
        </w:tc>
        <w:tc>
          <w:tcPr>
            <w:tcW w:w="7444" w:type="dxa"/>
            <w:vAlign w:val="center"/>
          </w:tcPr>
          <w:p w14:paraId="568F0CFA" w14:textId="77777777" w:rsidR="00D4368C" w:rsidRDefault="001710E2">
            <w:pPr>
              <w:spacing w:line="300" w:lineRule="auto"/>
              <w:ind w:right="48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sz w:val="21"/>
                <w:szCs w:val="21"/>
              </w:rPr>
            </w:pPr>
            <w:r>
              <w:rPr>
                <w:rFonts w:ascii="宋体" w:eastAsia="宋体" w:hAnsi="宋体" w:cs="宋体" w:hint="eastAsia"/>
                <w:b/>
                <w:sz w:val="21"/>
                <w:szCs w:val="21"/>
              </w:rPr>
              <w:t>监控内容</w:t>
            </w:r>
          </w:p>
        </w:tc>
      </w:tr>
      <w:tr w:rsidR="00D4368C" w14:paraId="1FB0F054" w14:textId="77777777">
        <w:trPr>
          <w:trHeight w:val="1448"/>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DA43C98" w14:textId="77777777" w:rsidR="00D4368C" w:rsidRDefault="001710E2">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t>1</w:t>
            </w:r>
          </w:p>
        </w:tc>
        <w:tc>
          <w:tcPr>
            <w:tcW w:w="1417" w:type="dxa"/>
            <w:vAlign w:val="center"/>
          </w:tcPr>
          <w:p w14:paraId="20B587BC" w14:textId="77777777" w:rsidR="00D4368C" w:rsidRDefault="001710E2">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监控范围</w:t>
            </w:r>
          </w:p>
        </w:tc>
        <w:tc>
          <w:tcPr>
            <w:tcW w:w="7444" w:type="dxa"/>
            <w:vAlign w:val="center"/>
          </w:tcPr>
          <w:p w14:paraId="6F24FC27"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本计划成立之日起至完成备案前，资产管理人以现金管理为目的，可投资于银行活期存款、货币市场基金。</w:t>
            </w:r>
          </w:p>
          <w:p w14:paraId="78EA6198"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本计划完成备案后，主要投资于：</w:t>
            </w:r>
          </w:p>
          <w:p w14:paraId="52AF071E"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bCs/>
                <w:sz w:val="21"/>
                <w:szCs w:val="21"/>
              </w:rPr>
              <w:t>国内依法发行上市的股票（包括主板、中小板、创业板、</w:t>
            </w:r>
            <w:proofErr w:type="gramStart"/>
            <w:r>
              <w:rPr>
                <w:rFonts w:ascii="宋体" w:eastAsia="宋体" w:hAnsi="宋体" w:cs="宋体"/>
                <w:bCs/>
                <w:sz w:val="21"/>
                <w:szCs w:val="21"/>
              </w:rPr>
              <w:t>科创板</w:t>
            </w:r>
            <w:proofErr w:type="gramEnd"/>
            <w:r>
              <w:rPr>
                <w:rFonts w:ascii="宋体" w:eastAsia="宋体" w:hAnsi="宋体" w:cs="宋体"/>
                <w:bCs/>
                <w:sz w:val="21"/>
                <w:szCs w:val="21"/>
              </w:rPr>
              <w:t>、北京证券交易所发行上市的股票，含新股申购</w:t>
            </w:r>
            <w:r>
              <w:rPr>
                <w:rFonts w:ascii="宋体" w:eastAsia="宋体" w:hAnsi="宋体" w:cs="宋体" w:hint="eastAsia"/>
                <w:sz w:val="21"/>
                <w:szCs w:val="21"/>
              </w:rPr>
              <w:t>、股票定增、非公开发行股票</w:t>
            </w:r>
            <w:r>
              <w:rPr>
                <w:rFonts w:ascii="宋体" w:eastAsia="宋体" w:hAnsi="宋体" w:cs="宋体"/>
                <w:bCs/>
                <w:sz w:val="21"/>
                <w:szCs w:val="21"/>
              </w:rPr>
              <w:t>）；港股通标的范围内的股票；银行间及交易所债券、中央银行票据、资产支持证券、资产支持票据；公募证券投资基金（含封闭式及开放式证券投资基金、LOF、ETF基金）；银行存款（含现金、定期存款、活期存款、协议存款）、债券逆回购、债券正回购、货币市场基金；股指期货、商品期货、国债期货、交易所上市的期权。特别予以说明，本计划可进行债券回购（债券正回购、债券逆回购）、融资融券、转融通证券出借交易。</w:t>
            </w:r>
          </w:p>
        </w:tc>
      </w:tr>
      <w:tr w:rsidR="00D4368C" w14:paraId="6F83A9FD" w14:textId="77777777">
        <w:trPr>
          <w:trHeight w:val="183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200859A" w14:textId="77777777" w:rsidR="00D4368C" w:rsidRDefault="001710E2">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t>2</w:t>
            </w:r>
          </w:p>
        </w:tc>
        <w:tc>
          <w:tcPr>
            <w:tcW w:w="1417" w:type="dxa"/>
            <w:vAlign w:val="center"/>
          </w:tcPr>
          <w:p w14:paraId="491262E6" w14:textId="77777777" w:rsidR="00D4368C" w:rsidRDefault="001710E2">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监控比例</w:t>
            </w:r>
          </w:p>
        </w:tc>
        <w:tc>
          <w:tcPr>
            <w:tcW w:w="7444" w:type="dxa"/>
            <w:vAlign w:val="center"/>
          </w:tcPr>
          <w:p w14:paraId="6168F85B"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（1）投资于</w:t>
            </w:r>
            <w:r>
              <w:rPr>
                <w:rFonts w:ascii="宋体" w:eastAsia="宋体" w:hAnsi="宋体" w:cs="宋体"/>
                <w:bCs/>
                <w:sz w:val="21"/>
                <w:szCs w:val="21"/>
              </w:rPr>
              <w:t>债权类资产（</w:t>
            </w:r>
            <w:r>
              <w:rPr>
                <w:rFonts w:ascii="Arial" w:eastAsia="Arial" w:hAnsi="Arial" w:cs="Arial"/>
                <w:color w:val="000000"/>
                <w:sz w:val="22"/>
              </w:rPr>
              <w:t>存款、债券）</w:t>
            </w:r>
            <w:r>
              <w:rPr>
                <w:rFonts w:ascii="宋体" w:eastAsia="宋体" w:hAnsi="宋体" w:cs="宋体"/>
                <w:bCs/>
                <w:sz w:val="21"/>
                <w:szCs w:val="21"/>
              </w:rPr>
              <w:t>的比例低于资产管理计划总资产的80%；</w:t>
            </w:r>
          </w:p>
          <w:p w14:paraId="130C9CFE"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（2）投资于</w:t>
            </w:r>
            <w:r>
              <w:rPr>
                <w:rFonts w:ascii="宋体" w:eastAsia="宋体" w:hAnsi="宋体" w:cs="宋体"/>
                <w:bCs/>
                <w:sz w:val="21"/>
                <w:szCs w:val="21"/>
              </w:rPr>
              <w:t>权益类资产（股票）的比例低于资产管理计划总资产的80%；</w:t>
            </w:r>
          </w:p>
          <w:p w14:paraId="65EF7F42"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（3）投资于商品及金融衍生品的持仓合约价值比例低于资产管理计划总资产80%，或衍生品账户权益不超过资产管理计划总资产的20%；</w:t>
            </w:r>
          </w:p>
          <w:p w14:paraId="2FF1EFA7"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4）投资于同一资产的资金，不得超过计划资产净值的25%，管理人管理的全部集合资产管理计划投资于同一资产的资金，不得超过该资产的25%，银行活期存款、国债、中央银行票据、政策性金融债、地方政府债券等中国证监会认可的投资品种除外。</w:t>
            </w:r>
            <w:r>
              <w:rPr>
                <w:rFonts w:ascii="宋体" w:eastAsia="宋体" w:hAnsi="宋体" w:cs="宋体"/>
                <w:bCs/>
                <w:sz w:val="21"/>
                <w:szCs w:val="21"/>
              </w:rPr>
              <w:t>同一资产指单只证券或单只基金。</w:t>
            </w:r>
          </w:p>
        </w:tc>
      </w:tr>
      <w:tr w:rsidR="00D4368C" w14:paraId="496C5F61" w14:textId="77777777">
        <w:trPr>
          <w:trHeight w:val="48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91D4453" w14:textId="77777777" w:rsidR="00D4368C" w:rsidRDefault="001710E2">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t>3</w:t>
            </w:r>
          </w:p>
        </w:tc>
        <w:tc>
          <w:tcPr>
            <w:tcW w:w="1417" w:type="dxa"/>
            <w:vAlign w:val="center"/>
          </w:tcPr>
          <w:p w14:paraId="62D2EFE7" w14:textId="77777777" w:rsidR="00D4368C" w:rsidRDefault="001710E2">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投资限制</w:t>
            </w:r>
          </w:p>
        </w:tc>
        <w:tc>
          <w:tcPr>
            <w:tcW w:w="7444" w:type="dxa"/>
            <w:vAlign w:val="center"/>
          </w:tcPr>
          <w:p w14:paraId="514A6342"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1、本计划不得投资除公</w:t>
            </w:r>
            <w:proofErr w:type="gramStart"/>
            <w:r>
              <w:rPr>
                <w:rFonts w:ascii="宋体" w:eastAsia="宋体" w:hAnsi="宋体" w:cs="宋体" w:hint="eastAsia"/>
                <w:bCs/>
                <w:sz w:val="21"/>
                <w:szCs w:val="21"/>
              </w:rPr>
              <w:t>募基金</w:t>
            </w:r>
            <w:proofErr w:type="gramEnd"/>
            <w:r>
              <w:rPr>
                <w:rFonts w:ascii="宋体" w:eastAsia="宋体" w:hAnsi="宋体" w:cs="宋体" w:hint="eastAsia"/>
                <w:bCs/>
                <w:sz w:val="21"/>
                <w:szCs w:val="21"/>
              </w:rPr>
              <w:t>以外的其他资产管理产品；</w:t>
            </w:r>
          </w:p>
          <w:p w14:paraId="2DCEBBDC"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2、本计划不得主动投资S、ST、*ST、S*ST及SST类股票；</w:t>
            </w:r>
          </w:p>
          <w:p w14:paraId="6F09BB70"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3、参与股票</w:t>
            </w:r>
            <w:r>
              <w:rPr>
                <w:rFonts w:ascii="宋体" w:eastAsia="宋体" w:hAnsi="宋体" w:cs="宋体"/>
                <w:bCs/>
                <w:sz w:val="21"/>
                <w:szCs w:val="21"/>
              </w:rPr>
              <w:t>、债券发行申购时，所申报的金额不得超过计划的总资产，所申报的数量不得超过拟发行公司本次发行的总量；</w:t>
            </w:r>
          </w:p>
          <w:p w14:paraId="6368B3B1"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4、本计划总资产不得超过本计划净资产的200%；</w:t>
            </w:r>
          </w:p>
          <w:p w14:paraId="42C27ED1"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5、本计划开放退出期内，资产组合中7个工作日可变现资产的价值，不</w:t>
            </w:r>
            <w:r>
              <w:rPr>
                <w:rFonts w:ascii="宋体" w:eastAsia="宋体" w:hAnsi="宋体" w:cs="宋体" w:hint="eastAsia"/>
                <w:bCs/>
                <w:sz w:val="21"/>
                <w:szCs w:val="21"/>
              </w:rPr>
              <w:lastRenderedPageBreak/>
              <w:t>低于本计划资产净值的10%；</w:t>
            </w:r>
          </w:p>
          <w:p w14:paraId="3A87F8E2"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6、本计划主动投资于流动性受限资产的市值在开放退出期内合计不得超过本计划资产净值的20%；</w:t>
            </w:r>
          </w:p>
          <w:p w14:paraId="0D63D198" w14:textId="77777777" w:rsidR="00D4368C" w:rsidRDefault="001710E2">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bCs/>
                <w:sz w:val="21"/>
                <w:szCs w:val="21"/>
              </w:rPr>
              <w:t>7</w:t>
            </w:r>
            <w:r>
              <w:rPr>
                <w:rFonts w:ascii="宋体" w:eastAsia="宋体" w:hAnsi="宋体" w:cs="宋体" w:hint="eastAsia"/>
                <w:bCs/>
                <w:sz w:val="21"/>
                <w:szCs w:val="21"/>
              </w:rPr>
              <w:t>、本计划不得投资资产支持证券、资产支持票据的劣后级。</w:t>
            </w:r>
          </w:p>
        </w:tc>
      </w:tr>
      <w:tr w:rsidR="00D4368C" w14:paraId="4F10330F" w14:textId="77777777">
        <w:trPr>
          <w:trHeight w:val="48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D93D7B1" w14:textId="77777777" w:rsidR="00D4368C" w:rsidRDefault="001710E2">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lastRenderedPageBreak/>
              <w:t>4</w:t>
            </w:r>
          </w:p>
        </w:tc>
        <w:tc>
          <w:tcPr>
            <w:tcW w:w="1417" w:type="dxa"/>
            <w:vAlign w:val="center"/>
          </w:tcPr>
          <w:p w14:paraId="0BC677C6" w14:textId="77777777" w:rsidR="00D4368C" w:rsidRDefault="001710E2">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预警</w:t>
            </w:r>
          </w:p>
        </w:tc>
        <w:tc>
          <w:tcPr>
            <w:tcW w:w="7444" w:type="dxa"/>
            <w:vAlign w:val="center"/>
          </w:tcPr>
          <w:p w14:paraId="57ED8B92" w14:textId="77777777" w:rsidR="00D4368C" w:rsidRDefault="001710E2">
            <w:pPr>
              <w:spacing w:line="300" w:lineRule="auto"/>
              <w:ind w:right="480"/>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预警线：本计划份额净值【0.7500】元</w:t>
            </w:r>
          </w:p>
        </w:tc>
      </w:tr>
    </w:tbl>
    <w:p w14:paraId="3B83AA2E" w14:textId="77777777" w:rsidR="00D4368C" w:rsidRDefault="00D4368C">
      <w:pPr>
        <w:spacing w:line="300" w:lineRule="auto"/>
        <w:ind w:right="480"/>
        <w:rPr>
          <w:rFonts w:ascii="宋体" w:eastAsia="宋体" w:hAnsi="宋体" w:cs="宋体"/>
          <w:b/>
          <w:szCs w:val="21"/>
        </w:rPr>
      </w:pPr>
    </w:p>
    <w:p w14:paraId="4524777C" w14:textId="77777777" w:rsidR="00D4368C" w:rsidRDefault="001710E2">
      <w:pPr>
        <w:ind w:right="482"/>
        <w:rPr>
          <w:rFonts w:ascii="宋体" w:eastAsia="宋体" w:hAnsi="宋体" w:cs="宋体"/>
          <w:b/>
          <w:sz w:val="21"/>
          <w:szCs w:val="21"/>
        </w:rPr>
      </w:pPr>
      <w:r>
        <w:rPr>
          <w:rFonts w:ascii="宋体" w:eastAsia="宋体" w:hAnsi="宋体" w:cs="宋体" w:hint="eastAsia"/>
          <w:b/>
          <w:sz w:val="21"/>
          <w:szCs w:val="21"/>
        </w:rPr>
        <w:t>备注：</w:t>
      </w:r>
    </w:p>
    <w:p w14:paraId="2308A28C" w14:textId="77777777" w:rsidR="00D4368C" w:rsidRDefault="001710E2">
      <w:pPr>
        <w:ind w:right="482"/>
        <w:rPr>
          <w:rFonts w:ascii="宋体" w:eastAsia="宋体" w:hAnsi="宋体" w:cs="宋体"/>
          <w:b/>
          <w:sz w:val="21"/>
          <w:szCs w:val="21"/>
        </w:rPr>
      </w:pPr>
      <w:r>
        <w:rPr>
          <w:rFonts w:ascii="宋体" w:eastAsia="宋体" w:hAnsi="宋体" w:cs="宋体" w:hint="eastAsia"/>
          <w:b/>
          <w:sz w:val="21"/>
          <w:szCs w:val="21"/>
        </w:rPr>
        <w:t>1、托管人负责场外债券分销买入时，债项信用等级或主体信用等级的控制，其它时点的债项或主体的信用等级由管理人负责。</w:t>
      </w:r>
    </w:p>
    <w:p w14:paraId="1D5087D0" w14:textId="77777777" w:rsidR="00D4368C" w:rsidRDefault="001710E2">
      <w:pPr>
        <w:ind w:right="482"/>
        <w:rPr>
          <w:rFonts w:ascii="宋体" w:eastAsia="宋体" w:hAnsi="宋体" w:cs="宋体"/>
          <w:b/>
          <w:sz w:val="21"/>
          <w:szCs w:val="21"/>
        </w:rPr>
      </w:pPr>
      <w:r>
        <w:rPr>
          <w:rFonts w:ascii="宋体" w:eastAsia="宋体" w:hAnsi="宋体" w:cs="宋体" w:hint="eastAsia"/>
          <w:b/>
          <w:sz w:val="21"/>
          <w:szCs w:val="21"/>
        </w:rPr>
        <w:t>2、托管人越权交易监督的真实性、准确性、及时性和完整性受限于管理人、证券经纪商、期货经纪商及其他中介机构提供的数据和信息，合</w:t>
      </w:r>
      <w:proofErr w:type="gramStart"/>
      <w:r>
        <w:rPr>
          <w:rFonts w:ascii="宋体" w:eastAsia="宋体" w:hAnsi="宋体" w:cs="宋体" w:hint="eastAsia"/>
          <w:b/>
          <w:sz w:val="21"/>
          <w:szCs w:val="21"/>
        </w:rPr>
        <w:t>规</w:t>
      </w:r>
      <w:proofErr w:type="gramEnd"/>
      <w:r>
        <w:rPr>
          <w:rFonts w:ascii="宋体" w:eastAsia="宋体" w:hAnsi="宋体" w:cs="宋体" w:hint="eastAsia"/>
          <w:b/>
          <w:sz w:val="21"/>
          <w:szCs w:val="21"/>
        </w:rPr>
        <w:t>投资的责任在管理人。由对上述机构提供信息的错误、遗漏或延迟所引起的损失由过错方承担责任。</w:t>
      </w:r>
    </w:p>
    <w:p w14:paraId="3576FDD2" w14:textId="77777777" w:rsidR="00D4368C" w:rsidRDefault="001710E2">
      <w:pPr>
        <w:ind w:right="482"/>
        <w:rPr>
          <w:rFonts w:ascii="宋体" w:eastAsia="宋体" w:hAnsi="宋体" w:cs="宋体"/>
          <w:b/>
          <w:sz w:val="21"/>
          <w:szCs w:val="21"/>
        </w:rPr>
      </w:pPr>
      <w:r>
        <w:rPr>
          <w:rFonts w:ascii="宋体" w:eastAsia="宋体" w:hAnsi="宋体" w:cs="宋体"/>
          <w:b/>
          <w:sz w:val="21"/>
          <w:szCs w:val="21"/>
        </w:rPr>
        <w:t>3、交易监控合</w:t>
      </w:r>
      <w:proofErr w:type="gramStart"/>
      <w:r>
        <w:rPr>
          <w:rFonts w:ascii="宋体" w:eastAsia="宋体" w:hAnsi="宋体" w:cs="宋体"/>
          <w:b/>
          <w:sz w:val="21"/>
          <w:szCs w:val="21"/>
        </w:rPr>
        <w:t>规</w:t>
      </w:r>
      <w:proofErr w:type="gramEnd"/>
      <w:r>
        <w:rPr>
          <w:rFonts w:ascii="宋体" w:eastAsia="宋体" w:hAnsi="宋体" w:cs="宋体"/>
          <w:b/>
          <w:sz w:val="21"/>
          <w:szCs w:val="21"/>
        </w:rPr>
        <w:t>表监控比例及限制中所述的“资产管理人管理的全部集合资产管理计划”，以本托管人托管的全部管理人管理资产作为监控依据。</w:t>
      </w:r>
    </w:p>
    <w:p w14:paraId="30F4312A" w14:textId="77777777" w:rsidR="00D4368C" w:rsidRDefault="00D4368C">
      <w:pPr>
        <w:ind w:right="482"/>
        <w:rPr>
          <w:rFonts w:ascii="宋体" w:eastAsia="宋体" w:hAnsi="宋体" w:cs="宋体"/>
          <w:sz w:val="21"/>
          <w:szCs w:val="21"/>
        </w:rPr>
      </w:pPr>
    </w:p>
    <w:p w14:paraId="230EE3DD" w14:textId="77777777" w:rsidR="00D4368C" w:rsidRDefault="001710E2">
      <w:pPr>
        <w:widowControl/>
        <w:jc w:val="left"/>
        <w:rPr>
          <w:rFonts w:ascii="华文宋体" w:hAnsi="华文宋体"/>
        </w:rPr>
      </w:pPr>
      <w:r>
        <w:rPr>
          <w:rFonts w:ascii="华文宋体" w:hAnsi="华文宋体"/>
        </w:rPr>
        <w:br w:type="page"/>
      </w:r>
    </w:p>
    <w:p w14:paraId="0D485354" w14:textId="77777777" w:rsidR="00D4368C" w:rsidRDefault="001710E2">
      <w:pPr>
        <w:pStyle w:val="Heading1"/>
        <w:rPr>
          <w:rFonts w:ascii="宋体" w:eastAsia="宋体" w:hAnsi="宋体" w:cs="宋体"/>
          <w:b w:val="0"/>
        </w:rPr>
      </w:pPr>
      <w:bookmarkStart w:id="84" w:name="_Toc70622212"/>
      <w:r>
        <w:rPr>
          <w:rFonts w:ascii="宋体" w:eastAsia="宋体" w:hAnsi="宋体" w:cs="宋体" w:hint="eastAsia"/>
          <w:sz w:val="24"/>
        </w:rPr>
        <w:lastRenderedPageBreak/>
        <w:t>附件</w:t>
      </w:r>
      <w:bookmarkEnd w:id="83"/>
      <w:r>
        <w:rPr>
          <w:rFonts w:ascii="宋体" w:eastAsia="宋体" w:hAnsi="宋体" w:cs="宋体" w:hint="eastAsia"/>
          <w:sz w:val="24"/>
        </w:rPr>
        <w:t>二</w:t>
      </w:r>
      <w:bookmarkEnd w:id="84"/>
    </w:p>
    <w:p w14:paraId="2AB18047" w14:textId="77777777" w:rsidR="00D4368C" w:rsidRDefault="001710E2">
      <w:pPr>
        <w:spacing w:line="360" w:lineRule="auto"/>
        <w:jc w:val="center"/>
        <w:rPr>
          <w:rFonts w:ascii="宋体" w:eastAsia="宋体" w:hAnsi="宋体" w:cs="宋体"/>
          <w:b/>
          <w:sz w:val="30"/>
          <w:szCs w:val="30"/>
        </w:rPr>
      </w:pPr>
      <w:r>
        <w:rPr>
          <w:rFonts w:ascii="宋体" w:eastAsia="宋体" w:hAnsi="宋体" w:cs="宋体" w:hint="eastAsia"/>
          <w:b/>
          <w:sz w:val="30"/>
          <w:szCs w:val="30"/>
        </w:rPr>
        <w:t>光大期货-光大理财阳光精选2号集合资产管理计划</w:t>
      </w:r>
    </w:p>
    <w:p w14:paraId="7692F78F" w14:textId="77777777" w:rsidR="00D4368C" w:rsidRDefault="001710E2">
      <w:pPr>
        <w:spacing w:line="360" w:lineRule="auto"/>
        <w:jc w:val="center"/>
        <w:rPr>
          <w:rFonts w:ascii="宋体" w:eastAsia="宋体" w:hAnsi="宋体" w:cs="宋体"/>
          <w:b/>
          <w:sz w:val="30"/>
          <w:szCs w:val="30"/>
        </w:rPr>
      </w:pPr>
      <w:r>
        <w:rPr>
          <w:rFonts w:ascii="宋体" w:eastAsia="宋体" w:hAnsi="宋体" w:cs="宋体" w:hint="eastAsia"/>
          <w:b/>
          <w:sz w:val="30"/>
          <w:szCs w:val="30"/>
        </w:rPr>
        <w:t>风险揭示书</w:t>
      </w:r>
    </w:p>
    <w:p w14:paraId="7F302BFF" w14:textId="77777777" w:rsidR="00D4368C" w:rsidRDefault="00D4368C">
      <w:pPr>
        <w:pStyle w:val="NormalIndent"/>
        <w:rPr>
          <w:rFonts w:ascii="宋体" w:eastAsia="宋体" w:hAnsi="宋体" w:cs="宋体"/>
          <w:b/>
          <w:szCs w:val="24"/>
        </w:rPr>
      </w:pPr>
    </w:p>
    <w:p w14:paraId="7614C9FF" w14:textId="77777777" w:rsidR="00D4368C" w:rsidRDefault="00D4368C">
      <w:pPr>
        <w:pStyle w:val="NormalIndent"/>
        <w:rPr>
          <w:rFonts w:ascii="宋体" w:eastAsia="宋体" w:hAnsi="宋体" w:cs="宋体"/>
          <w:b/>
          <w:szCs w:val="24"/>
        </w:rPr>
      </w:pPr>
    </w:p>
    <w:p w14:paraId="16963F4A" w14:textId="77777777" w:rsidR="00D4368C" w:rsidRDefault="00D4368C">
      <w:pPr>
        <w:rPr>
          <w:rFonts w:ascii="宋体" w:eastAsia="宋体" w:hAnsi="宋体" w:cs="宋体"/>
          <w:szCs w:val="21"/>
        </w:rPr>
      </w:pPr>
    </w:p>
    <w:p w14:paraId="1D06B2E8" w14:textId="77777777" w:rsidR="00D4368C" w:rsidRDefault="001710E2">
      <w:pPr>
        <w:pStyle w:val="a3"/>
        <w:spacing w:line="360" w:lineRule="auto"/>
        <w:ind w:firstLine="0"/>
        <w:rPr>
          <w:rFonts w:hAnsi="宋体" w:cs="宋体"/>
          <w:szCs w:val="21"/>
        </w:rPr>
      </w:pPr>
      <w:r>
        <w:rPr>
          <w:rFonts w:hAnsi="宋体" w:cs="宋体" w:hint="eastAsia"/>
          <w:szCs w:val="21"/>
        </w:rPr>
        <w:t>尊敬的投资者：</w:t>
      </w:r>
    </w:p>
    <w:p w14:paraId="250A2A87" w14:textId="77777777" w:rsidR="00D4368C" w:rsidRDefault="001710E2">
      <w:pPr>
        <w:pStyle w:val="a3"/>
        <w:spacing w:line="360" w:lineRule="auto"/>
        <w:ind w:firstLine="420"/>
        <w:rPr>
          <w:rFonts w:hAnsi="宋体" w:cs="宋体"/>
          <w:szCs w:val="21"/>
        </w:rPr>
      </w:pPr>
      <w:r>
        <w:rPr>
          <w:rFonts w:hAnsi="宋体" w:cs="宋体" w:hint="eastAsia"/>
          <w:szCs w:val="21"/>
        </w:rPr>
        <w:t>投资有风险。当您/</w:t>
      </w:r>
      <w:proofErr w:type="gramStart"/>
      <w:r>
        <w:rPr>
          <w:rFonts w:hAnsi="宋体" w:cs="宋体" w:hint="eastAsia"/>
          <w:szCs w:val="21"/>
        </w:rPr>
        <w:t>贵机构</w:t>
      </w:r>
      <w:proofErr w:type="gramEnd"/>
      <w:r>
        <w:rPr>
          <w:rFonts w:hAnsi="宋体" w:cs="宋体" w:hint="eastAsia"/>
          <w:szCs w:val="21"/>
        </w:rPr>
        <w:t>参与资产管理计划时，可能获得投资收益，但同时也面临着投资亏损的风险。您/</w:t>
      </w:r>
      <w:proofErr w:type="gramStart"/>
      <w:r>
        <w:rPr>
          <w:rFonts w:hAnsi="宋体" w:cs="宋体" w:hint="eastAsia"/>
          <w:szCs w:val="21"/>
        </w:rPr>
        <w:t>贵机构</w:t>
      </w:r>
      <w:proofErr w:type="gramEnd"/>
      <w:r>
        <w:rPr>
          <w:rFonts w:hAnsi="宋体" w:cs="宋体" w:hint="eastAsia"/>
          <w:szCs w:val="21"/>
        </w:rPr>
        <w:t>在</w:t>
      </w:r>
      <w:proofErr w:type="gramStart"/>
      <w:r>
        <w:rPr>
          <w:rFonts w:hAnsi="宋体" w:cs="宋体" w:hint="eastAsia"/>
          <w:szCs w:val="21"/>
        </w:rPr>
        <w:t>作出</w:t>
      </w:r>
      <w:proofErr w:type="gramEnd"/>
      <w:r>
        <w:rPr>
          <w:rFonts w:hAnsi="宋体" w:cs="宋体" w:hint="eastAsia"/>
          <w:szCs w:val="21"/>
        </w:rPr>
        <w:t>投资决策之前，请仔细阅读</w:t>
      </w:r>
      <w:proofErr w:type="gramStart"/>
      <w:r>
        <w:rPr>
          <w:rFonts w:hAnsi="宋体" w:cs="宋体" w:hint="eastAsia"/>
          <w:szCs w:val="21"/>
        </w:rPr>
        <w:t>本风险</w:t>
      </w:r>
      <w:proofErr w:type="gramEnd"/>
      <w:r>
        <w:rPr>
          <w:rFonts w:hAnsi="宋体" w:cs="宋体" w:hint="eastAsia"/>
          <w:szCs w:val="21"/>
        </w:rPr>
        <w:t>揭示书和资产管理合同，充分认识本计划的风险收益特征和产品特性，认真考虑资产管理计划存在的各项风险因素，并充分考虑自身的风险承受能力，理性判断并谨慎</w:t>
      </w:r>
      <w:proofErr w:type="gramStart"/>
      <w:r>
        <w:rPr>
          <w:rFonts w:hAnsi="宋体" w:cs="宋体" w:hint="eastAsia"/>
          <w:szCs w:val="21"/>
        </w:rPr>
        <w:t>作出</w:t>
      </w:r>
      <w:proofErr w:type="gramEnd"/>
      <w:r>
        <w:rPr>
          <w:rFonts w:hAnsi="宋体" w:cs="宋体" w:hint="eastAsia"/>
          <w:szCs w:val="21"/>
        </w:rPr>
        <w:t>投资决策。</w:t>
      </w:r>
    </w:p>
    <w:p w14:paraId="120E3205" w14:textId="77777777" w:rsidR="00D4368C" w:rsidRDefault="001710E2">
      <w:pPr>
        <w:pStyle w:val="a3"/>
        <w:spacing w:line="360" w:lineRule="auto"/>
        <w:ind w:firstLine="420"/>
        <w:rPr>
          <w:rFonts w:hAnsi="宋体" w:cs="宋体"/>
          <w:szCs w:val="21"/>
        </w:rPr>
      </w:pPr>
      <w:r>
        <w:rPr>
          <w:rFonts w:hAnsi="宋体" w:cs="宋体" w:hint="eastAsia"/>
          <w:szCs w:val="21"/>
        </w:rPr>
        <w:t>根据有关法律法规，管理人[光大期货有限公司]及投资者分别</w:t>
      </w:r>
      <w:proofErr w:type="gramStart"/>
      <w:r>
        <w:rPr>
          <w:rFonts w:hAnsi="宋体" w:cs="宋体" w:hint="eastAsia"/>
          <w:szCs w:val="21"/>
        </w:rPr>
        <w:t>作出</w:t>
      </w:r>
      <w:proofErr w:type="gramEnd"/>
      <w:r>
        <w:rPr>
          <w:rFonts w:hAnsi="宋体" w:cs="宋体" w:hint="eastAsia"/>
          <w:szCs w:val="21"/>
        </w:rPr>
        <w:t>如下承诺、风险揭示及声明：</w:t>
      </w:r>
    </w:p>
    <w:p w14:paraId="45A1AD67" w14:textId="77777777" w:rsidR="00D4368C" w:rsidRDefault="001710E2">
      <w:pPr>
        <w:pStyle w:val="a3"/>
        <w:spacing w:line="360" w:lineRule="auto"/>
        <w:ind w:firstLine="420"/>
        <w:rPr>
          <w:rFonts w:hAnsi="宋体" w:cs="宋体"/>
          <w:szCs w:val="21"/>
        </w:rPr>
      </w:pPr>
      <w:r>
        <w:rPr>
          <w:rFonts w:hAnsi="宋体" w:cs="宋体" w:hint="eastAsia"/>
          <w:szCs w:val="21"/>
        </w:rPr>
        <w:t>一、管理人声明与承诺</w:t>
      </w:r>
    </w:p>
    <w:p w14:paraId="66861C1C" w14:textId="77777777" w:rsidR="00D4368C" w:rsidRDefault="001710E2">
      <w:pPr>
        <w:pStyle w:val="a3"/>
        <w:spacing w:line="360" w:lineRule="auto"/>
        <w:ind w:firstLine="420"/>
        <w:rPr>
          <w:rFonts w:hAnsi="宋体" w:cs="宋体"/>
          <w:szCs w:val="21"/>
        </w:rPr>
      </w:pPr>
      <w:r>
        <w:rPr>
          <w:rFonts w:hAnsi="宋体" w:cs="宋体" w:hint="eastAsia"/>
          <w:szCs w:val="21"/>
        </w:rPr>
        <w:t>（一）管理人向投资者声明，中国证券投资基金业协会（以下简称“证券投资基金业协会”）为资产管理计划办理备案不构成对管理人投资能力、持续合</w:t>
      </w:r>
      <w:proofErr w:type="gramStart"/>
      <w:r>
        <w:rPr>
          <w:rFonts w:hAnsi="宋体" w:cs="宋体" w:hint="eastAsia"/>
          <w:szCs w:val="21"/>
        </w:rPr>
        <w:t>规</w:t>
      </w:r>
      <w:proofErr w:type="gramEnd"/>
      <w:r>
        <w:rPr>
          <w:rFonts w:hAnsi="宋体" w:cs="宋体" w:hint="eastAsia"/>
          <w:szCs w:val="21"/>
        </w:rPr>
        <w:t>情况的认可；不作为对资产管理计划财产安全的保证。</w:t>
      </w:r>
    </w:p>
    <w:p w14:paraId="41F15A41" w14:textId="77777777" w:rsidR="00D4368C" w:rsidRDefault="001710E2">
      <w:pPr>
        <w:pStyle w:val="a3"/>
        <w:spacing w:line="360" w:lineRule="auto"/>
        <w:ind w:firstLine="420"/>
        <w:rPr>
          <w:rFonts w:hAnsi="宋体" w:cs="宋体"/>
          <w:szCs w:val="21"/>
        </w:rPr>
      </w:pPr>
      <w:r>
        <w:rPr>
          <w:rFonts w:hAnsi="宋体" w:cs="宋体" w:hint="eastAsia"/>
          <w:szCs w:val="21"/>
        </w:rPr>
        <w:t>（二）管理人保证在投资者签署资产管理合同前已（或已委托销售机构）向投资者揭示了相关风险；已经了解投资者的风险偏好、风险认知能力和承受能力。</w:t>
      </w:r>
    </w:p>
    <w:p w14:paraId="632041A8" w14:textId="77777777" w:rsidR="00D4368C" w:rsidRDefault="001710E2">
      <w:pPr>
        <w:pStyle w:val="a3"/>
        <w:spacing w:line="360" w:lineRule="auto"/>
        <w:ind w:firstLine="420"/>
        <w:rPr>
          <w:rFonts w:hAnsi="宋体" w:cs="宋体"/>
          <w:szCs w:val="21"/>
        </w:rPr>
      </w:pPr>
      <w:r>
        <w:rPr>
          <w:rFonts w:hAnsi="宋体" w:cs="宋体" w:hint="eastAsia"/>
          <w:szCs w:val="21"/>
        </w:rPr>
        <w:t>（三）管理人承诺按照恪尽职守、诚实信用、谨慎勤勉的原则管理运用资产管理计划财产，不保证资产管理计划财产一定盈利，也不保证最低收益。</w:t>
      </w:r>
    </w:p>
    <w:p w14:paraId="6783C643" w14:textId="77777777" w:rsidR="00D4368C" w:rsidRDefault="001710E2">
      <w:pPr>
        <w:pStyle w:val="a3"/>
        <w:spacing w:line="360" w:lineRule="auto"/>
        <w:ind w:firstLine="420"/>
        <w:rPr>
          <w:rFonts w:hAnsi="宋体" w:cs="宋体"/>
          <w:szCs w:val="21"/>
        </w:rPr>
      </w:pPr>
      <w:r>
        <w:rPr>
          <w:rFonts w:hAnsi="宋体" w:cs="宋体" w:hint="eastAsia"/>
          <w:szCs w:val="21"/>
        </w:rPr>
        <w:t xml:space="preserve">   二、风险揭示</w:t>
      </w:r>
    </w:p>
    <w:p w14:paraId="4559D853" w14:textId="77777777" w:rsidR="00D4368C" w:rsidRDefault="001710E2">
      <w:pPr>
        <w:pStyle w:val="a3"/>
        <w:spacing w:line="360" w:lineRule="auto"/>
        <w:ind w:firstLine="420"/>
        <w:rPr>
          <w:rFonts w:hAnsi="宋体" w:cs="宋体"/>
          <w:szCs w:val="21"/>
        </w:rPr>
      </w:pPr>
      <w:r>
        <w:rPr>
          <w:rFonts w:hAnsi="宋体" w:cs="宋体" w:hint="eastAsia"/>
          <w:szCs w:val="21"/>
        </w:rPr>
        <w:t>（一）特殊风险揭示</w:t>
      </w:r>
    </w:p>
    <w:p w14:paraId="22CCB5C8" w14:textId="77777777" w:rsidR="00D4368C" w:rsidRDefault="001710E2">
      <w:pPr>
        <w:pStyle w:val="a3"/>
        <w:spacing w:line="360" w:lineRule="auto"/>
        <w:ind w:firstLine="420"/>
        <w:rPr>
          <w:rFonts w:hAnsi="宋体" w:cs="宋体"/>
          <w:szCs w:val="21"/>
        </w:rPr>
      </w:pPr>
      <w:r>
        <w:rPr>
          <w:rFonts w:hAnsi="宋体" w:cs="宋体" w:hint="eastAsia"/>
          <w:szCs w:val="21"/>
        </w:rPr>
        <w:t>若存在以下事项，应特别揭示风险：</w:t>
      </w:r>
    </w:p>
    <w:p w14:paraId="22667407" w14:textId="77777777" w:rsidR="00D4368C" w:rsidRDefault="001710E2">
      <w:pPr>
        <w:pStyle w:val="a3"/>
        <w:spacing w:line="360" w:lineRule="auto"/>
        <w:ind w:firstLine="420"/>
        <w:rPr>
          <w:rFonts w:hAnsi="宋体" w:cs="宋体"/>
          <w:szCs w:val="21"/>
        </w:rPr>
      </w:pPr>
      <w:r>
        <w:rPr>
          <w:rFonts w:hAnsi="宋体" w:cs="宋体" w:hint="eastAsia"/>
          <w:szCs w:val="21"/>
        </w:rPr>
        <w:t>1、资产管理合同与证券投资基金业协会合同指引不一致所涉风险</w:t>
      </w:r>
    </w:p>
    <w:p w14:paraId="4F7DF720" w14:textId="77777777" w:rsidR="00D4368C" w:rsidRDefault="001710E2">
      <w:pPr>
        <w:pStyle w:val="a3"/>
        <w:spacing w:line="360" w:lineRule="auto"/>
        <w:ind w:firstLine="420"/>
        <w:rPr>
          <w:rFonts w:hAnsi="宋体" w:cs="宋体"/>
          <w:szCs w:val="21"/>
        </w:rPr>
      </w:pPr>
      <w:r>
        <w:rPr>
          <w:rFonts w:hAnsi="宋体" w:cs="宋体"/>
          <w:szCs w:val="21"/>
        </w:rPr>
        <w:t>资产管理合同参照证券投资基金业协会合同指引进行编制，并根据资产管理计划实际运作管理需求及各方协商情况约定合同条款，</w:t>
      </w:r>
      <w:proofErr w:type="gramStart"/>
      <w:r>
        <w:rPr>
          <w:rFonts w:hAnsi="宋体" w:cs="宋体"/>
          <w:szCs w:val="21"/>
        </w:rPr>
        <w:t>故资产</w:t>
      </w:r>
      <w:proofErr w:type="gramEnd"/>
      <w:r>
        <w:rPr>
          <w:rFonts w:hAnsi="宋体" w:cs="宋体"/>
          <w:szCs w:val="21"/>
        </w:rPr>
        <w:t>管理合同可能存在与证券投资基金业协会合同指引不一致情形。投资者应当认真阅读</w:t>
      </w:r>
      <w:proofErr w:type="gramStart"/>
      <w:r>
        <w:rPr>
          <w:rFonts w:hAnsi="宋体" w:cs="宋体"/>
          <w:szCs w:val="21"/>
        </w:rPr>
        <w:t>本资产</w:t>
      </w:r>
      <w:proofErr w:type="gramEnd"/>
      <w:r>
        <w:rPr>
          <w:rFonts w:hAnsi="宋体" w:cs="宋体"/>
          <w:szCs w:val="21"/>
        </w:rPr>
        <w:t>管理合同，理解</w:t>
      </w:r>
      <w:proofErr w:type="gramStart"/>
      <w:r>
        <w:rPr>
          <w:rFonts w:hAnsi="宋体" w:cs="宋体"/>
          <w:szCs w:val="21"/>
        </w:rPr>
        <w:t>本资产</w:t>
      </w:r>
      <w:proofErr w:type="gramEnd"/>
      <w:r>
        <w:rPr>
          <w:rFonts w:hAnsi="宋体" w:cs="宋体"/>
          <w:szCs w:val="21"/>
        </w:rPr>
        <w:t>管理合同的全部条款，独立做出是否签署</w:t>
      </w:r>
      <w:proofErr w:type="gramStart"/>
      <w:r>
        <w:rPr>
          <w:rFonts w:hAnsi="宋体" w:cs="宋体"/>
          <w:szCs w:val="21"/>
        </w:rPr>
        <w:t>本资产</w:t>
      </w:r>
      <w:proofErr w:type="gramEnd"/>
      <w:r>
        <w:rPr>
          <w:rFonts w:hAnsi="宋体" w:cs="宋体"/>
          <w:szCs w:val="21"/>
        </w:rPr>
        <w:t>管理合同的</w:t>
      </w:r>
      <w:r>
        <w:rPr>
          <w:rFonts w:hAnsi="宋体" w:cs="宋体"/>
          <w:szCs w:val="21"/>
        </w:rPr>
        <w:lastRenderedPageBreak/>
        <w:t>决定。但是资产委托人签署</w:t>
      </w:r>
      <w:proofErr w:type="gramStart"/>
      <w:r>
        <w:rPr>
          <w:rFonts w:hAnsi="宋体" w:cs="宋体"/>
          <w:szCs w:val="21"/>
        </w:rPr>
        <w:t>本资产</w:t>
      </w:r>
      <w:proofErr w:type="gramEnd"/>
      <w:r>
        <w:rPr>
          <w:rFonts w:hAnsi="宋体" w:cs="宋体"/>
          <w:szCs w:val="21"/>
        </w:rPr>
        <w:t>管理合同不代表资产委托人接受因资产管理合同违反法律法规、监管机构和行业自律规则进而导致</w:t>
      </w:r>
      <w:proofErr w:type="gramStart"/>
      <w:r>
        <w:rPr>
          <w:rFonts w:hAnsi="宋体" w:cs="宋体"/>
          <w:szCs w:val="21"/>
        </w:rPr>
        <w:t>本资产</w:t>
      </w:r>
      <w:proofErr w:type="gramEnd"/>
      <w:r>
        <w:rPr>
          <w:rFonts w:hAnsi="宋体" w:cs="宋体"/>
          <w:szCs w:val="21"/>
        </w:rPr>
        <w:t>管理计划下的损失。因资产管理人过错或过失导致资产管理合同违反法律法规、监管机构规定和行业自律规则或资产管理合同的约定进而导致</w:t>
      </w:r>
      <w:proofErr w:type="gramStart"/>
      <w:r>
        <w:rPr>
          <w:rFonts w:hAnsi="宋体" w:cs="宋体"/>
          <w:szCs w:val="21"/>
        </w:rPr>
        <w:t>本资产</w:t>
      </w:r>
      <w:proofErr w:type="gramEnd"/>
      <w:r>
        <w:rPr>
          <w:rFonts w:hAnsi="宋体" w:cs="宋体"/>
          <w:szCs w:val="21"/>
        </w:rPr>
        <w:t>管理计划下的损失，由资产管理人承担相应的责任。</w:t>
      </w:r>
    </w:p>
    <w:p w14:paraId="2E7E6483" w14:textId="77777777" w:rsidR="00D4368C" w:rsidRDefault="001710E2">
      <w:pPr>
        <w:pStyle w:val="a3"/>
        <w:spacing w:line="360" w:lineRule="auto"/>
        <w:ind w:firstLine="420"/>
        <w:rPr>
          <w:rFonts w:hAnsi="宋体" w:cs="宋体"/>
          <w:szCs w:val="21"/>
        </w:rPr>
      </w:pPr>
      <w:r>
        <w:rPr>
          <w:rFonts w:hAnsi="宋体" w:cs="宋体" w:hint="eastAsia"/>
          <w:szCs w:val="21"/>
        </w:rPr>
        <w:t>2、资产管理计划未托管所涉风险</w:t>
      </w:r>
    </w:p>
    <w:p w14:paraId="41E2BFEB" w14:textId="77777777" w:rsidR="00D4368C" w:rsidRDefault="001710E2">
      <w:pPr>
        <w:pStyle w:val="a3"/>
        <w:spacing w:line="360" w:lineRule="auto"/>
        <w:ind w:firstLine="420"/>
        <w:rPr>
          <w:rFonts w:hAnsi="宋体" w:cs="宋体"/>
          <w:szCs w:val="21"/>
        </w:rPr>
      </w:pPr>
      <w:r>
        <w:rPr>
          <w:rFonts w:hAnsi="宋体" w:cs="宋体" w:hint="eastAsia"/>
          <w:szCs w:val="21"/>
        </w:rPr>
        <w:t>不适用。</w:t>
      </w:r>
    </w:p>
    <w:p w14:paraId="32E97B68" w14:textId="77777777" w:rsidR="00D4368C" w:rsidRDefault="001710E2">
      <w:pPr>
        <w:pStyle w:val="a3"/>
        <w:spacing w:line="360" w:lineRule="auto"/>
        <w:ind w:firstLine="420"/>
        <w:rPr>
          <w:rFonts w:hAnsi="宋体" w:cs="宋体"/>
          <w:szCs w:val="21"/>
        </w:rPr>
      </w:pPr>
      <w:r>
        <w:rPr>
          <w:rFonts w:hAnsi="宋体" w:cs="宋体" w:hint="eastAsia"/>
          <w:szCs w:val="21"/>
        </w:rPr>
        <w:t>3、资产管理计划委托募集所涉风险</w:t>
      </w:r>
    </w:p>
    <w:p w14:paraId="423000E0" w14:textId="77777777" w:rsidR="00D4368C" w:rsidRDefault="001710E2">
      <w:pPr>
        <w:pStyle w:val="a3"/>
        <w:spacing w:line="360" w:lineRule="auto"/>
        <w:ind w:firstLine="420"/>
        <w:rPr>
          <w:rFonts w:hAnsi="宋体" w:cs="宋体"/>
          <w:szCs w:val="21"/>
        </w:rPr>
      </w:pPr>
      <w:r>
        <w:rPr>
          <w:rFonts w:hAnsi="宋体" w:cs="宋体" w:hint="eastAsia"/>
          <w:szCs w:val="21"/>
        </w:rPr>
        <w:t>资产管理计划由管理人委托代理销售机构进行募集的，相关投资者适当性工作亦由管理人委托的代理销售机构进行核查验证，代理销售机构未能尽职核查的，可能会对投资者产生不利影响。因资产管理人、管理人委托的代理销售机构过错或过失导致</w:t>
      </w:r>
      <w:proofErr w:type="gramStart"/>
      <w:r>
        <w:rPr>
          <w:rFonts w:hAnsi="宋体" w:cs="宋体" w:hint="eastAsia"/>
          <w:szCs w:val="21"/>
        </w:rPr>
        <w:t>本资产</w:t>
      </w:r>
      <w:proofErr w:type="gramEnd"/>
      <w:r>
        <w:rPr>
          <w:rFonts w:hAnsi="宋体" w:cs="宋体" w:hint="eastAsia"/>
          <w:szCs w:val="21"/>
        </w:rPr>
        <w:t>管理计划下的损失，由相关责任方承担相应的责任。</w:t>
      </w:r>
    </w:p>
    <w:p w14:paraId="469E5EC7" w14:textId="77777777" w:rsidR="00D4368C" w:rsidRDefault="001710E2">
      <w:pPr>
        <w:pStyle w:val="a3"/>
        <w:spacing w:line="360" w:lineRule="auto"/>
        <w:ind w:firstLine="420"/>
        <w:rPr>
          <w:rFonts w:hAnsi="宋体" w:cs="宋体"/>
          <w:szCs w:val="21"/>
        </w:rPr>
      </w:pPr>
      <w:r>
        <w:rPr>
          <w:rFonts w:hAnsi="宋体" w:cs="宋体" w:hint="eastAsia"/>
          <w:szCs w:val="21"/>
        </w:rPr>
        <w:t>4、资产管理计划外包事项所涉风险</w:t>
      </w:r>
    </w:p>
    <w:p w14:paraId="44A6C41F" w14:textId="77777777" w:rsidR="00D4368C" w:rsidRDefault="001710E2">
      <w:pPr>
        <w:pStyle w:val="a3"/>
        <w:spacing w:line="360" w:lineRule="auto"/>
        <w:ind w:firstLine="420"/>
        <w:rPr>
          <w:rFonts w:hAnsi="宋体" w:cs="宋体"/>
          <w:szCs w:val="21"/>
        </w:rPr>
      </w:pPr>
      <w:r>
        <w:rPr>
          <w:rFonts w:hAnsi="宋体" w:cs="宋体" w:hint="eastAsia"/>
          <w:szCs w:val="21"/>
        </w:rPr>
        <w:t>资产管理人可委托具备相应资质的外包服务机构【光大证券股份有限公司】提供份额登记和估值核算服务</w:t>
      </w:r>
      <w:proofErr w:type="gramStart"/>
      <w:r>
        <w:rPr>
          <w:rFonts w:hAnsi="宋体" w:cs="宋体" w:hint="eastAsia"/>
          <w:szCs w:val="21"/>
        </w:rPr>
        <w:t>等资管计划</w:t>
      </w:r>
      <w:proofErr w:type="gramEnd"/>
      <w:r>
        <w:rPr>
          <w:rFonts w:hAnsi="宋体" w:cs="宋体" w:hint="eastAsia"/>
          <w:szCs w:val="21"/>
        </w:rPr>
        <w:t>外包服务。外包服务机构相信其本身将按照相关法律的规定进行营运及管理，但无法保证其本身可以永久维持符合监管部门的金融监管法律。如在计划存续期间外包服务机构无法继续从事</w:t>
      </w:r>
      <w:proofErr w:type="gramStart"/>
      <w:r>
        <w:rPr>
          <w:rFonts w:hAnsi="宋体" w:cs="宋体" w:hint="eastAsia"/>
          <w:szCs w:val="21"/>
        </w:rPr>
        <w:t>资管计划</w:t>
      </w:r>
      <w:proofErr w:type="gramEnd"/>
      <w:r>
        <w:rPr>
          <w:rFonts w:hAnsi="宋体" w:cs="宋体" w:hint="eastAsia"/>
          <w:szCs w:val="21"/>
        </w:rPr>
        <w:t>外包服务，则可能会对</w:t>
      </w:r>
      <w:proofErr w:type="gramStart"/>
      <w:r>
        <w:rPr>
          <w:rFonts w:hAnsi="宋体" w:cs="宋体" w:hint="eastAsia"/>
          <w:szCs w:val="21"/>
        </w:rPr>
        <w:t>资管计划</w:t>
      </w:r>
      <w:proofErr w:type="gramEnd"/>
      <w:r>
        <w:rPr>
          <w:rFonts w:hAnsi="宋体" w:cs="宋体" w:hint="eastAsia"/>
          <w:szCs w:val="21"/>
        </w:rPr>
        <w:t>产生不利影响。</w:t>
      </w:r>
    </w:p>
    <w:p w14:paraId="4CBEAC35" w14:textId="77777777" w:rsidR="00D4368C" w:rsidRDefault="001710E2">
      <w:pPr>
        <w:pStyle w:val="a3"/>
        <w:spacing w:line="360" w:lineRule="auto"/>
        <w:ind w:firstLine="420"/>
        <w:rPr>
          <w:rFonts w:hAnsi="宋体" w:cs="宋体"/>
          <w:szCs w:val="21"/>
        </w:rPr>
      </w:pPr>
      <w:r>
        <w:rPr>
          <w:rFonts w:hAnsi="宋体" w:cs="宋体" w:hint="eastAsia"/>
          <w:szCs w:val="21"/>
        </w:rPr>
        <w:t>5、资产管理计划聘请投资顾问所涉风险</w:t>
      </w:r>
    </w:p>
    <w:p w14:paraId="49E14A04" w14:textId="77777777" w:rsidR="00D4368C" w:rsidRDefault="001710E2">
      <w:pPr>
        <w:pStyle w:val="a3"/>
        <w:spacing w:line="360" w:lineRule="auto"/>
        <w:ind w:firstLine="420"/>
        <w:rPr>
          <w:rFonts w:hAnsi="宋体" w:cs="宋体"/>
          <w:szCs w:val="21"/>
        </w:rPr>
      </w:pPr>
      <w:r>
        <w:rPr>
          <w:rFonts w:hAnsi="宋体" w:cs="宋体" w:hint="eastAsia"/>
          <w:szCs w:val="21"/>
        </w:rPr>
        <w:t>不适用。</w:t>
      </w:r>
    </w:p>
    <w:p w14:paraId="62E15058" w14:textId="77777777" w:rsidR="00D4368C" w:rsidRDefault="001710E2">
      <w:pPr>
        <w:pStyle w:val="a3"/>
        <w:spacing w:line="360" w:lineRule="auto"/>
        <w:ind w:firstLine="420"/>
        <w:rPr>
          <w:rFonts w:hAnsi="宋体" w:cs="宋体"/>
          <w:szCs w:val="21"/>
        </w:rPr>
      </w:pPr>
      <w:r>
        <w:rPr>
          <w:rFonts w:hAnsi="宋体" w:cs="宋体" w:hint="eastAsia"/>
          <w:szCs w:val="21"/>
        </w:rPr>
        <w:t>6、资产管理计划份额转让所涉风险</w:t>
      </w:r>
    </w:p>
    <w:p w14:paraId="78D43873" w14:textId="77777777" w:rsidR="00D4368C" w:rsidRDefault="001710E2">
      <w:pPr>
        <w:pStyle w:val="a3"/>
        <w:spacing w:line="360" w:lineRule="auto"/>
        <w:ind w:firstLine="420"/>
        <w:rPr>
          <w:rFonts w:hAnsi="宋体" w:cs="宋体"/>
          <w:szCs w:val="21"/>
        </w:rPr>
      </w:pPr>
      <w:r>
        <w:rPr>
          <w:rFonts w:hAnsi="宋体" w:cs="宋体" w:hint="eastAsia"/>
          <w:szCs w:val="21"/>
        </w:rPr>
        <w:t>在具备可行条件且经管理人公告或通知后，投资者可以按照法律法规及资产管理合同的规定进行份额转让。资产管理计划份额转让的交易平台可以是证券交易所，也可以是中国证监会认可的其他交易平台。</w:t>
      </w:r>
    </w:p>
    <w:p w14:paraId="008696FB" w14:textId="77777777" w:rsidR="00D4368C" w:rsidRDefault="001710E2">
      <w:pPr>
        <w:pStyle w:val="a3"/>
        <w:spacing w:line="360" w:lineRule="auto"/>
        <w:ind w:firstLine="420"/>
        <w:rPr>
          <w:rFonts w:hAnsi="宋体" w:cs="宋体"/>
          <w:szCs w:val="21"/>
        </w:rPr>
      </w:pPr>
      <w:r>
        <w:rPr>
          <w:rFonts w:hAnsi="宋体" w:cs="宋体" w:hint="eastAsia"/>
          <w:szCs w:val="21"/>
        </w:rPr>
        <w:t>受限于份额受让方须满足合格投资者要求、投资者合计不得超过200人以及届时计划份额流动性不足等相关限制因素的影响，都可能导致投资者届时可能无法顺利及时转让其所持有的计划份额。而且，计划份额转让须遵守交易场所的相关规定及要求，并按资产管理人的规定办理份额变更登记手续。由此，在办理该等份额转让过程中，投资者须履行相关程序性要求并不排除需要支付相关份额转让费用。</w:t>
      </w:r>
    </w:p>
    <w:p w14:paraId="465AD0C2" w14:textId="77777777" w:rsidR="00D4368C" w:rsidRDefault="001710E2">
      <w:pPr>
        <w:pStyle w:val="a3"/>
        <w:spacing w:line="360" w:lineRule="auto"/>
        <w:ind w:firstLine="420"/>
        <w:rPr>
          <w:rFonts w:hAnsi="宋体" w:cs="宋体"/>
          <w:szCs w:val="21"/>
        </w:rPr>
      </w:pPr>
      <w:r>
        <w:rPr>
          <w:rFonts w:hAnsi="宋体" w:cs="宋体" w:hint="eastAsia"/>
          <w:szCs w:val="21"/>
        </w:rPr>
        <w:t>7、资产管理计划设置份额持有人大会所涉风险</w:t>
      </w:r>
    </w:p>
    <w:p w14:paraId="25077773" w14:textId="77777777" w:rsidR="00D4368C" w:rsidRDefault="001710E2">
      <w:pPr>
        <w:pStyle w:val="a3"/>
        <w:spacing w:line="360" w:lineRule="auto"/>
        <w:ind w:firstLine="420"/>
        <w:rPr>
          <w:rFonts w:hAnsi="宋体" w:cs="宋体"/>
          <w:szCs w:val="21"/>
        </w:rPr>
      </w:pPr>
      <w:r>
        <w:rPr>
          <w:rFonts w:hAnsi="宋体" w:cs="宋体" w:hint="eastAsia"/>
          <w:szCs w:val="21"/>
        </w:rPr>
        <w:t>不适用。</w:t>
      </w:r>
    </w:p>
    <w:p w14:paraId="2A7E34F8" w14:textId="77777777" w:rsidR="00D4368C" w:rsidRDefault="001710E2">
      <w:pPr>
        <w:pStyle w:val="a3"/>
        <w:spacing w:line="360" w:lineRule="auto"/>
        <w:ind w:firstLine="420"/>
        <w:rPr>
          <w:rFonts w:hAnsi="宋体" w:cs="宋体"/>
          <w:szCs w:val="21"/>
        </w:rPr>
      </w:pPr>
      <w:r>
        <w:rPr>
          <w:rFonts w:hAnsi="宋体" w:cs="宋体" w:hint="eastAsia"/>
          <w:szCs w:val="21"/>
        </w:rPr>
        <w:t>8、资产管理计划未在证券投资基金业协会完成备案手续或不予备案情形所涉风险</w:t>
      </w:r>
    </w:p>
    <w:p w14:paraId="46C2DECB"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14:paraId="3CE9DD46" w14:textId="77777777" w:rsidR="00D4368C" w:rsidRDefault="001710E2">
      <w:pPr>
        <w:pStyle w:val="a3"/>
        <w:spacing w:line="360" w:lineRule="auto"/>
        <w:ind w:firstLine="420"/>
        <w:rPr>
          <w:rFonts w:hAnsi="宋体" w:cs="宋体"/>
          <w:szCs w:val="21"/>
        </w:rPr>
      </w:pPr>
      <w:r>
        <w:rPr>
          <w:rFonts w:hAnsi="宋体" w:cs="宋体" w:hint="eastAsia"/>
          <w:szCs w:val="21"/>
        </w:rPr>
        <w:t xml:space="preserve">因此，即使本计划成立，并不意味着本计划必然能获得基金业协会的备案。而该等备案过程可能会受到相应监管政策的影响，包括备案时间所需时间、能否通过备案都存在一定的不确定性, </w:t>
      </w:r>
      <w:proofErr w:type="gramStart"/>
      <w:r>
        <w:rPr>
          <w:rFonts w:hAnsi="宋体" w:cs="宋体" w:hint="eastAsia"/>
          <w:szCs w:val="21"/>
        </w:rPr>
        <w:t>故资产</w:t>
      </w:r>
      <w:proofErr w:type="gramEnd"/>
      <w:r>
        <w:rPr>
          <w:rFonts w:hAnsi="宋体" w:cs="宋体" w:hint="eastAsia"/>
          <w:szCs w:val="21"/>
        </w:rPr>
        <w:t>管理计划存在备案期限延长或备案不通过的风险。</w:t>
      </w:r>
    </w:p>
    <w:p w14:paraId="72DAA3DD" w14:textId="77777777" w:rsidR="00D4368C" w:rsidRDefault="001710E2">
      <w:pPr>
        <w:pStyle w:val="a3"/>
        <w:spacing w:line="360" w:lineRule="auto"/>
        <w:ind w:firstLine="420"/>
        <w:rPr>
          <w:rFonts w:hAnsi="宋体" w:cs="宋体"/>
          <w:szCs w:val="21"/>
        </w:rPr>
      </w:pPr>
      <w:r>
        <w:rPr>
          <w:rFonts w:hAnsi="宋体" w:cs="宋体" w:hint="eastAsia"/>
          <w:szCs w:val="21"/>
        </w:rPr>
        <w:t>如果在计划成立后不能及时完成备案，将可能导致本计划错过市场行情或投资机会；如果本计划在成立后无法获得基金业协会的备案或不予备案，则将直接影响本计划设立目的的实现。当出现无法通过基金业协会备案或不予备案的情形，本计划提前终止，由此直接影响资产委托人参与本计划的投资目的。</w:t>
      </w:r>
    </w:p>
    <w:p w14:paraId="48CD4288" w14:textId="77777777" w:rsidR="00D4368C" w:rsidRDefault="001710E2">
      <w:pPr>
        <w:pStyle w:val="a3"/>
        <w:spacing w:line="360" w:lineRule="auto"/>
        <w:ind w:firstLine="420"/>
        <w:rPr>
          <w:rFonts w:hAnsi="宋体" w:cs="宋体"/>
          <w:szCs w:val="21"/>
        </w:rPr>
      </w:pPr>
      <w:r>
        <w:rPr>
          <w:rFonts w:hAnsi="宋体" w:cs="宋体" w:hint="eastAsia"/>
          <w:szCs w:val="21"/>
        </w:rPr>
        <w:t>9、特定的投资方法及资产管理计划财产所投资的特定投资对象可能引起的特定风险</w:t>
      </w:r>
    </w:p>
    <w:p w14:paraId="057E2EF5" w14:textId="77777777" w:rsidR="00D4368C" w:rsidRDefault="001710E2">
      <w:pPr>
        <w:pStyle w:val="a3"/>
        <w:spacing w:line="360" w:lineRule="auto"/>
        <w:ind w:firstLine="420"/>
        <w:rPr>
          <w:rFonts w:hAnsi="宋体" w:cs="宋体"/>
          <w:szCs w:val="21"/>
        </w:rPr>
      </w:pPr>
      <w:r>
        <w:rPr>
          <w:rFonts w:hAnsi="宋体" w:cs="宋体" w:hint="eastAsia"/>
          <w:szCs w:val="21"/>
        </w:rPr>
        <w:t xml:space="preserve">（1）盯市结算风险 </w:t>
      </w:r>
    </w:p>
    <w:p w14:paraId="54DC0E6C" w14:textId="77777777" w:rsidR="00D4368C" w:rsidRDefault="001710E2">
      <w:pPr>
        <w:pStyle w:val="a3"/>
        <w:spacing w:line="360" w:lineRule="auto"/>
        <w:ind w:firstLine="420"/>
        <w:rPr>
          <w:rFonts w:hAnsi="宋体" w:cs="宋体"/>
          <w:szCs w:val="21"/>
        </w:rPr>
      </w:pPr>
      <w:r>
        <w:rPr>
          <w:rFonts w:hAnsi="宋体" w:cs="宋体" w:hint="eastAsia"/>
          <w:szCs w:val="21"/>
        </w:rPr>
        <w:t xml:space="preserve">期货采取保证金交易，保证金账户实行当日无负债结算制度，对资金管理要求较高。假如市场走势对本计划财产不利，期货经纪公司会按照期货经纪合同约定的时间和方式通知资产管理人追加保证金，以使资产管理计划财产能继续持有未平仓合约。如出现极端行情，市场持续向不利方向波动导致期货保证金不足，又未能在规定时间内补足，按规定保证金账户将被强制平仓，甚至已缴付的所有保证金都不能弥补损失，从而导致超出预期的损失。 </w:t>
      </w:r>
    </w:p>
    <w:p w14:paraId="19221F87" w14:textId="77777777" w:rsidR="00D4368C" w:rsidRDefault="001710E2">
      <w:pPr>
        <w:pStyle w:val="a3"/>
        <w:spacing w:line="360" w:lineRule="auto"/>
        <w:ind w:firstLine="420"/>
        <w:rPr>
          <w:rFonts w:hAnsi="宋体" w:cs="宋体"/>
          <w:szCs w:val="21"/>
        </w:rPr>
      </w:pPr>
      <w:r>
        <w:rPr>
          <w:rFonts w:hAnsi="宋体" w:cs="宋体" w:hint="eastAsia"/>
          <w:szCs w:val="21"/>
        </w:rPr>
        <w:t xml:space="preserve">（2）平仓风险 </w:t>
      </w:r>
    </w:p>
    <w:p w14:paraId="4D202CCC" w14:textId="77777777" w:rsidR="00D4368C" w:rsidRDefault="001710E2">
      <w:pPr>
        <w:pStyle w:val="a3"/>
        <w:spacing w:line="360" w:lineRule="auto"/>
        <w:ind w:firstLine="420"/>
        <w:rPr>
          <w:rFonts w:hAnsi="宋体" w:cs="宋体"/>
          <w:szCs w:val="21"/>
        </w:rPr>
      </w:pPr>
      <w:r>
        <w:rPr>
          <w:rFonts w:hAnsi="宋体" w:cs="宋体" w:hint="eastAsia"/>
          <w:szCs w:val="21"/>
        </w:rPr>
        <w:t>在某些市场情况下，计划财产可能会难以或无法将持有的未平仓合约平仓，例如，这种情况可能在市场达到涨跌停板时出现。出现这类情况，计划财产缴付的所有保证金有可能无法弥补全部损失，委托人还必须承担由此导致的损失。期货经纪公司或其客户保证金不足，又未能在规定的时间内补足，或因其他原因导致期货交易所对期货经纪公司的经纪账户强行平仓，资产管理计划财产可能因被连带强行平仓而遭受损失。因管理</w:t>
      </w:r>
      <w:proofErr w:type="gramStart"/>
      <w:r>
        <w:rPr>
          <w:rFonts w:hAnsi="宋体" w:cs="宋体" w:hint="eastAsia"/>
          <w:szCs w:val="21"/>
        </w:rPr>
        <w:t>人原因</w:t>
      </w:r>
      <w:proofErr w:type="gramEnd"/>
      <w:r>
        <w:rPr>
          <w:rFonts w:hAnsi="宋体" w:cs="宋体" w:hint="eastAsia"/>
          <w:szCs w:val="21"/>
        </w:rPr>
        <w:t xml:space="preserve">未在规定时间内补足保证金导致被强制平仓，给投资者造成的损失由管理人承担。 </w:t>
      </w:r>
    </w:p>
    <w:p w14:paraId="66637522" w14:textId="77777777" w:rsidR="00D4368C" w:rsidRDefault="001710E2">
      <w:pPr>
        <w:pStyle w:val="a3"/>
        <w:spacing w:line="360" w:lineRule="auto"/>
        <w:ind w:firstLine="420"/>
        <w:rPr>
          <w:rFonts w:hAnsi="宋体" w:cs="宋体"/>
          <w:szCs w:val="21"/>
        </w:rPr>
      </w:pPr>
      <w:r>
        <w:rPr>
          <w:rFonts w:hAnsi="宋体" w:cs="宋体" w:hint="eastAsia"/>
          <w:szCs w:val="21"/>
        </w:rPr>
        <w:t>（3）债券回购风险</w:t>
      </w:r>
    </w:p>
    <w:p w14:paraId="10919031" w14:textId="77777777" w:rsidR="00D4368C" w:rsidRDefault="001710E2">
      <w:pPr>
        <w:pStyle w:val="a3"/>
        <w:spacing w:line="360" w:lineRule="auto"/>
        <w:ind w:firstLine="420"/>
        <w:rPr>
          <w:rFonts w:hAnsi="宋体" w:cs="宋体"/>
          <w:szCs w:val="21"/>
        </w:rPr>
      </w:pPr>
      <w:r>
        <w:rPr>
          <w:rFonts w:hAnsi="宋体" w:cs="宋体"/>
          <w:szCs w:val="21"/>
        </w:rPr>
        <w:t>债券回购为提升整体投资组合收益提供了可能，但也存在一定的风险。债券回购的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w:t>
      </w:r>
      <w:r>
        <w:rPr>
          <w:rFonts w:hAnsi="宋体" w:cs="宋体"/>
          <w:szCs w:val="21"/>
        </w:rPr>
        <w:lastRenderedPageBreak/>
        <w:t>差）进行了放大，即投资组合的风险将会加大。回购比例越高，风险暴露程度也就越高，对计划净值造成损失的可能性也就越大。</w:t>
      </w:r>
    </w:p>
    <w:p w14:paraId="3B555E6D" w14:textId="77777777" w:rsidR="00D4368C" w:rsidRDefault="001710E2">
      <w:pPr>
        <w:pStyle w:val="a3"/>
        <w:spacing w:line="360" w:lineRule="auto"/>
        <w:ind w:firstLine="420"/>
        <w:rPr>
          <w:rFonts w:hAnsi="宋体" w:cs="宋体"/>
          <w:szCs w:val="21"/>
        </w:rPr>
      </w:pPr>
      <w:r>
        <w:rPr>
          <w:rFonts w:hAnsi="宋体" w:cs="宋体" w:hint="eastAsia"/>
          <w:szCs w:val="21"/>
        </w:rPr>
        <w:t>10、本计划展期或提前终止的风险</w:t>
      </w:r>
    </w:p>
    <w:p w14:paraId="55143F08" w14:textId="77777777" w:rsidR="00D4368C" w:rsidRDefault="001710E2">
      <w:pPr>
        <w:pStyle w:val="a3"/>
        <w:spacing w:line="360" w:lineRule="auto"/>
        <w:ind w:firstLine="420"/>
        <w:rPr>
          <w:rFonts w:hAnsi="宋体" w:cs="宋体"/>
          <w:szCs w:val="21"/>
        </w:rPr>
      </w:pPr>
      <w:r>
        <w:rPr>
          <w:rFonts w:hAnsi="宋体" w:cs="宋体" w:hint="eastAsia"/>
          <w:szCs w:val="21"/>
        </w:rPr>
        <w:t>若发生本计划约定展期或提前终止情形时，将可能导致资产委托人无法按照预期安排委托财产投资或无法按时收回委托财产或委托财产收回金额不及预期等风险。</w:t>
      </w:r>
    </w:p>
    <w:p w14:paraId="04C30208" w14:textId="77777777" w:rsidR="00D4368C" w:rsidRDefault="001710E2">
      <w:pPr>
        <w:pStyle w:val="a3"/>
        <w:spacing w:line="360" w:lineRule="auto"/>
        <w:ind w:firstLine="420"/>
        <w:rPr>
          <w:rFonts w:hAnsi="宋体" w:cs="宋体"/>
          <w:szCs w:val="21"/>
        </w:rPr>
      </w:pPr>
      <w:r>
        <w:rPr>
          <w:rFonts w:hAnsi="宋体" w:cs="宋体" w:hint="eastAsia"/>
          <w:szCs w:val="21"/>
        </w:rPr>
        <w:t>11、预警止损的风险</w:t>
      </w:r>
    </w:p>
    <w:p w14:paraId="4831A481" w14:textId="77777777" w:rsidR="00D4368C" w:rsidRDefault="001710E2">
      <w:pPr>
        <w:pStyle w:val="a3"/>
        <w:spacing w:line="360" w:lineRule="auto"/>
        <w:ind w:firstLine="420"/>
        <w:rPr>
          <w:rFonts w:hAnsi="宋体" w:cs="宋体"/>
          <w:szCs w:val="21"/>
        </w:rPr>
      </w:pPr>
      <w:r>
        <w:rPr>
          <w:rFonts w:hAnsi="宋体" w:cs="宋体" w:hint="eastAsia"/>
          <w:szCs w:val="21"/>
        </w:rPr>
        <w:t>本计划虽然设定了预警机制，但该等预警线并不代表本计划最终实际净值。本计划不设置止损操作，计划资产可能发生大幅亏损，甚至本金全部损失。</w:t>
      </w:r>
    </w:p>
    <w:p w14:paraId="3380BA29" w14:textId="77777777" w:rsidR="00D4368C" w:rsidRDefault="001710E2">
      <w:pPr>
        <w:pStyle w:val="a3"/>
        <w:spacing w:line="360" w:lineRule="auto"/>
        <w:ind w:firstLine="420"/>
        <w:rPr>
          <w:rFonts w:hAnsi="宋体" w:cs="宋体"/>
          <w:szCs w:val="21"/>
        </w:rPr>
      </w:pPr>
      <w:r>
        <w:rPr>
          <w:rFonts w:hAnsi="宋体" w:cs="宋体" w:hint="eastAsia"/>
          <w:szCs w:val="21"/>
        </w:rPr>
        <w:t>（二）一般风险揭示</w:t>
      </w:r>
    </w:p>
    <w:p w14:paraId="6C7293CE" w14:textId="77777777" w:rsidR="00D4368C" w:rsidRDefault="001710E2">
      <w:pPr>
        <w:pStyle w:val="a3"/>
        <w:spacing w:line="360" w:lineRule="auto"/>
        <w:ind w:firstLine="420"/>
        <w:rPr>
          <w:rFonts w:hAnsi="宋体" w:cs="宋体"/>
          <w:szCs w:val="21"/>
        </w:rPr>
      </w:pPr>
      <w:r>
        <w:rPr>
          <w:rFonts w:hAnsi="宋体" w:cs="宋体" w:hint="eastAsia"/>
          <w:szCs w:val="21"/>
        </w:rPr>
        <w:t>1、本金损失风险</w:t>
      </w:r>
    </w:p>
    <w:p w14:paraId="029D28AC" w14:textId="77777777" w:rsidR="00D4368C" w:rsidRDefault="001710E2">
      <w:pPr>
        <w:pStyle w:val="a3"/>
        <w:spacing w:line="360" w:lineRule="auto"/>
        <w:ind w:firstLine="420"/>
        <w:rPr>
          <w:rFonts w:hAnsi="宋体" w:cs="宋体"/>
          <w:szCs w:val="21"/>
        </w:rPr>
      </w:pPr>
      <w:r>
        <w:rPr>
          <w:rFonts w:hAnsi="宋体" w:cs="宋体" w:hint="eastAsia"/>
          <w:szCs w:val="21"/>
        </w:rPr>
        <w:t xml:space="preserve">管理人依照恪尽职守、诚实信用、谨慎勤勉的原则管理和运用计划财产，但不保证计划财产中的认购/参与资金本金不受损失，也不保证一定盈利及最低收益。 </w:t>
      </w:r>
    </w:p>
    <w:p w14:paraId="622DF213" w14:textId="77777777" w:rsidR="00D4368C" w:rsidRDefault="001710E2">
      <w:pPr>
        <w:pStyle w:val="a3"/>
        <w:spacing w:line="360" w:lineRule="auto"/>
        <w:ind w:firstLine="420"/>
        <w:rPr>
          <w:rFonts w:hAnsi="宋体" w:cs="宋体"/>
          <w:szCs w:val="21"/>
        </w:rPr>
      </w:pPr>
      <w:r>
        <w:rPr>
          <w:rFonts w:hAnsi="宋体" w:cs="宋体" w:hint="eastAsia"/>
          <w:szCs w:val="21"/>
        </w:rPr>
        <w:t>在发生揭示的风险及其他尚不能预知的风险而导致本计划项下计划财产重大损失的，委托人可能发生委托本金损失的风险。</w:t>
      </w:r>
    </w:p>
    <w:p w14:paraId="17ACA776" w14:textId="77777777" w:rsidR="00D4368C" w:rsidRDefault="001710E2">
      <w:pPr>
        <w:pStyle w:val="a3"/>
        <w:spacing w:line="360" w:lineRule="auto"/>
        <w:ind w:firstLine="420"/>
        <w:rPr>
          <w:rFonts w:hAnsi="宋体" w:cs="宋体"/>
          <w:b/>
          <w:bCs/>
          <w:szCs w:val="21"/>
        </w:rPr>
      </w:pPr>
      <w:r>
        <w:rPr>
          <w:rFonts w:hAnsi="宋体" w:cs="宋体" w:hint="eastAsia"/>
          <w:b/>
          <w:bCs/>
          <w:szCs w:val="21"/>
        </w:rPr>
        <w:t xml:space="preserve">本计划属于【R4】投资品种，适合风险识别、评估、承受能力【C4、C5、专业投资者】的合格投资者。 </w:t>
      </w:r>
    </w:p>
    <w:p w14:paraId="55A11B34" w14:textId="77777777" w:rsidR="00D4368C" w:rsidRDefault="001710E2">
      <w:pPr>
        <w:pStyle w:val="a3"/>
        <w:spacing w:line="360" w:lineRule="auto"/>
        <w:ind w:firstLine="420"/>
        <w:rPr>
          <w:rFonts w:hAnsi="宋体" w:cs="宋体"/>
          <w:szCs w:val="21"/>
        </w:rPr>
      </w:pPr>
      <w:r>
        <w:rPr>
          <w:rFonts w:hAnsi="宋体" w:cs="宋体" w:hint="eastAsia"/>
          <w:szCs w:val="21"/>
        </w:rPr>
        <w:t xml:space="preserve">2、市场风险 </w:t>
      </w:r>
    </w:p>
    <w:p w14:paraId="209D82B8" w14:textId="77777777" w:rsidR="00D4368C" w:rsidRDefault="001710E2">
      <w:pPr>
        <w:pStyle w:val="a3"/>
        <w:spacing w:line="360" w:lineRule="auto"/>
        <w:ind w:firstLine="420"/>
        <w:rPr>
          <w:rFonts w:hAnsi="宋体" w:cs="宋体"/>
          <w:szCs w:val="21"/>
        </w:rPr>
      </w:pPr>
      <w:r>
        <w:rPr>
          <w:rFonts w:hAnsi="宋体" w:cs="宋体" w:hint="eastAsia"/>
          <w:szCs w:val="21"/>
        </w:rPr>
        <w:t xml:space="preserve">资产管理计划的投资品种价格因受到经济因素、政治因素、投资心理和交易制度等各种因素的影响，导致委托财产收益水平变化，产生风险，主要包括： </w:t>
      </w:r>
    </w:p>
    <w:p w14:paraId="55AC84BD" w14:textId="77777777" w:rsidR="00D4368C" w:rsidRDefault="001710E2">
      <w:pPr>
        <w:pStyle w:val="a3"/>
        <w:spacing w:line="360" w:lineRule="auto"/>
        <w:ind w:firstLine="420"/>
        <w:rPr>
          <w:rFonts w:hAnsi="宋体" w:cs="宋体"/>
          <w:szCs w:val="21"/>
        </w:rPr>
      </w:pPr>
      <w:r>
        <w:rPr>
          <w:rFonts w:hAnsi="宋体" w:cs="宋体" w:hint="eastAsia"/>
          <w:szCs w:val="21"/>
        </w:rPr>
        <w:t xml:space="preserve">（1）政策风险 </w:t>
      </w:r>
    </w:p>
    <w:p w14:paraId="566D33D4" w14:textId="77777777" w:rsidR="00D4368C" w:rsidRDefault="001710E2">
      <w:pPr>
        <w:pStyle w:val="a3"/>
        <w:spacing w:line="360" w:lineRule="auto"/>
        <w:ind w:firstLine="420"/>
        <w:rPr>
          <w:rFonts w:hAnsi="宋体" w:cs="宋体"/>
          <w:szCs w:val="21"/>
        </w:rPr>
      </w:pPr>
      <w:r>
        <w:rPr>
          <w:rFonts w:hAnsi="宋体" w:cs="宋体" w:hint="eastAsia"/>
          <w:szCs w:val="21"/>
        </w:rPr>
        <w:t xml:space="preserve">因国家宏观政策（如货币政策、财政政策、行业政策、地区发展政策等）发生变化，导致市场价格波动而产生风险。 </w:t>
      </w:r>
    </w:p>
    <w:p w14:paraId="366A3ECF" w14:textId="77777777" w:rsidR="00D4368C" w:rsidRDefault="001710E2">
      <w:pPr>
        <w:pStyle w:val="a3"/>
        <w:spacing w:line="360" w:lineRule="auto"/>
        <w:ind w:firstLine="420"/>
        <w:rPr>
          <w:rFonts w:hAnsi="宋体" w:cs="宋体"/>
          <w:szCs w:val="21"/>
        </w:rPr>
      </w:pPr>
      <w:r>
        <w:rPr>
          <w:rFonts w:hAnsi="宋体" w:cs="宋体" w:hint="eastAsia"/>
          <w:szCs w:val="21"/>
        </w:rPr>
        <w:t xml:space="preserve">（2）经济周期风险 </w:t>
      </w:r>
    </w:p>
    <w:p w14:paraId="24F8492B" w14:textId="77777777" w:rsidR="00D4368C" w:rsidRDefault="001710E2">
      <w:pPr>
        <w:pStyle w:val="a3"/>
        <w:spacing w:line="360" w:lineRule="auto"/>
        <w:ind w:firstLine="420"/>
        <w:rPr>
          <w:rFonts w:hAnsi="宋体" w:cs="宋体"/>
          <w:szCs w:val="21"/>
        </w:rPr>
      </w:pPr>
      <w:r>
        <w:rPr>
          <w:rFonts w:hAnsi="宋体" w:cs="宋体" w:hint="eastAsia"/>
          <w:szCs w:val="21"/>
        </w:rPr>
        <w:t xml:space="preserve">随经济运行的周期性变化，证券、期货市场的收益水平也呈周期性变化。委托财产投资于债券与上市公司的股票，收益水平也会随之变化，从而产生风险。 </w:t>
      </w:r>
    </w:p>
    <w:p w14:paraId="641BB269" w14:textId="77777777" w:rsidR="00D4368C" w:rsidRDefault="001710E2">
      <w:pPr>
        <w:pStyle w:val="a3"/>
        <w:spacing w:line="360" w:lineRule="auto"/>
        <w:ind w:firstLine="420"/>
        <w:rPr>
          <w:rFonts w:hAnsi="宋体" w:cs="宋体"/>
          <w:szCs w:val="21"/>
        </w:rPr>
      </w:pPr>
      <w:r>
        <w:rPr>
          <w:rFonts w:hAnsi="宋体" w:cs="宋体" w:hint="eastAsia"/>
          <w:szCs w:val="21"/>
        </w:rPr>
        <w:t xml:space="preserve">（3）利率风险 </w:t>
      </w:r>
    </w:p>
    <w:p w14:paraId="15986467" w14:textId="77777777" w:rsidR="00D4368C" w:rsidRDefault="001710E2">
      <w:pPr>
        <w:pStyle w:val="a3"/>
        <w:spacing w:line="360" w:lineRule="auto"/>
        <w:ind w:firstLine="420"/>
        <w:rPr>
          <w:rFonts w:hAnsi="宋体" w:cs="宋体"/>
          <w:szCs w:val="21"/>
        </w:rPr>
      </w:pPr>
      <w:r>
        <w:rPr>
          <w:rFonts w:hAnsi="宋体" w:cs="宋体" w:hint="eastAsia"/>
          <w:szCs w:val="21"/>
        </w:rPr>
        <w:t xml:space="preserve">金融市场利率的波动会导致证券市场价格和收益率的变动。利率直接影响着债券的价格和收益率，影响着企业的融资成本和利润。委托财产投资于债券和股票，其收益水平会受到利率变化的影响。 </w:t>
      </w:r>
    </w:p>
    <w:p w14:paraId="1250795F"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 xml:space="preserve">（4）上市公司经营风险 </w:t>
      </w:r>
    </w:p>
    <w:p w14:paraId="344CDC99" w14:textId="77777777" w:rsidR="00D4368C" w:rsidRDefault="001710E2">
      <w:pPr>
        <w:pStyle w:val="a3"/>
        <w:spacing w:line="360" w:lineRule="auto"/>
        <w:ind w:firstLine="420"/>
        <w:rPr>
          <w:rFonts w:hAnsi="宋体" w:cs="宋体"/>
          <w:szCs w:val="21"/>
        </w:rPr>
      </w:pPr>
      <w:r>
        <w:rPr>
          <w:rFonts w:hAnsi="宋体" w:cs="宋体" w:hint="eastAsia"/>
          <w:szCs w:val="21"/>
        </w:rPr>
        <w:t xml:space="preserve">上市公司的经营好坏受多种因素影响，如管理能力、财务状况、市场前景、行业竞争、人员素质等，这些都会导致企业的盈利发生变化。如果委托财产所投资的上市公司经营不善，其股票价格可能下跌，或者能够用于分配的利润减少，使委托财产投资收益下降。虽然委托财产可以通过投资多样化来分散这种非系统风险，但不能完全规避。 </w:t>
      </w:r>
    </w:p>
    <w:p w14:paraId="03B79E12" w14:textId="77777777" w:rsidR="00D4368C" w:rsidRDefault="001710E2">
      <w:pPr>
        <w:pStyle w:val="a3"/>
        <w:spacing w:line="360" w:lineRule="auto"/>
        <w:ind w:firstLine="420"/>
        <w:rPr>
          <w:rFonts w:hAnsi="宋体" w:cs="宋体"/>
          <w:szCs w:val="21"/>
        </w:rPr>
      </w:pPr>
      <w:r>
        <w:rPr>
          <w:rFonts w:hAnsi="宋体" w:cs="宋体" w:hint="eastAsia"/>
          <w:szCs w:val="21"/>
        </w:rPr>
        <w:t xml:space="preserve">（5）购买力风险 </w:t>
      </w:r>
    </w:p>
    <w:p w14:paraId="3637CCC4" w14:textId="77777777" w:rsidR="00D4368C" w:rsidRDefault="001710E2">
      <w:pPr>
        <w:pStyle w:val="a3"/>
        <w:spacing w:line="360" w:lineRule="auto"/>
        <w:ind w:firstLine="420"/>
        <w:rPr>
          <w:rFonts w:hAnsi="宋体" w:cs="宋体"/>
          <w:szCs w:val="21"/>
        </w:rPr>
      </w:pPr>
      <w:r>
        <w:rPr>
          <w:rFonts w:hAnsi="宋体" w:cs="宋体" w:hint="eastAsia"/>
          <w:szCs w:val="21"/>
        </w:rPr>
        <w:t xml:space="preserve">委托财产的利润将主要通过现金形式来分配，而现金可能因为通货膨胀的影响而导致购买力下降，从而使委托财产的实际收益下降。 </w:t>
      </w:r>
    </w:p>
    <w:p w14:paraId="15B745D6" w14:textId="77777777" w:rsidR="00D4368C" w:rsidRDefault="001710E2">
      <w:pPr>
        <w:pStyle w:val="a3"/>
        <w:spacing w:line="360" w:lineRule="auto"/>
        <w:ind w:firstLine="420"/>
        <w:rPr>
          <w:rFonts w:hAnsi="宋体" w:cs="宋体"/>
          <w:szCs w:val="21"/>
        </w:rPr>
      </w:pPr>
      <w:r>
        <w:rPr>
          <w:rFonts w:hAnsi="宋体" w:cs="宋体" w:hint="eastAsia"/>
          <w:szCs w:val="21"/>
        </w:rPr>
        <w:t xml:space="preserve">（6）债券收益率曲线风险 </w:t>
      </w:r>
    </w:p>
    <w:p w14:paraId="32FED2EC" w14:textId="77777777" w:rsidR="00D4368C" w:rsidRDefault="001710E2">
      <w:pPr>
        <w:pStyle w:val="a3"/>
        <w:spacing w:line="360" w:lineRule="auto"/>
        <w:ind w:firstLine="420"/>
        <w:rPr>
          <w:rFonts w:hAnsi="宋体" w:cs="宋体"/>
          <w:szCs w:val="21"/>
        </w:rPr>
      </w:pPr>
      <w:r>
        <w:rPr>
          <w:rFonts w:hAnsi="宋体" w:cs="宋体" w:hint="eastAsia"/>
          <w:szCs w:val="21"/>
        </w:rPr>
        <w:t>债券收益率曲线风险是指与收益率曲线非平行移动有关的风险，单一的</w:t>
      </w:r>
      <w:proofErr w:type="gramStart"/>
      <w:r>
        <w:rPr>
          <w:rFonts w:hAnsi="宋体" w:cs="宋体" w:hint="eastAsia"/>
          <w:szCs w:val="21"/>
        </w:rPr>
        <w:t>久期指标</w:t>
      </w:r>
      <w:proofErr w:type="gramEnd"/>
      <w:r>
        <w:rPr>
          <w:rFonts w:hAnsi="宋体" w:cs="宋体" w:hint="eastAsia"/>
          <w:szCs w:val="21"/>
        </w:rPr>
        <w:t xml:space="preserve">并不能充分反映这一风险的存在。 </w:t>
      </w:r>
    </w:p>
    <w:p w14:paraId="74EE79B4" w14:textId="77777777" w:rsidR="00D4368C" w:rsidRDefault="001710E2">
      <w:pPr>
        <w:pStyle w:val="a3"/>
        <w:spacing w:line="360" w:lineRule="auto"/>
        <w:ind w:firstLine="420"/>
        <w:rPr>
          <w:rFonts w:hAnsi="宋体" w:cs="宋体"/>
          <w:szCs w:val="21"/>
        </w:rPr>
      </w:pPr>
      <w:r>
        <w:rPr>
          <w:rFonts w:hAnsi="宋体" w:cs="宋体" w:hint="eastAsia"/>
          <w:szCs w:val="21"/>
        </w:rPr>
        <w:t xml:space="preserve">（7）再投资风险 </w:t>
      </w:r>
    </w:p>
    <w:p w14:paraId="7BBFE3A6" w14:textId="77777777" w:rsidR="00D4368C" w:rsidRDefault="001710E2">
      <w:pPr>
        <w:pStyle w:val="a3"/>
        <w:spacing w:line="360" w:lineRule="auto"/>
        <w:ind w:firstLine="420"/>
        <w:rPr>
          <w:rFonts w:hAnsi="宋体" w:cs="宋体"/>
          <w:szCs w:val="21"/>
        </w:rPr>
      </w:pPr>
      <w:r>
        <w:rPr>
          <w:rFonts w:hAnsi="宋体" w:cs="宋体" w:hint="eastAsia"/>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0B8D61DA" w14:textId="77777777" w:rsidR="00D4368C" w:rsidRDefault="001710E2">
      <w:pPr>
        <w:pStyle w:val="a3"/>
        <w:spacing w:line="360" w:lineRule="auto"/>
        <w:ind w:firstLine="420"/>
        <w:rPr>
          <w:rFonts w:hAnsi="宋体" w:cs="宋体"/>
          <w:szCs w:val="21"/>
        </w:rPr>
      </w:pPr>
      <w:r>
        <w:rPr>
          <w:rFonts w:hAnsi="宋体" w:cs="宋体" w:hint="eastAsia"/>
          <w:szCs w:val="21"/>
        </w:rPr>
        <w:t>（8）衍生品风险</w:t>
      </w:r>
    </w:p>
    <w:p w14:paraId="49EF9620" w14:textId="77777777" w:rsidR="00D4368C" w:rsidRDefault="001710E2">
      <w:pPr>
        <w:pStyle w:val="a3"/>
        <w:spacing w:line="360" w:lineRule="auto"/>
        <w:ind w:firstLine="420"/>
        <w:rPr>
          <w:rFonts w:hAnsi="宋体" w:cs="宋体"/>
          <w:szCs w:val="21"/>
        </w:rPr>
      </w:pPr>
      <w:r>
        <w:rPr>
          <w:rFonts w:hAnsi="宋体" w:cs="宋体" w:hint="eastAsia"/>
          <w:szCs w:val="21"/>
        </w:rPr>
        <w:t>金融衍生品具有的杠杆性、虚拟性、国际性等特性决定了其高风险性，衍生品市场本身所蕴藏的巨大风险。若管理人投资决策失误，可能导致资产管理计划出现损失。</w:t>
      </w:r>
    </w:p>
    <w:p w14:paraId="075F30BB" w14:textId="77777777" w:rsidR="00D4368C" w:rsidRDefault="001710E2">
      <w:pPr>
        <w:pStyle w:val="a3"/>
        <w:spacing w:line="360" w:lineRule="auto"/>
        <w:ind w:firstLine="420"/>
        <w:rPr>
          <w:rFonts w:hAnsi="宋体" w:cs="宋体"/>
          <w:szCs w:val="21"/>
        </w:rPr>
      </w:pPr>
      <w:r>
        <w:rPr>
          <w:rFonts w:hAnsi="宋体" w:cs="宋体" w:hint="eastAsia"/>
          <w:szCs w:val="21"/>
        </w:rPr>
        <w:t>3、管理风险</w:t>
      </w:r>
    </w:p>
    <w:p w14:paraId="69DD2702" w14:textId="77777777" w:rsidR="00D4368C" w:rsidRDefault="001710E2">
      <w:pPr>
        <w:pStyle w:val="a3"/>
        <w:spacing w:line="360" w:lineRule="auto"/>
        <w:ind w:firstLine="420"/>
        <w:rPr>
          <w:rFonts w:hAnsi="宋体" w:cs="宋体"/>
          <w:szCs w:val="21"/>
        </w:rPr>
      </w:pPr>
      <w:r>
        <w:rPr>
          <w:rFonts w:hAnsi="宋体" w:cs="宋体" w:hint="eastAsia"/>
          <w:szCs w:val="21"/>
        </w:rPr>
        <w:t>资产管理计划运作过程中，管理人依据资产管理合同约定管理和运用资产管理计划财产所产生的风险，由资产管理计划财产及投资者承担。投资者应充分知晓投资运营的相关风险，其风险应由投资者自担。资产管理人的研究水平、投资管理水平直接影响委托财产收益水平，如果资产管理人对经济形势和证券、期货市场判断不准确、获取的信息不全、投资操作出现失误，都会影响委托财产的收益水平。但管理人应尽职履责尽量避免上述管理风险的出现。</w:t>
      </w:r>
    </w:p>
    <w:p w14:paraId="642E76F4" w14:textId="77777777" w:rsidR="00D4368C" w:rsidRDefault="001710E2">
      <w:pPr>
        <w:pStyle w:val="a3"/>
        <w:spacing w:line="360" w:lineRule="auto"/>
        <w:ind w:firstLine="420"/>
        <w:rPr>
          <w:rFonts w:hAnsi="宋体" w:cs="宋体"/>
          <w:szCs w:val="21"/>
        </w:rPr>
      </w:pPr>
      <w:r>
        <w:rPr>
          <w:rFonts w:hAnsi="宋体" w:cs="宋体" w:hint="eastAsia"/>
          <w:szCs w:val="21"/>
        </w:rPr>
        <w:t>4、流动性风险</w:t>
      </w:r>
    </w:p>
    <w:p w14:paraId="659658D0" w14:textId="77777777" w:rsidR="00D4368C" w:rsidRDefault="001710E2">
      <w:pPr>
        <w:pStyle w:val="a3"/>
        <w:spacing w:line="360" w:lineRule="auto"/>
        <w:ind w:firstLine="420"/>
        <w:rPr>
          <w:rFonts w:hAnsi="宋体" w:cs="宋体"/>
          <w:szCs w:val="21"/>
        </w:rPr>
      </w:pPr>
      <w:r>
        <w:rPr>
          <w:rFonts w:hAnsi="宋体" w:cs="宋体" w:hint="eastAsia"/>
          <w:szCs w:val="21"/>
        </w:rPr>
        <w:t>在市场或投资品种流动性不足的情况下，资产管理人可能无法迅速、低成本地调整投资计划，或者转变成现金会对资产价格造成重大不利影响，从而对计划收益造成不利影响。</w:t>
      </w:r>
    </w:p>
    <w:p w14:paraId="53DA0C29"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在资产委托人在开放期内参与或退出资产管理计划时，可能存在现金不足的风险和现金过多带来的收益下降风险。</w:t>
      </w:r>
    </w:p>
    <w:p w14:paraId="6F11709C" w14:textId="77777777" w:rsidR="00D4368C" w:rsidRDefault="001710E2">
      <w:pPr>
        <w:pStyle w:val="a3"/>
        <w:spacing w:line="360" w:lineRule="auto"/>
        <w:ind w:firstLine="420"/>
        <w:rPr>
          <w:rFonts w:hAnsi="宋体" w:cs="宋体"/>
          <w:szCs w:val="21"/>
        </w:rPr>
      </w:pPr>
      <w:r>
        <w:rPr>
          <w:rFonts w:hAnsi="宋体" w:cs="宋体" w:hint="eastAsia"/>
          <w:szCs w:val="21"/>
        </w:rPr>
        <w:t>当本计划出现巨额退出或连续巨额退出等本合同约定情形，资产管理人有权暂停退出、延期退出或延期支付退出款项，该等情形的发生将直接影响资产委托人投资变现。</w:t>
      </w:r>
    </w:p>
    <w:p w14:paraId="0B1A0A36" w14:textId="77777777" w:rsidR="00D4368C" w:rsidRDefault="001710E2">
      <w:pPr>
        <w:pStyle w:val="a3"/>
        <w:spacing w:line="360" w:lineRule="auto"/>
        <w:ind w:firstLine="420"/>
        <w:rPr>
          <w:rFonts w:hAnsi="宋体" w:cs="宋体"/>
          <w:szCs w:val="21"/>
        </w:rPr>
      </w:pPr>
      <w:r>
        <w:rPr>
          <w:rFonts w:hAnsi="宋体" w:cs="宋体" w:hint="eastAsia"/>
          <w:szCs w:val="21"/>
        </w:rPr>
        <w:t>5、信用风险</w:t>
      </w:r>
    </w:p>
    <w:p w14:paraId="01065EB6" w14:textId="77777777" w:rsidR="00D4368C" w:rsidRDefault="001710E2">
      <w:pPr>
        <w:pStyle w:val="a3"/>
        <w:spacing w:line="360" w:lineRule="auto"/>
        <w:ind w:firstLine="420"/>
        <w:rPr>
          <w:rFonts w:hAnsi="宋体" w:cs="宋体"/>
          <w:szCs w:val="21"/>
        </w:rPr>
      </w:pPr>
      <w:r>
        <w:rPr>
          <w:rFonts w:hAnsi="宋体" w:cs="宋体" w:hint="eastAsia"/>
          <w:szCs w:val="21"/>
        </w:rPr>
        <w:t>信用风险是债务人的违约风险，主要体现在信用产品中。在委托资产投资运作中，如果资产管理人的信用研究水平不足，对信用产品的判断不准确，可能使委托资产承受信用风险所带来的损失。</w:t>
      </w:r>
    </w:p>
    <w:p w14:paraId="6C6C1C38" w14:textId="77777777" w:rsidR="00D4368C" w:rsidRDefault="001710E2">
      <w:pPr>
        <w:pStyle w:val="a3"/>
        <w:spacing w:line="360" w:lineRule="auto"/>
        <w:ind w:firstLine="420"/>
        <w:rPr>
          <w:rFonts w:hAnsi="宋体" w:cs="宋体"/>
          <w:szCs w:val="21"/>
        </w:rPr>
      </w:pPr>
      <w:r>
        <w:rPr>
          <w:rFonts w:hAnsi="宋体" w:cs="宋体" w:hint="eastAsia"/>
          <w:szCs w:val="21"/>
        </w:rPr>
        <w:t>本计划交易对手方发生交易违约或者计划持仓债券的发行人拒绝支付债券本息，导致资产管理计划财产损失。</w:t>
      </w:r>
    </w:p>
    <w:p w14:paraId="0A8381B7" w14:textId="77777777" w:rsidR="00D4368C" w:rsidRDefault="001710E2">
      <w:pPr>
        <w:pStyle w:val="a3"/>
        <w:spacing w:line="360" w:lineRule="auto"/>
        <w:ind w:firstLine="420"/>
        <w:rPr>
          <w:rFonts w:hAnsi="宋体" w:cs="宋体"/>
          <w:szCs w:val="21"/>
        </w:rPr>
      </w:pPr>
      <w:r>
        <w:rPr>
          <w:rFonts w:hAnsi="宋体" w:cs="宋体" w:hint="eastAsia"/>
          <w:szCs w:val="21"/>
        </w:rPr>
        <w:t>6、募集失败风险</w:t>
      </w:r>
    </w:p>
    <w:p w14:paraId="721401C0" w14:textId="77777777" w:rsidR="00D4368C" w:rsidRDefault="001710E2">
      <w:pPr>
        <w:pStyle w:val="a3"/>
        <w:spacing w:line="360" w:lineRule="auto"/>
        <w:ind w:firstLine="420"/>
        <w:rPr>
          <w:rFonts w:hAnsi="宋体" w:cs="宋体"/>
          <w:szCs w:val="21"/>
        </w:rPr>
      </w:pPr>
      <w:r>
        <w:rPr>
          <w:rFonts w:hAnsi="宋体" w:cs="宋体" w:hint="eastAsia"/>
          <w:szCs w:val="21"/>
        </w:rPr>
        <w:t>初始募集期限届满，若本计划不符合成立条件，则存在募集失败的风险，在资产管理计划募集期限届满后30日内返还客户已缴纳的款项，并加计银行同期活期存款利息。管理人以其固有财产承担因募集行为而产生的债务和费用。</w:t>
      </w:r>
    </w:p>
    <w:p w14:paraId="04940C67" w14:textId="77777777" w:rsidR="00D4368C" w:rsidRDefault="001710E2">
      <w:pPr>
        <w:pStyle w:val="a3"/>
        <w:spacing w:line="360" w:lineRule="auto"/>
        <w:ind w:firstLine="420"/>
        <w:rPr>
          <w:rFonts w:hAnsi="宋体" w:cs="宋体"/>
          <w:szCs w:val="21"/>
        </w:rPr>
      </w:pPr>
      <w:r>
        <w:rPr>
          <w:rFonts w:hAnsi="宋体" w:cs="宋体" w:hint="eastAsia"/>
          <w:szCs w:val="21"/>
        </w:rPr>
        <w:t>7、投资标的风险</w:t>
      </w:r>
    </w:p>
    <w:p w14:paraId="3EAC8364" w14:textId="77777777" w:rsidR="00D4368C" w:rsidRDefault="001710E2">
      <w:pPr>
        <w:pStyle w:val="a3"/>
        <w:spacing w:line="360" w:lineRule="auto"/>
        <w:ind w:firstLine="420"/>
        <w:rPr>
          <w:rFonts w:hAnsi="宋体" w:cs="宋体"/>
          <w:szCs w:val="21"/>
        </w:rPr>
      </w:pPr>
      <w:r>
        <w:rPr>
          <w:rFonts w:hAnsi="宋体" w:cs="宋体" w:hint="eastAsia"/>
          <w:szCs w:val="21"/>
        </w:rPr>
        <w:t>本计划投资标的</w:t>
      </w:r>
      <w:proofErr w:type="gramStart"/>
      <w:r>
        <w:rPr>
          <w:rFonts w:hAnsi="宋体" w:cs="宋体" w:hint="eastAsia"/>
          <w:szCs w:val="21"/>
        </w:rPr>
        <w:t>的</w:t>
      </w:r>
      <w:proofErr w:type="gramEnd"/>
      <w:r>
        <w:rPr>
          <w:rFonts w:hAnsi="宋体" w:cs="宋体" w:hint="eastAsia"/>
          <w:szCs w:val="21"/>
        </w:rPr>
        <w:t>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Pr>
          <w:rFonts w:hAnsi="宋体" w:cs="宋体" w:hint="eastAsia"/>
          <w:szCs w:val="21"/>
        </w:rPr>
        <w:t>的</w:t>
      </w:r>
      <w:proofErr w:type="gramEnd"/>
      <w:r>
        <w:rPr>
          <w:rFonts w:hAnsi="宋体" w:cs="宋体" w:hint="eastAsia"/>
          <w:szCs w:val="21"/>
        </w:rPr>
        <w:t>价值。</w:t>
      </w:r>
    </w:p>
    <w:p w14:paraId="7B39611A" w14:textId="77777777" w:rsidR="00D4368C" w:rsidRDefault="001710E2">
      <w:pPr>
        <w:pStyle w:val="a3"/>
        <w:spacing w:line="360" w:lineRule="auto"/>
        <w:ind w:firstLine="420"/>
        <w:rPr>
          <w:rFonts w:hAnsi="宋体" w:cs="宋体"/>
          <w:szCs w:val="21"/>
        </w:rPr>
      </w:pPr>
      <w:r>
        <w:rPr>
          <w:rFonts w:hAnsi="宋体" w:cs="宋体" w:hint="eastAsia"/>
          <w:szCs w:val="21"/>
        </w:rPr>
        <w:t>（1）投资于股票等股权类资产的风险</w:t>
      </w:r>
    </w:p>
    <w:p w14:paraId="634F111D" w14:textId="77777777" w:rsidR="00D4368C" w:rsidRDefault="001710E2">
      <w:pPr>
        <w:pStyle w:val="a3"/>
        <w:spacing w:line="360" w:lineRule="auto"/>
        <w:ind w:firstLine="420"/>
        <w:rPr>
          <w:rFonts w:hAnsi="宋体" w:cs="宋体"/>
          <w:szCs w:val="21"/>
        </w:rPr>
      </w:pPr>
      <w:r>
        <w:rPr>
          <w:rFonts w:hAnsi="宋体" w:cs="宋体" w:hint="eastAsia"/>
          <w:szCs w:val="21"/>
        </w:rPr>
        <w:t>a）国家货币政策、财政政策、产业政策等的变化对证券市场产生一定的影响，导致市场价格水平波动的风险。</w:t>
      </w:r>
    </w:p>
    <w:p w14:paraId="6B506A50" w14:textId="77777777" w:rsidR="00D4368C" w:rsidRDefault="001710E2">
      <w:pPr>
        <w:pStyle w:val="a3"/>
        <w:spacing w:line="360" w:lineRule="auto"/>
        <w:ind w:firstLine="420"/>
        <w:rPr>
          <w:rFonts w:hAnsi="宋体" w:cs="宋体"/>
          <w:szCs w:val="21"/>
        </w:rPr>
      </w:pPr>
      <w:r>
        <w:rPr>
          <w:rFonts w:hAnsi="宋体" w:cs="宋体" w:hint="eastAsia"/>
          <w:szCs w:val="21"/>
        </w:rPr>
        <w:t>b）宏观经济运行周期性波动，对证券市场的收益水平产生影响的风险。</w:t>
      </w:r>
    </w:p>
    <w:p w14:paraId="070B64AB" w14:textId="77777777" w:rsidR="00D4368C" w:rsidRDefault="001710E2">
      <w:pPr>
        <w:pStyle w:val="a3"/>
        <w:spacing w:line="360" w:lineRule="auto"/>
        <w:ind w:firstLine="420"/>
        <w:rPr>
          <w:rFonts w:hAnsi="宋体" w:cs="宋体"/>
          <w:szCs w:val="21"/>
        </w:rPr>
      </w:pPr>
      <w:r>
        <w:rPr>
          <w:rFonts w:hAnsi="宋体" w:cs="宋体" w:hint="eastAsia"/>
          <w:szCs w:val="21"/>
        </w:rPr>
        <w:t>c）上市公司的经营状况受多种因素影响，如市场、技术、竞争、管理、财务等都会导致公司盈利发生变化，从而导致股票价格波动的风险。</w:t>
      </w:r>
    </w:p>
    <w:p w14:paraId="5B21B349" w14:textId="77777777" w:rsidR="00D4368C" w:rsidRDefault="001710E2">
      <w:pPr>
        <w:pStyle w:val="a3"/>
        <w:spacing w:line="360" w:lineRule="auto"/>
        <w:ind w:firstLine="420"/>
        <w:rPr>
          <w:rFonts w:hAnsi="宋体" w:cs="宋体"/>
          <w:szCs w:val="21"/>
        </w:rPr>
      </w:pPr>
      <w:r>
        <w:rPr>
          <w:rFonts w:hAnsi="宋体" w:cs="宋体" w:hint="eastAsia"/>
          <w:szCs w:val="21"/>
        </w:rPr>
        <w:t>（2）投资于</w:t>
      </w:r>
      <w:proofErr w:type="gramStart"/>
      <w:r>
        <w:rPr>
          <w:rFonts w:hAnsi="宋体" w:cs="宋体" w:hint="eastAsia"/>
          <w:szCs w:val="21"/>
        </w:rPr>
        <w:t>科创板股票</w:t>
      </w:r>
      <w:proofErr w:type="gramEnd"/>
      <w:r>
        <w:rPr>
          <w:rFonts w:hAnsi="宋体" w:cs="宋体" w:hint="eastAsia"/>
          <w:szCs w:val="21"/>
        </w:rPr>
        <w:t>的风险</w:t>
      </w:r>
    </w:p>
    <w:p w14:paraId="36E7D614" w14:textId="77777777" w:rsidR="00D4368C" w:rsidRDefault="001710E2">
      <w:pPr>
        <w:pStyle w:val="a3"/>
        <w:spacing w:line="360" w:lineRule="auto"/>
        <w:ind w:firstLine="420"/>
        <w:rPr>
          <w:rFonts w:hAnsi="宋体" w:cs="宋体"/>
          <w:szCs w:val="21"/>
        </w:rPr>
      </w:pPr>
      <w:r>
        <w:rPr>
          <w:rFonts w:hAnsi="宋体" w:cs="宋体" w:hint="eastAsia"/>
          <w:szCs w:val="21"/>
        </w:rPr>
        <w:t>投资于</w:t>
      </w:r>
      <w:proofErr w:type="gramStart"/>
      <w:r>
        <w:rPr>
          <w:rFonts w:hAnsi="宋体" w:cs="宋体" w:hint="eastAsia"/>
          <w:szCs w:val="21"/>
        </w:rPr>
        <w:t>科创板</w:t>
      </w:r>
      <w:proofErr w:type="gramEnd"/>
      <w:r>
        <w:rPr>
          <w:rFonts w:hAnsi="宋体" w:cs="宋体" w:hint="eastAsia"/>
          <w:szCs w:val="21"/>
        </w:rPr>
        <w:t>股票，除了投资于上市公司公开发行股票风险以外，还存在如下风险：</w:t>
      </w:r>
    </w:p>
    <w:p w14:paraId="770C9FF1" w14:textId="77777777" w:rsidR="00D4368C" w:rsidRDefault="001710E2">
      <w:pPr>
        <w:pStyle w:val="a3"/>
        <w:spacing w:line="360" w:lineRule="auto"/>
        <w:ind w:firstLine="420"/>
        <w:rPr>
          <w:rFonts w:hAnsi="宋体" w:cs="宋体"/>
          <w:szCs w:val="21"/>
        </w:rPr>
      </w:pPr>
      <w:r>
        <w:rPr>
          <w:rFonts w:hAnsi="宋体" w:cs="宋体" w:hint="eastAsia"/>
          <w:szCs w:val="21"/>
        </w:rPr>
        <w:t>a）</w:t>
      </w:r>
      <w:proofErr w:type="gramStart"/>
      <w:r>
        <w:rPr>
          <w:rFonts w:hAnsi="宋体" w:cs="宋体" w:hint="eastAsia"/>
          <w:szCs w:val="21"/>
        </w:rPr>
        <w:t>科创板企业</w:t>
      </w:r>
      <w:proofErr w:type="gramEnd"/>
      <w:r>
        <w:rPr>
          <w:rFonts w:hAnsi="宋体" w:cs="宋体" w:hint="eastAsia"/>
          <w:szCs w:val="21"/>
        </w:rPr>
        <w:t>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进而会影响到股票价格，给本计划的净值带来波动。</w:t>
      </w:r>
    </w:p>
    <w:p w14:paraId="3A60E938"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b）</w:t>
      </w:r>
      <w:proofErr w:type="gramStart"/>
      <w:r>
        <w:rPr>
          <w:rFonts w:hAnsi="宋体" w:cs="宋体" w:hint="eastAsia"/>
          <w:szCs w:val="21"/>
        </w:rPr>
        <w:t>科创板企业</w:t>
      </w:r>
      <w:proofErr w:type="gramEnd"/>
      <w:r>
        <w:rPr>
          <w:rFonts w:hAnsi="宋体" w:cs="宋体" w:hint="eastAsia"/>
          <w:szCs w:val="21"/>
        </w:rPr>
        <w:t>可能存在首次公开发行</w:t>
      </w:r>
      <w:proofErr w:type="gramStart"/>
      <w:r>
        <w:rPr>
          <w:rFonts w:hAnsi="宋体" w:cs="宋体" w:hint="eastAsia"/>
          <w:szCs w:val="21"/>
        </w:rPr>
        <w:t>前最近</w:t>
      </w:r>
      <w:proofErr w:type="gramEnd"/>
      <w:r>
        <w:rPr>
          <w:rFonts w:hAnsi="宋体" w:cs="宋体" w:hint="eastAsia"/>
          <w:szCs w:val="21"/>
        </w:rPr>
        <w:t>3个会计年度未能连续盈利、公开发行并上市时尚未盈利、有累计未弥补亏损等情形，可能存在上市后仍无法盈利、持续亏损、无法进行利润分配等情形，从而导致本计划所持股票价格可能下跌，或者能够用于分配的利润减少，从而使产品投资的收益下降。</w:t>
      </w:r>
    </w:p>
    <w:p w14:paraId="32DFEF2C" w14:textId="77777777" w:rsidR="00D4368C" w:rsidRDefault="001710E2">
      <w:pPr>
        <w:pStyle w:val="a3"/>
        <w:spacing w:line="360" w:lineRule="auto"/>
        <w:ind w:firstLine="420"/>
        <w:rPr>
          <w:rFonts w:hAnsi="宋体" w:cs="宋体"/>
          <w:szCs w:val="21"/>
        </w:rPr>
      </w:pPr>
      <w:r>
        <w:rPr>
          <w:rFonts w:hAnsi="宋体" w:cs="宋体" w:hint="eastAsia"/>
          <w:szCs w:val="21"/>
        </w:rPr>
        <w:t>c）</w:t>
      </w:r>
      <w:proofErr w:type="gramStart"/>
      <w:r>
        <w:rPr>
          <w:rFonts w:hAnsi="宋体" w:cs="宋体" w:hint="eastAsia"/>
          <w:szCs w:val="21"/>
        </w:rPr>
        <w:t>科创板退</w:t>
      </w:r>
      <w:proofErr w:type="gramEnd"/>
      <w:r>
        <w:rPr>
          <w:rFonts w:hAnsi="宋体" w:cs="宋体" w:hint="eastAsia"/>
          <w:szCs w:val="21"/>
        </w:rPr>
        <w:t>市制度较主板更为严格，退</w:t>
      </w:r>
      <w:proofErr w:type="gramStart"/>
      <w:r>
        <w:rPr>
          <w:rFonts w:hAnsi="宋体" w:cs="宋体" w:hint="eastAsia"/>
          <w:szCs w:val="21"/>
        </w:rPr>
        <w:t>市时间</w:t>
      </w:r>
      <w:proofErr w:type="gramEnd"/>
      <w:r>
        <w:rPr>
          <w:rFonts w:hAnsi="宋体" w:cs="宋体" w:hint="eastAsia"/>
          <w:szCs w:val="21"/>
        </w:rPr>
        <w:t>更短，退</w:t>
      </w:r>
      <w:proofErr w:type="gramStart"/>
      <w:r>
        <w:rPr>
          <w:rFonts w:hAnsi="宋体" w:cs="宋体" w:hint="eastAsia"/>
          <w:szCs w:val="21"/>
        </w:rPr>
        <w:t>市速度</w:t>
      </w:r>
      <w:proofErr w:type="gramEnd"/>
      <w:r>
        <w:rPr>
          <w:rFonts w:hAnsi="宋体" w:cs="宋体" w:hint="eastAsia"/>
          <w:szCs w:val="21"/>
        </w:rPr>
        <w:t>更快；退市情形更多，新增了市值低于规定标准、上市公司信息披露或者规范运作存在重大缺陷导致退市的情形；执行标准更严，明显丧失持续经营能力，依赖与主业无关的贸易或者不具备商业实质的关联交易维持收入的上市公司可能会被退市。因此，本计划可能存在因所持个股遭遇非预期性的退市而给计划带来损失的风险。</w:t>
      </w:r>
    </w:p>
    <w:p w14:paraId="53E73F0E" w14:textId="77777777" w:rsidR="00D4368C" w:rsidRDefault="001710E2">
      <w:pPr>
        <w:pStyle w:val="a3"/>
        <w:spacing w:line="360" w:lineRule="auto"/>
        <w:ind w:firstLine="420"/>
        <w:rPr>
          <w:rFonts w:hAnsi="宋体" w:cs="宋体"/>
          <w:szCs w:val="21"/>
        </w:rPr>
      </w:pPr>
      <w:r>
        <w:rPr>
          <w:rFonts w:hAnsi="宋体" w:cs="宋体" w:hint="eastAsia"/>
          <w:szCs w:val="21"/>
        </w:rPr>
        <w:t>d）</w:t>
      </w:r>
      <w:proofErr w:type="gramStart"/>
      <w:r>
        <w:rPr>
          <w:rFonts w:hAnsi="宋体" w:cs="宋体" w:hint="eastAsia"/>
          <w:szCs w:val="21"/>
        </w:rPr>
        <w:t>科创板股票</w:t>
      </w:r>
      <w:proofErr w:type="gramEnd"/>
      <w:r>
        <w:rPr>
          <w:rFonts w:hAnsi="宋体" w:cs="宋体" w:hint="eastAsia"/>
          <w:szCs w:val="21"/>
        </w:rPr>
        <w:t>竞价交易设置较宽的涨跌幅限制，首次公开发行上市的股票，上市后的前5个交易日不设涨跌幅限制，其后涨跌幅限制为20%，因此股价波动风险更大，从而导致本计划净值的波动。</w:t>
      </w:r>
    </w:p>
    <w:p w14:paraId="696ACE48" w14:textId="77777777" w:rsidR="00D4368C" w:rsidRDefault="001710E2">
      <w:pPr>
        <w:pStyle w:val="a3"/>
        <w:spacing w:line="360" w:lineRule="auto"/>
        <w:ind w:firstLine="420"/>
        <w:rPr>
          <w:rFonts w:hAnsi="宋体" w:cs="宋体"/>
          <w:szCs w:val="21"/>
        </w:rPr>
      </w:pPr>
      <w:r>
        <w:rPr>
          <w:rFonts w:hAnsi="宋体" w:cs="宋体" w:hint="eastAsia"/>
          <w:szCs w:val="21"/>
        </w:rPr>
        <w:t>（3）商品及金融衍生品的投资风险</w:t>
      </w:r>
    </w:p>
    <w:p w14:paraId="417883F6" w14:textId="77777777" w:rsidR="00D4368C" w:rsidRDefault="001710E2">
      <w:pPr>
        <w:pStyle w:val="a3"/>
        <w:spacing w:line="360" w:lineRule="auto"/>
        <w:ind w:firstLine="420"/>
        <w:rPr>
          <w:rFonts w:hAnsi="宋体" w:cs="宋体"/>
          <w:szCs w:val="21"/>
        </w:rPr>
      </w:pPr>
      <w:r>
        <w:rPr>
          <w:rFonts w:hAnsi="宋体" w:cs="宋体" w:hint="eastAsia"/>
          <w:szCs w:val="21"/>
        </w:rPr>
        <w:t>a）本计划若投资于金融期货、商品期货、交易所期权等金融衍生品，无论管理人是否出于投机目的对金融衍生品进行投资，由于金融衍生品的高杠杆性等特征，对金融衍生品的投资无论在任何情况下均具有较高的风险。</w:t>
      </w:r>
    </w:p>
    <w:p w14:paraId="476B4C1C" w14:textId="77777777" w:rsidR="00D4368C" w:rsidRDefault="001710E2">
      <w:pPr>
        <w:pStyle w:val="a3"/>
        <w:spacing w:line="360" w:lineRule="auto"/>
        <w:ind w:firstLine="420"/>
        <w:rPr>
          <w:rFonts w:hAnsi="宋体" w:cs="宋体"/>
          <w:szCs w:val="21"/>
        </w:rPr>
      </w:pPr>
      <w:r>
        <w:rPr>
          <w:rFonts w:hAnsi="宋体" w:cs="宋体" w:hint="eastAsia"/>
          <w:szCs w:val="21"/>
        </w:rPr>
        <w:t>b）管理人以期货交易所会员（即期货经纪人）之客户的身份参与期货交易，可能存在因期货经纪人违规经营、管理疏忽、资金能力出现问题等原因而导致本计划蒙受损失。</w:t>
      </w:r>
    </w:p>
    <w:p w14:paraId="7A539C8B" w14:textId="77777777" w:rsidR="00D4368C" w:rsidRDefault="001710E2">
      <w:pPr>
        <w:pStyle w:val="a3"/>
        <w:spacing w:line="360" w:lineRule="auto"/>
        <w:ind w:firstLine="420"/>
        <w:rPr>
          <w:rFonts w:hAnsi="宋体" w:cs="宋体"/>
          <w:szCs w:val="21"/>
        </w:rPr>
      </w:pPr>
      <w:r>
        <w:rPr>
          <w:rFonts w:hAnsi="宋体" w:cs="宋体"/>
          <w:szCs w:val="21"/>
        </w:rPr>
        <w:t>c）期货交易所实行保证金制度、当日无负债结算制度、涨跌停板制度、持仓限额和大户持仓报告制度、风险准备金制度以及国务院期货监督管理机构规定的其他风险管理制度。本</w:t>
      </w:r>
      <w:proofErr w:type="gramStart"/>
      <w:r>
        <w:rPr>
          <w:rFonts w:hAnsi="宋体" w:cs="宋体"/>
          <w:szCs w:val="21"/>
        </w:rPr>
        <w:t>资管计划</w:t>
      </w:r>
      <w:proofErr w:type="gramEnd"/>
      <w:r>
        <w:rPr>
          <w:rFonts w:hAnsi="宋体" w:cs="宋体"/>
          <w:szCs w:val="21"/>
        </w:rPr>
        <w:t>可能因保证金不足而被采取限制开仓、强制平仓，进而可能给本</w:t>
      </w:r>
      <w:proofErr w:type="gramStart"/>
      <w:r>
        <w:rPr>
          <w:rFonts w:hAnsi="宋体" w:cs="宋体"/>
          <w:szCs w:val="21"/>
        </w:rPr>
        <w:t>资管计划</w:t>
      </w:r>
      <w:proofErr w:type="gramEnd"/>
      <w:r>
        <w:rPr>
          <w:rFonts w:hAnsi="宋体" w:cs="宋体"/>
          <w:szCs w:val="21"/>
        </w:rPr>
        <w:t>造成重大损失；本</w:t>
      </w:r>
      <w:proofErr w:type="gramStart"/>
      <w:r>
        <w:rPr>
          <w:rFonts w:hAnsi="宋体" w:cs="宋体"/>
          <w:szCs w:val="21"/>
        </w:rPr>
        <w:t>资管计划</w:t>
      </w:r>
      <w:proofErr w:type="gramEnd"/>
      <w:r>
        <w:rPr>
          <w:rFonts w:hAnsi="宋体" w:cs="宋体"/>
          <w:szCs w:val="21"/>
        </w:rPr>
        <w:t>所委托的交易所会员除接受本</w:t>
      </w:r>
      <w:proofErr w:type="gramStart"/>
      <w:r>
        <w:rPr>
          <w:rFonts w:hAnsi="宋体" w:cs="宋体"/>
          <w:szCs w:val="21"/>
        </w:rPr>
        <w:t>资管计划</w:t>
      </w:r>
      <w:proofErr w:type="gramEnd"/>
      <w:r>
        <w:rPr>
          <w:rFonts w:hAnsi="宋体" w:cs="宋体"/>
          <w:szCs w:val="21"/>
        </w:rPr>
        <w:t>委托外,还可能同时接受其他主体的委托,本</w:t>
      </w:r>
      <w:proofErr w:type="gramStart"/>
      <w:r>
        <w:rPr>
          <w:rFonts w:hAnsi="宋体" w:cs="宋体"/>
          <w:szCs w:val="21"/>
        </w:rPr>
        <w:t>资管计划</w:t>
      </w:r>
      <w:proofErr w:type="gramEnd"/>
      <w:r>
        <w:rPr>
          <w:rFonts w:hAnsi="宋体" w:cs="宋体"/>
          <w:szCs w:val="21"/>
        </w:rPr>
        <w:t>所委托的交易所会员发生保证金不足时将被采取限制开仓、强制平仓等措施，而这种不足不一定是本</w:t>
      </w:r>
      <w:proofErr w:type="gramStart"/>
      <w:r>
        <w:rPr>
          <w:rFonts w:hAnsi="宋体" w:cs="宋体"/>
          <w:szCs w:val="21"/>
        </w:rPr>
        <w:t>资管计划</w:t>
      </w:r>
      <w:proofErr w:type="gramEnd"/>
      <w:r>
        <w:rPr>
          <w:rFonts w:hAnsi="宋体" w:cs="宋体"/>
          <w:szCs w:val="21"/>
        </w:rPr>
        <w:t>的保证金不足造成的,还可能是上述交易所会员进行其他主体的委托操作所造成的,但即便如此本</w:t>
      </w:r>
      <w:proofErr w:type="gramStart"/>
      <w:r>
        <w:rPr>
          <w:rFonts w:hAnsi="宋体" w:cs="宋体"/>
          <w:szCs w:val="21"/>
        </w:rPr>
        <w:t>资管计划</w:t>
      </w:r>
      <w:proofErr w:type="gramEnd"/>
      <w:r>
        <w:rPr>
          <w:rFonts w:hAnsi="宋体" w:cs="宋体"/>
          <w:szCs w:val="21"/>
        </w:rPr>
        <w:t>也可能因此受到重大损失；为及时缴纳保证金，本</w:t>
      </w:r>
      <w:proofErr w:type="gramStart"/>
      <w:r>
        <w:rPr>
          <w:rFonts w:hAnsi="宋体" w:cs="宋体"/>
          <w:szCs w:val="21"/>
        </w:rPr>
        <w:t>资管计划</w:t>
      </w:r>
      <w:proofErr w:type="gramEnd"/>
      <w:r>
        <w:rPr>
          <w:rFonts w:hAnsi="宋体" w:cs="宋体"/>
          <w:szCs w:val="21"/>
        </w:rPr>
        <w:t>可能紧急变现部分</w:t>
      </w:r>
      <w:proofErr w:type="gramStart"/>
      <w:r>
        <w:rPr>
          <w:rFonts w:hAnsi="宋体" w:cs="宋体"/>
          <w:szCs w:val="21"/>
        </w:rPr>
        <w:t>资管计划</w:t>
      </w:r>
      <w:proofErr w:type="gramEnd"/>
      <w:r>
        <w:rPr>
          <w:rFonts w:hAnsi="宋体" w:cs="宋体"/>
          <w:szCs w:val="21"/>
        </w:rPr>
        <w:t>财产，在上述情况下，该部分</w:t>
      </w:r>
      <w:proofErr w:type="gramStart"/>
      <w:r>
        <w:rPr>
          <w:rFonts w:hAnsi="宋体" w:cs="宋体"/>
          <w:szCs w:val="21"/>
        </w:rPr>
        <w:t>资管计划</w:t>
      </w:r>
      <w:proofErr w:type="gramEnd"/>
      <w:r>
        <w:rPr>
          <w:rFonts w:hAnsi="宋体" w:cs="宋体"/>
          <w:szCs w:val="21"/>
        </w:rPr>
        <w:t>财产的变现可能并非以最优价格进行，从而造成本</w:t>
      </w:r>
      <w:proofErr w:type="gramStart"/>
      <w:r>
        <w:rPr>
          <w:rFonts w:hAnsi="宋体" w:cs="宋体"/>
          <w:szCs w:val="21"/>
        </w:rPr>
        <w:t>资管计划</w:t>
      </w:r>
      <w:proofErr w:type="gramEnd"/>
      <w:r>
        <w:rPr>
          <w:rFonts w:hAnsi="宋体" w:cs="宋体"/>
          <w:szCs w:val="21"/>
        </w:rPr>
        <w:t>的损失。本</w:t>
      </w:r>
      <w:proofErr w:type="gramStart"/>
      <w:r>
        <w:rPr>
          <w:rFonts w:hAnsi="宋体" w:cs="宋体"/>
          <w:szCs w:val="21"/>
        </w:rPr>
        <w:t>资管计划</w:t>
      </w:r>
      <w:proofErr w:type="gramEnd"/>
      <w:r>
        <w:rPr>
          <w:rFonts w:hAnsi="宋体" w:cs="宋体"/>
          <w:szCs w:val="21"/>
        </w:rPr>
        <w:t>及本</w:t>
      </w:r>
      <w:proofErr w:type="gramStart"/>
      <w:r>
        <w:rPr>
          <w:rFonts w:hAnsi="宋体" w:cs="宋体"/>
          <w:szCs w:val="21"/>
        </w:rPr>
        <w:t>资管计划</w:t>
      </w:r>
      <w:proofErr w:type="gramEnd"/>
      <w:r>
        <w:rPr>
          <w:rFonts w:hAnsi="宋体" w:cs="宋体"/>
          <w:szCs w:val="21"/>
        </w:rPr>
        <w:t>所委托的交易所会员可能被实行强制结算，一旦本</w:t>
      </w:r>
      <w:proofErr w:type="gramStart"/>
      <w:r>
        <w:rPr>
          <w:rFonts w:hAnsi="宋体" w:cs="宋体"/>
          <w:szCs w:val="21"/>
        </w:rPr>
        <w:t>资管计划</w:t>
      </w:r>
      <w:proofErr w:type="gramEnd"/>
      <w:r>
        <w:rPr>
          <w:rFonts w:hAnsi="宋体" w:cs="宋体"/>
          <w:szCs w:val="21"/>
        </w:rPr>
        <w:t>或本</w:t>
      </w:r>
      <w:proofErr w:type="gramStart"/>
      <w:r>
        <w:rPr>
          <w:rFonts w:hAnsi="宋体" w:cs="宋体"/>
          <w:szCs w:val="21"/>
        </w:rPr>
        <w:t>资管计划</w:t>
      </w:r>
      <w:proofErr w:type="gramEnd"/>
      <w:r>
        <w:rPr>
          <w:rFonts w:hAnsi="宋体" w:cs="宋体"/>
          <w:szCs w:val="21"/>
        </w:rPr>
        <w:t>所委托的交易所会员被强制结算、可能给本</w:t>
      </w:r>
      <w:proofErr w:type="gramStart"/>
      <w:r>
        <w:rPr>
          <w:rFonts w:hAnsi="宋体" w:cs="宋体"/>
          <w:szCs w:val="21"/>
        </w:rPr>
        <w:t>资管计划</w:t>
      </w:r>
      <w:proofErr w:type="gramEnd"/>
      <w:r>
        <w:rPr>
          <w:rFonts w:hAnsi="宋体" w:cs="宋体"/>
          <w:szCs w:val="21"/>
        </w:rPr>
        <w:t>财产造成损失。</w:t>
      </w:r>
    </w:p>
    <w:p w14:paraId="74A9808C" w14:textId="77777777" w:rsidR="00D4368C" w:rsidRDefault="001710E2">
      <w:pPr>
        <w:pStyle w:val="a3"/>
        <w:spacing w:line="360" w:lineRule="auto"/>
        <w:ind w:firstLine="420"/>
        <w:rPr>
          <w:rFonts w:hAnsi="宋体" w:cs="宋体"/>
          <w:szCs w:val="21"/>
        </w:rPr>
      </w:pPr>
      <w:r>
        <w:rPr>
          <w:rFonts w:hAnsi="宋体" w:cs="宋体" w:hint="eastAsia"/>
          <w:szCs w:val="21"/>
        </w:rPr>
        <w:t>d）金融衍生品具有高杠杆性的特征，当出现不利行情时，本</w:t>
      </w:r>
      <w:proofErr w:type="gramStart"/>
      <w:r>
        <w:rPr>
          <w:rFonts w:hAnsi="宋体" w:cs="宋体" w:hint="eastAsia"/>
          <w:szCs w:val="21"/>
        </w:rPr>
        <w:t>资管计划</w:t>
      </w:r>
      <w:proofErr w:type="gramEnd"/>
      <w:r>
        <w:rPr>
          <w:rFonts w:hAnsi="宋体" w:cs="宋体" w:hint="eastAsia"/>
          <w:szCs w:val="21"/>
        </w:rPr>
        <w:t>所投资期货合约品种微小的变动就可能使本</w:t>
      </w:r>
      <w:proofErr w:type="gramStart"/>
      <w:r>
        <w:rPr>
          <w:rFonts w:hAnsi="宋体" w:cs="宋体" w:hint="eastAsia"/>
          <w:szCs w:val="21"/>
        </w:rPr>
        <w:t>资管计划</w:t>
      </w:r>
      <w:proofErr w:type="gramEnd"/>
      <w:r>
        <w:rPr>
          <w:rFonts w:hAnsi="宋体" w:cs="宋体" w:hint="eastAsia"/>
          <w:szCs w:val="21"/>
        </w:rPr>
        <w:t>遭受较大损失。</w:t>
      </w:r>
    </w:p>
    <w:p w14:paraId="25B56509"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e）在市场剧烈变化的情况下，管理人可能难以或无法将持有的未平仓合约平仓。这类情况将导致保证金有可能无法弥补全部损失，本</w:t>
      </w:r>
      <w:proofErr w:type="gramStart"/>
      <w:r>
        <w:rPr>
          <w:rFonts w:hAnsi="宋体" w:cs="宋体" w:hint="eastAsia"/>
          <w:szCs w:val="21"/>
        </w:rPr>
        <w:t>资管计划</w:t>
      </w:r>
      <w:proofErr w:type="gramEnd"/>
      <w:r>
        <w:rPr>
          <w:rFonts w:hAnsi="宋体" w:cs="宋体" w:hint="eastAsia"/>
          <w:szCs w:val="21"/>
        </w:rPr>
        <w:t>必须承担由此导致的全部损失。同时本</w:t>
      </w:r>
      <w:proofErr w:type="gramStart"/>
      <w:r>
        <w:rPr>
          <w:rFonts w:hAnsi="宋体" w:cs="宋体" w:hint="eastAsia"/>
          <w:szCs w:val="21"/>
        </w:rPr>
        <w:t>资管计划</w:t>
      </w:r>
      <w:proofErr w:type="gramEnd"/>
      <w:r>
        <w:rPr>
          <w:rFonts w:hAnsi="宋体" w:cs="宋体" w:hint="eastAsia"/>
          <w:szCs w:val="21"/>
        </w:rPr>
        <w:t>将面临期货合约无法当天平仓而价格变动的风险。</w:t>
      </w:r>
    </w:p>
    <w:p w14:paraId="3AF1CC95" w14:textId="77777777" w:rsidR="00D4368C" w:rsidRDefault="001710E2">
      <w:pPr>
        <w:pStyle w:val="a3"/>
        <w:spacing w:line="360" w:lineRule="auto"/>
        <w:ind w:firstLine="420"/>
        <w:rPr>
          <w:rFonts w:hAnsi="宋体" w:cs="宋体"/>
          <w:szCs w:val="21"/>
        </w:rPr>
      </w:pPr>
      <w:r>
        <w:rPr>
          <w:rFonts w:hAnsi="宋体" w:cs="宋体" w:hint="eastAsia"/>
          <w:szCs w:val="21"/>
        </w:rPr>
        <w:t>f）相关交易所可能对交易品种的套期保值或套利实行额度管理，本</w:t>
      </w:r>
      <w:proofErr w:type="gramStart"/>
      <w:r>
        <w:rPr>
          <w:rFonts w:hAnsi="宋体" w:cs="宋体" w:hint="eastAsia"/>
          <w:szCs w:val="21"/>
        </w:rPr>
        <w:t>资管计划如拟</w:t>
      </w:r>
      <w:proofErr w:type="gramEnd"/>
      <w:r>
        <w:rPr>
          <w:rFonts w:hAnsi="宋体" w:cs="宋体" w:hint="eastAsia"/>
          <w:szCs w:val="21"/>
        </w:rPr>
        <w:t>进行某交易品种的套期保值或套利交易的，可能因无法申请额度或无法及时获得额度而不能开展相关交易。</w:t>
      </w:r>
    </w:p>
    <w:p w14:paraId="69424073" w14:textId="77777777" w:rsidR="00D4368C" w:rsidRDefault="001710E2">
      <w:pPr>
        <w:pStyle w:val="a3"/>
        <w:spacing w:line="360" w:lineRule="auto"/>
        <w:ind w:firstLine="420"/>
        <w:rPr>
          <w:rFonts w:hAnsi="宋体" w:cs="宋体"/>
          <w:szCs w:val="21"/>
        </w:rPr>
      </w:pPr>
      <w:r>
        <w:rPr>
          <w:rFonts w:hAnsi="宋体" w:cs="宋体" w:hint="eastAsia"/>
          <w:szCs w:val="21"/>
        </w:rPr>
        <w:t>g）相比于其他交易品种，金融衍生品的投资交易可能更加频繁，频繁操作将可能增加管理人、期货经纪人等相关</w:t>
      </w:r>
      <w:proofErr w:type="gramStart"/>
      <w:r>
        <w:rPr>
          <w:rFonts w:hAnsi="宋体" w:cs="宋体" w:hint="eastAsia"/>
          <w:szCs w:val="21"/>
        </w:rPr>
        <w:t>方操作</w:t>
      </w:r>
      <w:proofErr w:type="gramEnd"/>
      <w:r>
        <w:rPr>
          <w:rFonts w:hAnsi="宋体" w:cs="宋体" w:hint="eastAsia"/>
          <w:szCs w:val="21"/>
        </w:rPr>
        <w:t>失误的可能性，存在操作风险。</w:t>
      </w:r>
    </w:p>
    <w:p w14:paraId="2DAF7131" w14:textId="77777777" w:rsidR="00D4368C" w:rsidRDefault="001710E2">
      <w:pPr>
        <w:pStyle w:val="a3"/>
        <w:spacing w:line="360" w:lineRule="auto"/>
        <w:ind w:firstLine="420"/>
        <w:rPr>
          <w:rFonts w:hAnsi="宋体" w:cs="宋体"/>
          <w:szCs w:val="21"/>
        </w:rPr>
      </w:pPr>
      <w:r>
        <w:rPr>
          <w:rFonts w:hAnsi="宋体" w:cs="宋体" w:hint="eastAsia"/>
          <w:szCs w:val="21"/>
        </w:rPr>
        <w:t>（4）投资于股指期货的特别风险</w:t>
      </w:r>
    </w:p>
    <w:p w14:paraId="3E96307B" w14:textId="77777777" w:rsidR="00D4368C" w:rsidRDefault="001710E2">
      <w:pPr>
        <w:pStyle w:val="a3"/>
        <w:spacing w:line="360" w:lineRule="auto"/>
        <w:ind w:firstLine="420"/>
        <w:rPr>
          <w:rFonts w:hAnsi="宋体" w:cs="宋体"/>
          <w:szCs w:val="21"/>
        </w:rPr>
      </w:pPr>
      <w:r>
        <w:rPr>
          <w:rFonts w:hAnsi="宋体" w:cs="宋体" w:hint="eastAsia"/>
          <w:szCs w:val="21"/>
        </w:rPr>
        <w:t>除本合同提示的“商品及金融衍生品的投资风险”外，投资于股指期货还存在以下特别风险：作为股指期货合约标的</w:t>
      </w:r>
      <w:proofErr w:type="gramStart"/>
      <w:r>
        <w:rPr>
          <w:rFonts w:hAnsi="宋体" w:cs="宋体" w:hint="eastAsia"/>
          <w:szCs w:val="21"/>
        </w:rPr>
        <w:t>的</w:t>
      </w:r>
      <w:proofErr w:type="gramEnd"/>
      <w:r>
        <w:rPr>
          <w:rFonts w:hAnsi="宋体" w:cs="宋体" w:hint="eastAsia"/>
          <w:szCs w:val="21"/>
        </w:rPr>
        <w:t>股票指数受股票交易市场价格波动的影响，从而给股指期货的投资来带风险。</w:t>
      </w:r>
    </w:p>
    <w:p w14:paraId="22CEA3B2" w14:textId="77777777" w:rsidR="00D4368C" w:rsidRDefault="001710E2">
      <w:pPr>
        <w:pStyle w:val="a3"/>
        <w:spacing w:line="360" w:lineRule="auto"/>
        <w:ind w:firstLine="420"/>
        <w:rPr>
          <w:rFonts w:hAnsi="宋体" w:cs="宋体"/>
          <w:szCs w:val="21"/>
        </w:rPr>
      </w:pPr>
      <w:r>
        <w:rPr>
          <w:rFonts w:hAnsi="宋体" w:cs="宋体" w:hint="eastAsia"/>
          <w:szCs w:val="21"/>
        </w:rPr>
        <w:t>（5）投资于国债期货的特别风险</w:t>
      </w:r>
    </w:p>
    <w:p w14:paraId="6C6AA24D" w14:textId="77777777" w:rsidR="00D4368C" w:rsidRDefault="001710E2">
      <w:pPr>
        <w:pStyle w:val="a3"/>
        <w:spacing w:line="360" w:lineRule="auto"/>
        <w:ind w:firstLine="420"/>
        <w:rPr>
          <w:rFonts w:hAnsi="宋体" w:cs="宋体"/>
          <w:szCs w:val="21"/>
        </w:rPr>
      </w:pPr>
      <w:r>
        <w:rPr>
          <w:rFonts w:hAnsi="宋体" w:cs="宋体" w:hint="eastAsia"/>
          <w:szCs w:val="21"/>
        </w:rPr>
        <w:t>除本合同提示的“商品及金融衍生品的投资风险”的风险外，投资于国债期货还存在以下特别风险：</w:t>
      </w:r>
    </w:p>
    <w:p w14:paraId="51E15E7B" w14:textId="77777777" w:rsidR="00D4368C" w:rsidRDefault="001710E2">
      <w:pPr>
        <w:pStyle w:val="a3"/>
        <w:spacing w:line="360" w:lineRule="auto"/>
        <w:ind w:firstLine="420"/>
        <w:rPr>
          <w:rFonts w:hAnsi="宋体" w:cs="宋体"/>
          <w:szCs w:val="21"/>
        </w:rPr>
      </w:pPr>
      <w:r>
        <w:rPr>
          <w:rFonts w:hAnsi="宋体" w:cs="宋体" w:hint="eastAsia"/>
          <w:szCs w:val="21"/>
        </w:rPr>
        <w:t>a）为进行国债期货的交割，投资者需要提供符合交易所要求的可交割国债，如管理人未能在国债期货合约到期前进行平仓，则需要购入/接受相关的可交割国债以满足交割的需求，或者需要以差额补偿的方式了结未平仓合约，甚至有可能因持仓不满足交割要求而需要支付额外的违约金/补偿金等。</w:t>
      </w:r>
    </w:p>
    <w:p w14:paraId="4DF26DEC" w14:textId="77777777" w:rsidR="00D4368C" w:rsidRDefault="001710E2">
      <w:pPr>
        <w:pStyle w:val="a3"/>
        <w:spacing w:line="360" w:lineRule="auto"/>
        <w:ind w:firstLine="420"/>
        <w:rPr>
          <w:rFonts w:hAnsi="宋体" w:cs="宋体"/>
          <w:szCs w:val="21"/>
        </w:rPr>
      </w:pPr>
      <w:r>
        <w:rPr>
          <w:rFonts w:hAnsi="宋体" w:cs="宋体" w:hint="eastAsia"/>
          <w:szCs w:val="21"/>
        </w:rPr>
        <w:t>b）国债期货的合约标的为国债，与以较综合性的股票指数为标的物的股指期货相比，以国债合约作为合约标的</w:t>
      </w:r>
      <w:proofErr w:type="gramStart"/>
      <w:r>
        <w:rPr>
          <w:rFonts w:hAnsi="宋体" w:cs="宋体" w:hint="eastAsia"/>
          <w:szCs w:val="21"/>
        </w:rPr>
        <w:t>的</w:t>
      </w:r>
      <w:proofErr w:type="gramEnd"/>
      <w:r>
        <w:rPr>
          <w:rFonts w:hAnsi="宋体" w:cs="宋体" w:hint="eastAsia"/>
          <w:szCs w:val="21"/>
        </w:rPr>
        <w:t>国债期货的价格更容易受市场部分投资者或某一市场消息的影响而发生价格或持续或较大幅度的波动，从而给国债期货的投资带来风险。</w:t>
      </w:r>
    </w:p>
    <w:p w14:paraId="686FDD62" w14:textId="77777777" w:rsidR="00D4368C" w:rsidRDefault="001710E2">
      <w:pPr>
        <w:pStyle w:val="a3"/>
        <w:spacing w:line="360" w:lineRule="auto"/>
        <w:ind w:firstLine="420"/>
        <w:rPr>
          <w:rFonts w:hAnsi="宋体" w:cs="宋体"/>
          <w:szCs w:val="21"/>
        </w:rPr>
      </w:pPr>
      <w:r>
        <w:rPr>
          <w:rFonts w:hAnsi="宋体" w:cs="宋体" w:hint="eastAsia"/>
          <w:szCs w:val="21"/>
        </w:rPr>
        <w:t>（6）投资于期权的特别风险</w:t>
      </w:r>
    </w:p>
    <w:p w14:paraId="268CF2F6" w14:textId="77777777" w:rsidR="00D4368C" w:rsidRDefault="001710E2">
      <w:pPr>
        <w:pStyle w:val="a3"/>
        <w:spacing w:line="360" w:lineRule="auto"/>
        <w:ind w:firstLine="420"/>
        <w:rPr>
          <w:rFonts w:hAnsi="宋体" w:cs="宋体"/>
          <w:szCs w:val="21"/>
        </w:rPr>
      </w:pPr>
      <w:r>
        <w:rPr>
          <w:rFonts w:hAnsi="宋体" w:cs="宋体" w:hint="eastAsia"/>
          <w:szCs w:val="21"/>
        </w:rPr>
        <w:t>除提示的“商品及金融衍生品的投资风险”外，投资于期权，还存在以下特别风险：</w:t>
      </w:r>
    </w:p>
    <w:p w14:paraId="08519299" w14:textId="77777777" w:rsidR="00D4368C" w:rsidRDefault="001710E2">
      <w:pPr>
        <w:pStyle w:val="a3"/>
        <w:spacing w:line="360" w:lineRule="auto"/>
        <w:ind w:firstLine="420"/>
        <w:rPr>
          <w:rFonts w:hAnsi="宋体" w:cs="宋体"/>
          <w:szCs w:val="21"/>
        </w:rPr>
      </w:pPr>
      <w:r>
        <w:rPr>
          <w:rFonts w:hAnsi="宋体" w:cs="宋体" w:hint="eastAsia"/>
          <w:szCs w:val="21"/>
        </w:rPr>
        <w:t>a）期权属于高风险高收益的金融衍生品，由于高杠杆特征，当出现不利行情时，所投资期权合约品种微小的变动就可能会使本计划遭受较大损失；</w:t>
      </w:r>
    </w:p>
    <w:p w14:paraId="3C71B925" w14:textId="77777777" w:rsidR="00D4368C" w:rsidRDefault="001710E2">
      <w:pPr>
        <w:pStyle w:val="a3"/>
        <w:spacing w:line="360" w:lineRule="auto"/>
        <w:ind w:firstLine="420"/>
        <w:rPr>
          <w:rFonts w:hAnsi="宋体" w:cs="宋体"/>
          <w:szCs w:val="21"/>
        </w:rPr>
      </w:pPr>
      <w:r>
        <w:rPr>
          <w:rFonts w:hAnsi="宋体" w:cs="宋体" w:hint="eastAsia"/>
          <w:szCs w:val="21"/>
        </w:rPr>
        <w:t>b）期权合约交易采取权利金和保证金的交易方式，资产管理计划购买期权可能没有任何收益，甚至损失全部投资；资产管理计划卖出期权可能发生巨额损失，这一损失可能大于该期权权利金，资产管理计划可能承受超过保证金甚至计划财产本金的损失。</w:t>
      </w:r>
    </w:p>
    <w:p w14:paraId="71D897CE" w14:textId="77777777" w:rsidR="00D4368C" w:rsidRDefault="001710E2">
      <w:pPr>
        <w:pStyle w:val="a3"/>
        <w:spacing w:line="360" w:lineRule="auto"/>
        <w:ind w:firstLine="420"/>
        <w:rPr>
          <w:rFonts w:hAnsi="宋体" w:cs="宋体"/>
          <w:szCs w:val="21"/>
        </w:rPr>
      </w:pPr>
      <w:r>
        <w:rPr>
          <w:rFonts w:hAnsi="宋体" w:cs="宋体" w:hint="eastAsia"/>
          <w:szCs w:val="21"/>
        </w:rPr>
        <w:t>（7）投资于债券等债权类资产的风险</w:t>
      </w:r>
    </w:p>
    <w:p w14:paraId="1D44B219" w14:textId="77777777" w:rsidR="00D4368C" w:rsidRDefault="001710E2">
      <w:pPr>
        <w:pStyle w:val="a3"/>
        <w:spacing w:line="360" w:lineRule="auto"/>
        <w:ind w:firstLine="420"/>
        <w:rPr>
          <w:rFonts w:hAnsi="宋体" w:cs="宋体"/>
          <w:szCs w:val="21"/>
        </w:rPr>
      </w:pPr>
      <w:r>
        <w:rPr>
          <w:rFonts w:hAnsi="宋体" w:cs="宋体" w:hint="eastAsia"/>
          <w:szCs w:val="21"/>
        </w:rPr>
        <w:t>债券等固定收益类品种除存在市场风险、信用风险和流动性风险等外，还存在其自身的特定风险，包括：</w:t>
      </w:r>
    </w:p>
    <w:p w14:paraId="6F713116"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a）市场平均利率水平变化导致债券价格变化的风险；</w:t>
      </w:r>
    </w:p>
    <w:p w14:paraId="6475082F" w14:textId="77777777" w:rsidR="00D4368C" w:rsidRDefault="001710E2">
      <w:pPr>
        <w:pStyle w:val="a3"/>
        <w:spacing w:line="360" w:lineRule="auto"/>
        <w:ind w:firstLine="420"/>
        <w:rPr>
          <w:rFonts w:hAnsi="宋体" w:cs="宋体"/>
          <w:szCs w:val="21"/>
        </w:rPr>
      </w:pPr>
      <w:r>
        <w:rPr>
          <w:rFonts w:hAnsi="宋体" w:cs="宋体" w:hint="eastAsia"/>
          <w:szCs w:val="21"/>
        </w:rPr>
        <w:t>b）债券市场不同期限、</w:t>
      </w:r>
      <w:proofErr w:type="gramStart"/>
      <w:r>
        <w:rPr>
          <w:rFonts w:hAnsi="宋体" w:cs="宋体" w:hint="eastAsia"/>
          <w:szCs w:val="21"/>
        </w:rPr>
        <w:t>不</w:t>
      </w:r>
      <w:proofErr w:type="gramEnd"/>
      <w:r>
        <w:rPr>
          <w:rFonts w:hAnsi="宋体" w:cs="宋体" w:hint="eastAsia"/>
          <w:szCs w:val="21"/>
        </w:rPr>
        <w:t>同类属债券之间的利差变动导致相应期限和类属债券价格变化的风险；</w:t>
      </w:r>
    </w:p>
    <w:p w14:paraId="78C7E231" w14:textId="77777777" w:rsidR="00D4368C" w:rsidRDefault="001710E2">
      <w:pPr>
        <w:pStyle w:val="a3"/>
        <w:spacing w:line="360" w:lineRule="auto"/>
        <w:ind w:firstLine="420"/>
        <w:rPr>
          <w:rFonts w:hAnsi="宋体" w:cs="宋体"/>
          <w:szCs w:val="21"/>
        </w:rPr>
      </w:pPr>
      <w:r>
        <w:rPr>
          <w:rFonts w:hAnsi="宋体" w:cs="宋体" w:hint="eastAsia"/>
          <w:szCs w:val="21"/>
        </w:rPr>
        <w:t>c）发行主体的风险：债券发行人出现违约导致债券无法及时兑付或付息，或由于债券发行人信用质量降低导致债券价格下降的风险；</w:t>
      </w:r>
    </w:p>
    <w:p w14:paraId="273D59F4" w14:textId="77777777" w:rsidR="00D4368C" w:rsidRDefault="001710E2">
      <w:pPr>
        <w:pStyle w:val="a3"/>
        <w:spacing w:line="360" w:lineRule="auto"/>
        <w:ind w:firstLine="420"/>
        <w:rPr>
          <w:rFonts w:hAnsi="宋体" w:cs="宋体"/>
          <w:szCs w:val="21"/>
        </w:rPr>
      </w:pPr>
      <w:r>
        <w:rPr>
          <w:rFonts w:hAnsi="宋体" w:cs="宋体" w:hint="eastAsia"/>
          <w:szCs w:val="21"/>
        </w:rPr>
        <w:t>d）流动性风险：由于债券无法及时兑付、付息，导致投资人退出、清算延期办理，或因在存续期内投资人强制提前退出，导致计划债券折价变现造成损失的风险；</w:t>
      </w:r>
    </w:p>
    <w:p w14:paraId="77B0ABB2" w14:textId="77777777" w:rsidR="00D4368C" w:rsidRDefault="001710E2">
      <w:pPr>
        <w:pStyle w:val="a3"/>
        <w:spacing w:line="360" w:lineRule="auto"/>
        <w:ind w:firstLine="420"/>
        <w:rPr>
          <w:rFonts w:hAnsi="宋体" w:cs="宋体"/>
          <w:szCs w:val="21"/>
        </w:rPr>
      </w:pPr>
      <w:r>
        <w:rPr>
          <w:rFonts w:hAnsi="宋体" w:cs="宋体" w:hint="eastAsia"/>
          <w:szCs w:val="21"/>
        </w:rPr>
        <w:t>e）再投资风险：债券偿付本息后以及回购到期后可能由于市场利率的下降面临资金再投资的收益率低于原来利率；</w:t>
      </w:r>
    </w:p>
    <w:p w14:paraId="4FB7C57F" w14:textId="77777777" w:rsidR="00D4368C" w:rsidRDefault="001710E2">
      <w:pPr>
        <w:pStyle w:val="a3"/>
        <w:spacing w:line="360" w:lineRule="auto"/>
        <w:ind w:firstLine="420"/>
        <w:rPr>
          <w:rFonts w:hAnsi="宋体" w:cs="宋体"/>
          <w:szCs w:val="21"/>
        </w:rPr>
      </w:pPr>
      <w:r>
        <w:rPr>
          <w:rFonts w:hAnsi="宋体" w:cs="宋体"/>
          <w:szCs w:val="21"/>
        </w:rPr>
        <w:t>f）债券回购风险：债券回购为提升整体投资组合收益提供了可能，其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14:paraId="58208076" w14:textId="77777777" w:rsidR="00D4368C" w:rsidRDefault="001710E2">
      <w:pPr>
        <w:pStyle w:val="a3"/>
        <w:spacing w:line="360" w:lineRule="auto"/>
        <w:ind w:firstLine="420"/>
        <w:rPr>
          <w:rFonts w:hAnsi="宋体" w:cs="宋体"/>
          <w:szCs w:val="21"/>
        </w:rPr>
      </w:pPr>
      <w:r>
        <w:rPr>
          <w:rFonts w:hAnsi="宋体" w:cs="宋体" w:hint="eastAsia"/>
          <w:szCs w:val="21"/>
        </w:rPr>
        <w:t>（8）投资于融资融券的特别风险</w:t>
      </w:r>
    </w:p>
    <w:p w14:paraId="71ED1B36" w14:textId="77777777" w:rsidR="00D4368C" w:rsidRDefault="001710E2">
      <w:pPr>
        <w:pStyle w:val="a3"/>
        <w:spacing w:line="360" w:lineRule="auto"/>
        <w:ind w:firstLine="420"/>
        <w:rPr>
          <w:rFonts w:hAnsi="宋体" w:cs="宋体"/>
          <w:szCs w:val="21"/>
        </w:rPr>
      </w:pPr>
      <w:r>
        <w:rPr>
          <w:rFonts w:hAnsi="宋体" w:cs="宋体" w:hint="eastAsia"/>
          <w:szCs w:val="21"/>
        </w:rPr>
        <w:t>a）可能放大投资损失的风险</w:t>
      </w:r>
    </w:p>
    <w:p w14:paraId="3039D97C" w14:textId="77777777" w:rsidR="00D4368C" w:rsidRDefault="001710E2">
      <w:pPr>
        <w:pStyle w:val="a3"/>
        <w:spacing w:line="360" w:lineRule="auto"/>
        <w:ind w:firstLine="420"/>
        <w:rPr>
          <w:rFonts w:hAnsi="宋体" w:cs="宋体"/>
          <w:szCs w:val="21"/>
        </w:rPr>
      </w:pPr>
      <w:r>
        <w:rPr>
          <w:rFonts w:hAnsi="宋体" w:cs="宋体" w:hint="eastAsia"/>
          <w:szCs w:val="21"/>
        </w:rPr>
        <w:t>融资融券交易与普通证券交易不同，具有财务杠杆放大效应，它在放大投资收益的同时也必然放大投资损失。进行融资融券交易时，既需要承担自有股票价格波动带来的风险，又得承担融资买入或融券卖出股票带来的风险，同时还须支付相应的利息和费用，由此承担的风险可能远远超过普通证券交易。</w:t>
      </w:r>
    </w:p>
    <w:p w14:paraId="36592F0F" w14:textId="77777777" w:rsidR="00D4368C" w:rsidRDefault="001710E2">
      <w:pPr>
        <w:pStyle w:val="a3"/>
        <w:spacing w:line="360" w:lineRule="auto"/>
        <w:ind w:firstLine="420"/>
        <w:rPr>
          <w:rFonts w:hAnsi="宋体" w:cs="宋体"/>
          <w:szCs w:val="21"/>
        </w:rPr>
      </w:pPr>
      <w:r>
        <w:rPr>
          <w:rFonts w:hAnsi="宋体" w:cs="宋体" w:hint="eastAsia"/>
          <w:szCs w:val="21"/>
        </w:rPr>
        <w:t>b）资不抵债的风险</w:t>
      </w:r>
    </w:p>
    <w:p w14:paraId="166F1118" w14:textId="77777777" w:rsidR="00D4368C" w:rsidRDefault="001710E2">
      <w:pPr>
        <w:pStyle w:val="a3"/>
        <w:spacing w:line="360" w:lineRule="auto"/>
        <w:ind w:firstLine="420"/>
        <w:rPr>
          <w:rFonts w:hAnsi="宋体" w:cs="宋体"/>
          <w:szCs w:val="21"/>
        </w:rPr>
      </w:pPr>
      <w:r>
        <w:rPr>
          <w:rFonts w:hAnsi="宋体" w:cs="宋体" w:hint="eastAsia"/>
          <w:szCs w:val="21"/>
        </w:rPr>
        <w:t>融资融券交易属于计划与证券公司之间资金和证券的借贷行为，计划需要承担因自主投资决策产生的风险，当发生亏损时，因需向证券公司偿还融资融券本金及利息，除损失自有资金外，有可能发生资不抵债的情形。</w:t>
      </w:r>
    </w:p>
    <w:p w14:paraId="3DEF7380" w14:textId="77777777" w:rsidR="00D4368C" w:rsidRDefault="001710E2">
      <w:pPr>
        <w:pStyle w:val="a3"/>
        <w:spacing w:line="360" w:lineRule="auto"/>
        <w:ind w:firstLine="420"/>
        <w:rPr>
          <w:rFonts w:hAnsi="宋体" w:cs="宋体"/>
          <w:szCs w:val="21"/>
        </w:rPr>
      </w:pPr>
      <w:r>
        <w:rPr>
          <w:rFonts w:hAnsi="宋体" w:cs="宋体" w:hint="eastAsia"/>
          <w:szCs w:val="21"/>
        </w:rPr>
        <w:t>c）特有的卖空风险</w:t>
      </w:r>
    </w:p>
    <w:p w14:paraId="262ECEAB" w14:textId="77777777" w:rsidR="00D4368C" w:rsidRDefault="001710E2">
      <w:pPr>
        <w:pStyle w:val="a3"/>
        <w:spacing w:line="360" w:lineRule="auto"/>
        <w:ind w:firstLine="420"/>
        <w:rPr>
          <w:rFonts w:hAnsi="宋体" w:cs="宋体"/>
          <w:szCs w:val="21"/>
        </w:rPr>
      </w:pPr>
      <w:r>
        <w:rPr>
          <w:rFonts w:hAnsi="宋体" w:cs="宋体" w:hint="eastAsia"/>
          <w:szCs w:val="21"/>
        </w:rPr>
        <w:t>融资融券交易中的融券交易存在着与普通证券截然不同的风险——卖空风险。普通证券投资发生的损失是有限的，最多不会超过计划投入的全部本金，但是融券交易的负债在理论上可以无限扩大，因为证券</w:t>
      </w:r>
      <w:r>
        <w:rPr>
          <w:rFonts w:hAnsi="宋体" w:cs="宋体" w:hint="eastAsia"/>
          <w:szCs w:val="21"/>
        </w:rPr>
        <w:lastRenderedPageBreak/>
        <w:t>上涨的幅度是没有上限的，而证券涨得越多，融券负债的规模就越大。此外，当融券卖出的证券长期停牌时，因无法买入证券，计划将无法及时归还融券负债，进而可能蒙受巨大的投资损失。</w:t>
      </w:r>
    </w:p>
    <w:p w14:paraId="6CBB2F70" w14:textId="77777777" w:rsidR="00D4368C" w:rsidRDefault="001710E2">
      <w:pPr>
        <w:pStyle w:val="a3"/>
        <w:spacing w:line="360" w:lineRule="auto"/>
        <w:ind w:firstLine="420"/>
        <w:rPr>
          <w:rFonts w:hAnsi="宋体" w:cs="宋体"/>
          <w:szCs w:val="21"/>
        </w:rPr>
      </w:pPr>
      <w:r>
        <w:rPr>
          <w:rFonts w:hAnsi="宋体" w:cs="宋体" w:hint="eastAsia"/>
          <w:szCs w:val="21"/>
        </w:rPr>
        <w:t>d）强制平仓风险</w:t>
      </w:r>
    </w:p>
    <w:p w14:paraId="6417DA2A" w14:textId="77777777" w:rsidR="00D4368C" w:rsidRDefault="001710E2">
      <w:pPr>
        <w:pStyle w:val="a3"/>
        <w:spacing w:line="360" w:lineRule="auto"/>
        <w:ind w:firstLine="420"/>
        <w:rPr>
          <w:rFonts w:hAnsi="宋体" w:cs="宋体"/>
          <w:szCs w:val="21"/>
        </w:rPr>
      </w:pPr>
      <w:r>
        <w:rPr>
          <w:rFonts w:hAnsi="宋体" w:cs="宋体" w:hint="eastAsia"/>
          <w:szCs w:val="21"/>
        </w:rPr>
        <w:t>融资融券交易中，计划与证券公司间除了债权债务关系，还存在因债权债务产生的信托关系和担保关系。当计划未及时偿还融资融券本金及利息或信用账户的维持担保比例触及平仓维持担保比例时，证券公司为保护自身债权并根据融资融券合同约定有权对本基金信用账户内的担保资产执行强制平仓。平仓的品种、数量、价格、时机将不受计划的控制，平仓的数量、金额可能超过计划的全部负债，由此导致的一切损失，由计划自行承担。</w:t>
      </w:r>
    </w:p>
    <w:p w14:paraId="02196E7B" w14:textId="77777777" w:rsidR="00D4368C" w:rsidRDefault="001710E2">
      <w:pPr>
        <w:pStyle w:val="a3"/>
        <w:spacing w:line="360" w:lineRule="auto"/>
        <w:ind w:firstLine="420"/>
        <w:rPr>
          <w:rFonts w:hAnsi="宋体" w:cs="宋体"/>
          <w:szCs w:val="21"/>
        </w:rPr>
      </w:pPr>
      <w:r>
        <w:rPr>
          <w:rFonts w:hAnsi="宋体" w:cs="宋体" w:hint="eastAsia"/>
          <w:szCs w:val="21"/>
        </w:rPr>
        <w:t>e）提前了结债务的风险</w:t>
      </w:r>
    </w:p>
    <w:p w14:paraId="24B00368" w14:textId="77777777" w:rsidR="00D4368C" w:rsidRDefault="001710E2">
      <w:pPr>
        <w:pStyle w:val="a3"/>
        <w:spacing w:line="360" w:lineRule="auto"/>
        <w:ind w:firstLine="420"/>
        <w:rPr>
          <w:rFonts w:hAnsi="宋体" w:cs="宋体"/>
          <w:szCs w:val="21"/>
        </w:rPr>
      </w:pPr>
      <w:r>
        <w:rPr>
          <w:rFonts w:hAnsi="宋体" w:cs="宋体" w:hint="eastAsia"/>
          <w:szCs w:val="21"/>
        </w:rPr>
        <w:t>在融资融券交易中，证券公司在融资融券合同中与计划约定提前了结融资融券债务的条款。计划在从事融资融券交易期间，如果发生可能影响计划偿债能力的重大事项或发生对标的证券产生重大不利影响的情形时，计划可能面临被证券公司提前了结融资融券交易的风险，并可能由此给计划造成损失。</w:t>
      </w:r>
    </w:p>
    <w:p w14:paraId="0F7F7265" w14:textId="77777777" w:rsidR="00D4368C" w:rsidRDefault="001710E2">
      <w:pPr>
        <w:pStyle w:val="a3"/>
        <w:spacing w:line="360" w:lineRule="auto"/>
        <w:ind w:firstLine="420"/>
        <w:rPr>
          <w:rFonts w:hAnsi="宋体" w:cs="宋体"/>
          <w:szCs w:val="21"/>
        </w:rPr>
      </w:pPr>
      <w:r>
        <w:rPr>
          <w:rFonts w:hAnsi="宋体" w:cs="宋体" w:hint="eastAsia"/>
          <w:szCs w:val="21"/>
        </w:rPr>
        <w:t>f）逆周期调节风险</w:t>
      </w:r>
    </w:p>
    <w:p w14:paraId="27544D5B" w14:textId="77777777" w:rsidR="00D4368C" w:rsidRDefault="001710E2">
      <w:pPr>
        <w:pStyle w:val="a3"/>
        <w:spacing w:line="360" w:lineRule="auto"/>
        <w:ind w:firstLine="420"/>
        <w:rPr>
          <w:rFonts w:hAnsi="宋体" w:cs="宋体"/>
          <w:szCs w:val="21"/>
        </w:rPr>
      </w:pPr>
      <w:r>
        <w:rPr>
          <w:rFonts w:hAnsi="宋体" w:cs="宋体"/>
          <w:szCs w:val="21"/>
        </w:rPr>
        <w:t>开展融资融券业务期间，当证监会、证券交易所或证券公司根据市场情况实施逆周期调节，对保证金比例、标的证券范围、可充抵保证金的证券种类及折算率、补（平）</w:t>
      </w:r>
      <w:proofErr w:type="gramStart"/>
      <w:r>
        <w:rPr>
          <w:rFonts w:hAnsi="宋体" w:cs="宋体"/>
          <w:szCs w:val="21"/>
        </w:rPr>
        <w:t>仓维持</w:t>
      </w:r>
      <w:proofErr w:type="gramEnd"/>
      <w:r>
        <w:rPr>
          <w:rFonts w:hAnsi="宋体" w:cs="宋体"/>
          <w:szCs w:val="21"/>
        </w:rPr>
        <w:t>担保比例、提取担保物的维持担保比例、补仓期限、平仓期限、接受单只担保股票的市值与该股票总市值的最大比例、客户担保物中单一证券市值的</w:t>
      </w:r>
      <w:proofErr w:type="gramStart"/>
      <w:r>
        <w:rPr>
          <w:rFonts w:hAnsi="宋体" w:cs="宋体"/>
          <w:szCs w:val="21"/>
        </w:rPr>
        <w:t>最大占</w:t>
      </w:r>
      <w:proofErr w:type="gramEnd"/>
      <w:r>
        <w:rPr>
          <w:rFonts w:hAnsi="宋体" w:cs="宋体"/>
          <w:szCs w:val="21"/>
        </w:rPr>
        <w:t>比、合约展期应满足的条件等进行动态调整或发生标的证券或担保证券暂停交易或终止上市等情况，计划将可能面临被证券公司提前了结融资融券交易、已获批的固定额度失效、保证金可用余额减少、无法提取担保物、合约无法展期、信用账户交易受限或担保物以强制平仓等形式被处分的风险，可能造成的损失由计划自行承担。</w:t>
      </w:r>
    </w:p>
    <w:p w14:paraId="68286C88" w14:textId="77777777" w:rsidR="00D4368C" w:rsidRDefault="001710E2">
      <w:pPr>
        <w:pStyle w:val="a3"/>
        <w:spacing w:line="360" w:lineRule="auto"/>
        <w:ind w:firstLine="420"/>
        <w:rPr>
          <w:rFonts w:hAnsi="宋体" w:cs="宋体"/>
          <w:szCs w:val="21"/>
        </w:rPr>
      </w:pPr>
      <w:r>
        <w:rPr>
          <w:rFonts w:hAnsi="宋体" w:cs="宋体" w:hint="eastAsia"/>
          <w:szCs w:val="21"/>
        </w:rPr>
        <w:t>8、税收风险</w:t>
      </w:r>
    </w:p>
    <w:p w14:paraId="71D87A64" w14:textId="77777777" w:rsidR="00D4368C" w:rsidRDefault="001710E2">
      <w:pPr>
        <w:pStyle w:val="a3"/>
        <w:spacing w:line="360" w:lineRule="auto"/>
        <w:ind w:firstLine="420"/>
        <w:rPr>
          <w:rFonts w:hAnsi="宋体" w:cs="宋体"/>
          <w:szCs w:val="21"/>
        </w:rPr>
      </w:pPr>
      <w:r>
        <w:rPr>
          <w:rFonts w:hAnsi="宋体" w:cs="宋体" w:hint="eastAsia"/>
          <w:szCs w:val="21"/>
        </w:rPr>
        <w:t>资产管理计划所适用的税收征管法律法规可能会由于国家相关税收政策调整而发生变化，投资者收益也可能因相关税收政策调整而受到影响。</w:t>
      </w:r>
    </w:p>
    <w:p w14:paraId="18DC3821" w14:textId="77777777" w:rsidR="00D4368C" w:rsidRDefault="001710E2">
      <w:pPr>
        <w:pStyle w:val="a3"/>
        <w:spacing w:line="360" w:lineRule="auto"/>
        <w:ind w:firstLine="420"/>
        <w:rPr>
          <w:rFonts w:hAnsi="宋体" w:cs="宋体"/>
          <w:szCs w:val="21"/>
        </w:rPr>
      </w:pPr>
      <w:r>
        <w:rPr>
          <w:rFonts w:hAnsi="宋体" w:cs="宋体" w:hint="eastAsia"/>
          <w:szCs w:val="21"/>
        </w:rPr>
        <w:t>资产管理计划运营过程中需要缴纳增值税应税的，将由委托人承担并从委托资产中支付，按照税务机关的规定以资产管理人为增值税纳税人履行纳税义务，因此可能增加资产委托人的投资税费成本。</w:t>
      </w:r>
    </w:p>
    <w:p w14:paraId="53620FBF" w14:textId="77777777" w:rsidR="00D4368C" w:rsidRDefault="001710E2">
      <w:pPr>
        <w:pStyle w:val="a3"/>
        <w:spacing w:line="360" w:lineRule="auto"/>
        <w:ind w:firstLine="420"/>
        <w:rPr>
          <w:rFonts w:hAnsi="宋体" w:cs="宋体"/>
          <w:szCs w:val="21"/>
        </w:rPr>
      </w:pPr>
      <w:r>
        <w:rPr>
          <w:rFonts w:hAnsi="宋体" w:cs="宋体" w:hint="eastAsia"/>
          <w:szCs w:val="21"/>
        </w:rPr>
        <w:t>9、关联交易风险</w:t>
      </w:r>
    </w:p>
    <w:p w14:paraId="7402F058" w14:textId="77777777" w:rsidR="00D4368C" w:rsidRDefault="001710E2">
      <w:pPr>
        <w:pStyle w:val="a3"/>
        <w:spacing w:line="360" w:lineRule="auto"/>
        <w:ind w:firstLine="420"/>
        <w:rPr>
          <w:rFonts w:hAnsi="宋体" w:cs="宋体"/>
          <w:szCs w:val="21"/>
        </w:rPr>
      </w:pPr>
      <w:r>
        <w:rPr>
          <w:rFonts w:hAnsi="宋体" w:cs="宋体" w:hint="eastAsia"/>
          <w:szCs w:val="21"/>
        </w:rPr>
        <w:t>在不损害委托人利益的前提下，管理人在根据计划合同规定管理、运用和处分计划财产时，可以公平的市场价格进行关联交易；委托人知晓并同意开展该等关联交易。该等关联交易事项可能包括但不限于管</w:t>
      </w:r>
      <w:r>
        <w:rPr>
          <w:rFonts w:hAnsi="宋体" w:cs="宋体" w:hint="eastAsia"/>
          <w:szCs w:val="21"/>
        </w:rPr>
        <w:lastRenderedPageBreak/>
        <w:t>理人可运用计划财产买卖计划管理人、托管人及其控股股东、实际控制人或者与其有其他重大利害关系的公司等关联</w:t>
      </w:r>
      <w:proofErr w:type="gramStart"/>
      <w:r>
        <w:rPr>
          <w:rFonts w:hAnsi="宋体" w:cs="宋体" w:hint="eastAsia"/>
          <w:szCs w:val="21"/>
        </w:rPr>
        <w:t>方发行</w:t>
      </w:r>
      <w:proofErr w:type="gramEnd"/>
      <w:r>
        <w:rPr>
          <w:rFonts w:hAnsi="宋体" w:cs="宋体" w:hint="eastAsia"/>
          <w:szCs w:val="21"/>
        </w:rPr>
        <w:t>的证券或承销期内承销的证券，或合同约定的其他形式的关联交易。管理人及资产管理计划相关方将根据监管规定及合同约定履行相关义务，管理人将在已知范围内确保交易价格公允。</w:t>
      </w:r>
    </w:p>
    <w:p w14:paraId="2FCB57A1" w14:textId="77777777" w:rsidR="00D4368C" w:rsidRDefault="001710E2">
      <w:pPr>
        <w:pStyle w:val="a3"/>
        <w:spacing w:line="360" w:lineRule="auto"/>
        <w:ind w:firstLine="420"/>
        <w:rPr>
          <w:rFonts w:hAnsi="宋体" w:cs="宋体"/>
          <w:szCs w:val="21"/>
        </w:rPr>
      </w:pPr>
      <w:r>
        <w:rPr>
          <w:rFonts w:hAnsi="宋体" w:cs="宋体" w:hint="eastAsia"/>
          <w:szCs w:val="21"/>
        </w:rPr>
        <w:t>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w:t>
      </w:r>
    </w:p>
    <w:p w14:paraId="26ED987A" w14:textId="77777777" w:rsidR="00D4368C" w:rsidRDefault="001710E2">
      <w:pPr>
        <w:pStyle w:val="a3"/>
        <w:spacing w:line="360" w:lineRule="auto"/>
        <w:ind w:firstLine="420"/>
        <w:rPr>
          <w:rFonts w:hAnsi="宋体" w:cs="宋体"/>
          <w:szCs w:val="21"/>
        </w:rPr>
      </w:pPr>
      <w:r>
        <w:rPr>
          <w:rFonts w:hAnsi="宋体" w:cs="宋体" w:hint="eastAsia"/>
          <w:szCs w:val="21"/>
        </w:rPr>
        <w:t xml:space="preserve">此外，资产管理人运用计划财产从事关联交易时可能依照相关法律法规、监管机构、自律组织的规定被限制相关权利的行使，进而可能影响委托财产的投资收益。 </w:t>
      </w:r>
    </w:p>
    <w:p w14:paraId="03FF43C3" w14:textId="77777777" w:rsidR="00D4368C" w:rsidRDefault="001710E2">
      <w:pPr>
        <w:pStyle w:val="a3"/>
        <w:spacing w:line="360" w:lineRule="auto"/>
        <w:ind w:firstLine="420"/>
        <w:rPr>
          <w:rFonts w:hAnsi="宋体" w:cs="宋体"/>
          <w:szCs w:val="21"/>
        </w:rPr>
      </w:pPr>
      <w:r>
        <w:rPr>
          <w:rFonts w:hAnsi="宋体" w:cs="宋体" w:hint="eastAsia"/>
          <w:szCs w:val="21"/>
        </w:rPr>
        <w:t>10、操作或技术风险</w:t>
      </w:r>
    </w:p>
    <w:p w14:paraId="72D72F3B" w14:textId="77777777" w:rsidR="00D4368C" w:rsidRDefault="001710E2">
      <w:pPr>
        <w:pStyle w:val="a3"/>
        <w:spacing w:line="360" w:lineRule="auto"/>
        <w:ind w:firstLine="420"/>
        <w:rPr>
          <w:rFonts w:hAnsi="宋体" w:cs="宋体"/>
          <w:szCs w:val="21"/>
        </w:rPr>
      </w:pPr>
      <w:r>
        <w:rPr>
          <w:rFonts w:hAnsi="宋体" w:cs="宋体" w:hint="eastAsia"/>
          <w:szCs w:val="21"/>
        </w:rPr>
        <w:t>相关当事人在业务各环节操作过程中，因内部控制存在缺陷或者人为因素造成操作失误或违反操作规程等引致的风险，例如，越权违规交易、会计部门欺诈、交易错误、IT系统故障等风险。</w:t>
      </w:r>
    </w:p>
    <w:p w14:paraId="443BEEC2" w14:textId="77777777" w:rsidR="00D4368C" w:rsidRDefault="001710E2">
      <w:pPr>
        <w:pStyle w:val="a3"/>
        <w:spacing w:line="360" w:lineRule="auto"/>
        <w:ind w:firstLine="420"/>
        <w:rPr>
          <w:rFonts w:hAnsi="宋体" w:cs="宋体"/>
          <w:szCs w:val="21"/>
        </w:rPr>
      </w:pPr>
      <w:r>
        <w:rPr>
          <w:rFonts w:hAnsi="宋体" w:cs="宋体" w:hint="eastAsia"/>
          <w:szCs w:val="21"/>
        </w:rPr>
        <w:t>在计划的各种交易行为或者后台运作中，可能因为技术系统的故障或者差错而影响交易的正常进行或者导致投资者的利益受到影响。这种技术风险可能来自基金管理公司、注册登记机构、销售机构、证券交易所、证券注册登记机构等。</w:t>
      </w:r>
    </w:p>
    <w:p w14:paraId="4A4359EC" w14:textId="77777777" w:rsidR="00D4368C" w:rsidRDefault="001710E2">
      <w:pPr>
        <w:pStyle w:val="a3"/>
        <w:spacing w:line="360" w:lineRule="auto"/>
        <w:ind w:firstLine="420"/>
        <w:rPr>
          <w:rFonts w:hAnsi="宋体" w:cs="宋体"/>
          <w:szCs w:val="21"/>
        </w:rPr>
      </w:pPr>
      <w:r>
        <w:rPr>
          <w:rFonts w:hAnsi="宋体" w:cs="宋体" w:hint="eastAsia"/>
          <w:szCs w:val="21"/>
        </w:rPr>
        <w:t>11、发生不可抗力事件的风险及其他风险</w:t>
      </w:r>
    </w:p>
    <w:p w14:paraId="14DD9D96" w14:textId="77777777" w:rsidR="00D4368C" w:rsidRDefault="001710E2">
      <w:pPr>
        <w:pStyle w:val="a3"/>
        <w:spacing w:line="360" w:lineRule="auto"/>
        <w:ind w:firstLine="420"/>
        <w:rPr>
          <w:rFonts w:hAnsi="宋体" w:cs="宋体"/>
          <w:szCs w:val="21"/>
        </w:rPr>
      </w:pPr>
      <w:r>
        <w:rPr>
          <w:rFonts w:hAnsi="宋体" w:cs="宋体" w:hint="eastAsia"/>
          <w:szCs w:val="21"/>
        </w:rPr>
        <w:t>（1）战争、自然灾害等不可抗力因素的出现，将会严重影响证券市场的运行，可能导致资产管理计划财产的损失；</w:t>
      </w:r>
    </w:p>
    <w:p w14:paraId="14F337B8" w14:textId="77777777" w:rsidR="00D4368C" w:rsidRDefault="001710E2">
      <w:pPr>
        <w:pStyle w:val="a3"/>
        <w:spacing w:line="360" w:lineRule="auto"/>
        <w:ind w:firstLine="420"/>
        <w:rPr>
          <w:rFonts w:hAnsi="宋体" w:cs="宋体"/>
          <w:szCs w:val="21"/>
        </w:rPr>
      </w:pPr>
      <w:r>
        <w:rPr>
          <w:rFonts w:hAnsi="宋体" w:cs="宋体" w:hint="eastAsia"/>
          <w:szCs w:val="21"/>
        </w:rPr>
        <w:t>（2）金融市场危机、行业竞争、代理商违约等超出管理人自身直接控制能力之外的风险，也可能导致投资者利益受损。</w:t>
      </w:r>
    </w:p>
    <w:p w14:paraId="51AD5879" w14:textId="77777777" w:rsidR="00D4368C" w:rsidRDefault="001710E2">
      <w:pPr>
        <w:pStyle w:val="a3"/>
        <w:spacing w:line="360" w:lineRule="auto"/>
        <w:ind w:firstLine="420"/>
        <w:rPr>
          <w:rFonts w:hAnsi="宋体" w:cs="宋体"/>
          <w:szCs w:val="21"/>
        </w:rPr>
      </w:pPr>
      <w:r>
        <w:rPr>
          <w:rFonts w:hAnsi="宋体" w:cs="宋体" w:hint="eastAsia"/>
          <w:szCs w:val="21"/>
        </w:rPr>
        <w:t>（3）对交由登记结算机构、证券期货经营机构、交易所等机构负责清算、保管的资产（包括但不限于期货保证金、合约等）及其产生的收益因该等机构欺诈、疏忽、过失、破产等原因对资产管理计划财产造成的损失。</w:t>
      </w:r>
    </w:p>
    <w:p w14:paraId="0227F081" w14:textId="77777777" w:rsidR="00D4368C" w:rsidRDefault="001710E2">
      <w:pPr>
        <w:pStyle w:val="a3"/>
        <w:spacing w:line="360" w:lineRule="auto"/>
        <w:ind w:firstLine="420"/>
        <w:rPr>
          <w:rFonts w:hAnsi="宋体" w:cs="宋体"/>
          <w:szCs w:val="21"/>
        </w:rPr>
      </w:pPr>
      <w:r>
        <w:rPr>
          <w:rFonts w:hAnsi="宋体" w:cs="宋体" w:hint="eastAsia"/>
          <w:szCs w:val="21"/>
        </w:rPr>
        <w:t>（4）在资产管理计划存续期间，管理人在一定条件下存在变更投资经理人选的可能，会对资产管理计划投资策略的执行产生影响。</w:t>
      </w:r>
    </w:p>
    <w:p w14:paraId="51423079" w14:textId="77777777" w:rsidR="00D4368C" w:rsidRDefault="001710E2">
      <w:pPr>
        <w:pStyle w:val="a3"/>
        <w:spacing w:line="360" w:lineRule="auto"/>
        <w:ind w:firstLine="420"/>
        <w:rPr>
          <w:rFonts w:hAnsi="宋体" w:cs="宋体"/>
          <w:szCs w:val="21"/>
        </w:rPr>
      </w:pPr>
      <w:r>
        <w:rPr>
          <w:rFonts w:hAnsi="宋体" w:cs="宋体" w:hint="eastAsia"/>
          <w:szCs w:val="21"/>
        </w:rPr>
        <w:t>（5）可能危害资产管理计划财产导致投资者利益受损的其他风险。</w:t>
      </w:r>
    </w:p>
    <w:p w14:paraId="734A60DB" w14:textId="77777777" w:rsidR="00D4368C" w:rsidRDefault="001710E2">
      <w:pPr>
        <w:pStyle w:val="a3"/>
        <w:spacing w:line="360" w:lineRule="auto"/>
        <w:ind w:firstLine="420"/>
        <w:rPr>
          <w:rFonts w:hAnsi="宋体" w:cs="宋体"/>
          <w:szCs w:val="21"/>
        </w:rPr>
      </w:pPr>
      <w:r>
        <w:rPr>
          <w:rFonts w:hAnsi="宋体" w:cs="宋体" w:hint="eastAsia"/>
          <w:szCs w:val="21"/>
        </w:rPr>
        <w:t>三、投资者声明</w:t>
      </w:r>
    </w:p>
    <w:p w14:paraId="0772ACAB"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作为本计划（光大期货-光大理财阳光精选2号集合资产管理计划）的投资者，本人/机构已充分了解并谨慎评估自身风险承受能力，自愿自行承担投资该计划所面临的风险。本人/机构</w:t>
      </w:r>
      <w:proofErr w:type="gramStart"/>
      <w:r>
        <w:rPr>
          <w:rFonts w:hAnsi="宋体" w:cs="宋体" w:hint="eastAsia"/>
          <w:szCs w:val="21"/>
        </w:rPr>
        <w:t>作出</w:t>
      </w:r>
      <w:proofErr w:type="gramEnd"/>
      <w:r>
        <w:rPr>
          <w:rFonts w:hAnsi="宋体" w:cs="宋体" w:hint="eastAsia"/>
          <w:szCs w:val="21"/>
        </w:rPr>
        <w:t>以下陈述和声明，并确认（自然人投资者在每段段尾“【  】”内签名，机构投资者在本页、</w:t>
      </w:r>
      <w:proofErr w:type="gramStart"/>
      <w:r>
        <w:rPr>
          <w:rFonts w:hAnsi="宋体" w:cs="宋体" w:hint="eastAsia"/>
          <w:szCs w:val="21"/>
        </w:rPr>
        <w:t>尾页盖章</w:t>
      </w:r>
      <w:proofErr w:type="gramEnd"/>
      <w:r>
        <w:rPr>
          <w:rFonts w:hAnsi="宋体" w:cs="宋体" w:hint="eastAsia"/>
          <w:szCs w:val="21"/>
        </w:rPr>
        <w:t>，加盖骑缝章）其内容的真实和正确：</w:t>
      </w:r>
    </w:p>
    <w:p w14:paraId="5556E061" w14:textId="77777777" w:rsidR="00D4368C" w:rsidRDefault="001710E2">
      <w:pPr>
        <w:pStyle w:val="a3"/>
        <w:spacing w:line="360" w:lineRule="auto"/>
        <w:ind w:firstLine="420"/>
        <w:rPr>
          <w:rFonts w:hAnsi="宋体" w:cs="宋体"/>
          <w:szCs w:val="21"/>
        </w:rPr>
      </w:pPr>
      <w:r>
        <w:rPr>
          <w:rFonts w:hAnsi="宋体" w:cs="宋体" w:hint="eastAsia"/>
          <w:szCs w:val="21"/>
        </w:rPr>
        <w:t>1、本人/机构已仔细阅读资产管理业务相关法律文件和其他文件，充分理解相关权利、义务、本计划运作方式及风险收益特征，愿意承担由上述风险引致的全部后果。【        】</w:t>
      </w:r>
    </w:p>
    <w:p w14:paraId="00EAD54A" w14:textId="77777777" w:rsidR="00D4368C" w:rsidRDefault="001710E2">
      <w:pPr>
        <w:pStyle w:val="a3"/>
        <w:spacing w:line="360" w:lineRule="auto"/>
        <w:ind w:firstLine="420"/>
        <w:rPr>
          <w:rFonts w:hAnsi="宋体" w:cs="宋体"/>
          <w:szCs w:val="21"/>
        </w:rPr>
      </w:pPr>
      <w:r>
        <w:rPr>
          <w:rFonts w:hAnsi="宋体" w:cs="宋体" w:hint="eastAsia"/>
          <w:szCs w:val="21"/>
        </w:rPr>
        <w:t>2、本人/机构知晓，管理人、销售机构、托管人及相关机构不应当对资产管理计划财产的收益状况</w:t>
      </w:r>
      <w:proofErr w:type="gramStart"/>
      <w:r>
        <w:rPr>
          <w:rFonts w:hAnsi="宋体" w:cs="宋体" w:hint="eastAsia"/>
          <w:szCs w:val="21"/>
        </w:rPr>
        <w:t>作出</w:t>
      </w:r>
      <w:proofErr w:type="gramEnd"/>
      <w:r>
        <w:rPr>
          <w:rFonts w:hAnsi="宋体" w:cs="宋体" w:hint="eastAsia"/>
          <w:szCs w:val="21"/>
        </w:rPr>
        <w:t>任何承诺或担保。【        】</w:t>
      </w:r>
    </w:p>
    <w:p w14:paraId="4C052883" w14:textId="77777777" w:rsidR="00D4368C" w:rsidRDefault="001710E2">
      <w:pPr>
        <w:pStyle w:val="a3"/>
        <w:spacing w:line="360" w:lineRule="auto"/>
        <w:ind w:firstLine="420"/>
        <w:rPr>
          <w:rFonts w:hAnsi="宋体" w:cs="宋体"/>
          <w:szCs w:val="21"/>
        </w:rPr>
      </w:pPr>
      <w:r>
        <w:rPr>
          <w:rFonts w:hAnsi="宋体" w:cs="宋体" w:hint="eastAsia"/>
          <w:szCs w:val="21"/>
        </w:rPr>
        <w:t>3、本人/机构符合《证券期货经营机构私募资产管理计划运作管理规定》有关合格投资者的要求，并已按照管理人或销售机构的要求提供相关证明文件。【        】</w:t>
      </w:r>
    </w:p>
    <w:p w14:paraId="7CEFFF02" w14:textId="77777777" w:rsidR="00D4368C" w:rsidRDefault="001710E2">
      <w:pPr>
        <w:pStyle w:val="a3"/>
        <w:spacing w:line="360" w:lineRule="auto"/>
        <w:ind w:firstLine="420"/>
        <w:rPr>
          <w:rFonts w:hAnsi="宋体" w:cs="宋体"/>
          <w:szCs w:val="21"/>
        </w:rPr>
      </w:pPr>
      <w:r>
        <w:rPr>
          <w:rFonts w:hAnsi="宋体" w:cs="宋体" w:hint="eastAsia"/>
          <w:szCs w:val="21"/>
        </w:rPr>
        <w:t>4、本人/机构已认真阅读并完全理解资产管理合同的所有内容，并愿意自行承担购买资产管理计划的法律责任。【        】</w:t>
      </w:r>
    </w:p>
    <w:p w14:paraId="1E16D7BB" w14:textId="77777777" w:rsidR="00D4368C" w:rsidRDefault="001710E2">
      <w:pPr>
        <w:pStyle w:val="a3"/>
        <w:spacing w:line="360" w:lineRule="auto"/>
        <w:ind w:firstLine="420"/>
        <w:rPr>
          <w:rFonts w:hAnsi="宋体" w:cs="宋体"/>
          <w:szCs w:val="21"/>
        </w:rPr>
      </w:pPr>
      <w:r>
        <w:rPr>
          <w:rFonts w:hAnsi="宋体" w:cs="宋体" w:hint="eastAsia"/>
          <w:szCs w:val="21"/>
        </w:rPr>
        <w:t>5、本人/机构已认真阅读并完全理解资产管理合同第四章“当事人及权利义务”的所有内容，并愿意自行承担购买资产管理计划的法律责任。【        】</w:t>
      </w:r>
    </w:p>
    <w:p w14:paraId="6D5ED8E7" w14:textId="77777777" w:rsidR="00D4368C" w:rsidRDefault="001710E2">
      <w:pPr>
        <w:pStyle w:val="a3"/>
        <w:spacing w:line="360" w:lineRule="auto"/>
        <w:ind w:firstLine="420"/>
        <w:rPr>
          <w:rFonts w:hAnsi="宋体" w:cs="宋体"/>
          <w:szCs w:val="21"/>
        </w:rPr>
      </w:pPr>
      <w:r>
        <w:rPr>
          <w:rFonts w:hAnsi="宋体" w:cs="宋体" w:hint="eastAsia"/>
          <w:szCs w:val="21"/>
        </w:rPr>
        <w:t>6、本人/机构已认真阅读并完全理解资产管理合同第十一章“资产管理计划的投资”的所有内容，并愿意自行承担购买资产管理计划的法律责任。【        】</w:t>
      </w:r>
    </w:p>
    <w:p w14:paraId="6AB40A0E" w14:textId="77777777" w:rsidR="00D4368C" w:rsidRDefault="001710E2">
      <w:pPr>
        <w:pStyle w:val="a3"/>
        <w:spacing w:line="360" w:lineRule="auto"/>
        <w:ind w:firstLine="420"/>
        <w:rPr>
          <w:rFonts w:hAnsi="宋体" w:cs="宋体"/>
          <w:szCs w:val="21"/>
        </w:rPr>
      </w:pPr>
      <w:r>
        <w:rPr>
          <w:rFonts w:hAnsi="宋体" w:cs="宋体" w:hint="eastAsia"/>
          <w:szCs w:val="21"/>
        </w:rPr>
        <w:t>7、本人/机构已认真阅读并完全理解资产管理合同第二十一章“资产管理计划的费用与税收”中的所有内容。【        】</w:t>
      </w:r>
    </w:p>
    <w:p w14:paraId="17F2A9E8" w14:textId="77777777" w:rsidR="00D4368C" w:rsidRDefault="001710E2">
      <w:pPr>
        <w:pStyle w:val="a3"/>
        <w:spacing w:line="360" w:lineRule="auto"/>
        <w:ind w:firstLine="420"/>
        <w:rPr>
          <w:rFonts w:hAnsi="宋体" w:cs="宋体"/>
          <w:szCs w:val="21"/>
        </w:rPr>
      </w:pPr>
      <w:r>
        <w:rPr>
          <w:rFonts w:hAnsi="宋体" w:cs="宋体" w:hint="eastAsia"/>
          <w:szCs w:val="21"/>
        </w:rPr>
        <w:t>8、本人/机构已认真阅读并完全理解资产管理合同第二十九章“法律适用和争议的处理”中的所有内容。【        】</w:t>
      </w:r>
    </w:p>
    <w:p w14:paraId="536CF58F" w14:textId="77777777" w:rsidR="00D4368C" w:rsidRDefault="001710E2">
      <w:pPr>
        <w:pStyle w:val="a3"/>
        <w:spacing w:line="360" w:lineRule="auto"/>
        <w:ind w:firstLine="420"/>
        <w:rPr>
          <w:rFonts w:hAnsi="宋体" w:cs="宋体"/>
          <w:szCs w:val="21"/>
        </w:rPr>
      </w:pPr>
      <w:r>
        <w:rPr>
          <w:rFonts w:hAnsi="宋体" w:cs="宋体" w:hint="eastAsia"/>
          <w:szCs w:val="21"/>
        </w:rPr>
        <w:t>9、本人/机构已经配合管理人或其销售机构提供了法律法规规定的信息资料及身份证明文件，以配合上述机构完成投资者适当性管理、非居民金融账户涉税信息尽职调查以及反洗钱等监管规定的工作。</w:t>
      </w:r>
    </w:p>
    <w:p w14:paraId="16154558" w14:textId="77777777" w:rsidR="00D4368C" w:rsidRDefault="001710E2">
      <w:pPr>
        <w:pStyle w:val="a3"/>
        <w:spacing w:line="360" w:lineRule="auto"/>
        <w:ind w:firstLine="420"/>
        <w:rPr>
          <w:rFonts w:hAnsi="宋体" w:cs="宋体"/>
          <w:szCs w:val="21"/>
        </w:rPr>
      </w:pPr>
      <w:r>
        <w:rPr>
          <w:rFonts w:hAnsi="宋体" w:cs="宋体" w:hint="eastAsia"/>
          <w:szCs w:val="21"/>
        </w:rPr>
        <w:t>本人/机构承诺上述信息资料及身份证明文件真实、准确、完整、有效。【        】</w:t>
      </w:r>
    </w:p>
    <w:p w14:paraId="49120501" w14:textId="77777777" w:rsidR="00D4368C" w:rsidRDefault="001710E2">
      <w:pPr>
        <w:pStyle w:val="a3"/>
        <w:spacing w:line="360" w:lineRule="auto"/>
        <w:ind w:firstLine="420"/>
        <w:rPr>
          <w:rFonts w:hAnsi="宋体" w:cs="宋体"/>
          <w:szCs w:val="21"/>
        </w:rPr>
      </w:pPr>
      <w:r>
        <w:rPr>
          <w:rFonts w:hAnsi="宋体" w:cs="宋体" w:hint="eastAsia"/>
          <w:szCs w:val="21"/>
        </w:rPr>
        <w:t>10、本人/机构知晓，证券投资基金业协会为资产管理计划办理备案不构成对管理人投资能力、持续合</w:t>
      </w:r>
      <w:proofErr w:type="gramStart"/>
      <w:r>
        <w:rPr>
          <w:rFonts w:hAnsi="宋体" w:cs="宋体" w:hint="eastAsia"/>
          <w:szCs w:val="21"/>
        </w:rPr>
        <w:t>规</w:t>
      </w:r>
      <w:proofErr w:type="gramEnd"/>
      <w:r>
        <w:rPr>
          <w:rFonts w:hAnsi="宋体" w:cs="宋体" w:hint="eastAsia"/>
          <w:szCs w:val="21"/>
        </w:rPr>
        <w:t>情况的认可；不作为对资产管理计划财产安全的保证。【        】</w:t>
      </w:r>
    </w:p>
    <w:p w14:paraId="5356CE81" w14:textId="77777777" w:rsidR="00D4368C" w:rsidRDefault="001710E2">
      <w:pPr>
        <w:pStyle w:val="a3"/>
        <w:spacing w:line="360" w:lineRule="auto"/>
        <w:ind w:firstLine="420"/>
        <w:rPr>
          <w:rFonts w:hAnsi="宋体" w:cs="宋体"/>
          <w:szCs w:val="21"/>
        </w:rPr>
      </w:pPr>
      <w:r>
        <w:rPr>
          <w:rFonts w:hAnsi="宋体" w:cs="宋体" w:hint="eastAsia"/>
          <w:szCs w:val="21"/>
        </w:rPr>
        <w:t>11、本人/机构承诺本次投资行为是为本人/机构购买（参与）资产管理计划。【        】</w:t>
      </w:r>
    </w:p>
    <w:p w14:paraId="443D0E38" w14:textId="77777777" w:rsidR="00D4368C" w:rsidRDefault="001710E2">
      <w:pPr>
        <w:pStyle w:val="a3"/>
        <w:spacing w:line="360" w:lineRule="auto"/>
        <w:ind w:firstLine="420"/>
        <w:rPr>
          <w:rFonts w:hAnsi="宋体" w:cs="宋体"/>
          <w:szCs w:val="21"/>
        </w:rPr>
      </w:pPr>
      <w:r>
        <w:rPr>
          <w:rFonts w:hAnsi="宋体" w:cs="宋体" w:hint="eastAsia"/>
          <w:szCs w:val="21"/>
        </w:rPr>
        <w:t>12、本人/机构承诺不以非法拆分转让为目的购买资产管理计划，不会突破合格投资者标准，将资产管理计划份额或其收益权进行非法拆分转让。【        】</w:t>
      </w:r>
    </w:p>
    <w:p w14:paraId="75574EA3" w14:textId="77777777" w:rsidR="00D4368C" w:rsidRDefault="001710E2">
      <w:pPr>
        <w:pStyle w:val="a3"/>
        <w:spacing w:line="360" w:lineRule="auto"/>
        <w:ind w:firstLine="420"/>
        <w:rPr>
          <w:rFonts w:hAnsi="宋体" w:cs="宋体"/>
          <w:szCs w:val="21"/>
        </w:rPr>
      </w:pPr>
      <w:r>
        <w:rPr>
          <w:rFonts w:hAnsi="宋体" w:cs="宋体" w:hint="eastAsia"/>
          <w:szCs w:val="21"/>
        </w:rPr>
        <w:lastRenderedPageBreak/>
        <w:t>13、本人/机构知悉</w:t>
      </w:r>
      <w:proofErr w:type="gramStart"/>
      <w:r>
        <w:rPr>
          <w:rFonts w:hAnsi="宋体" w:cs="宋体" w:hint="eastAsia"/>
          <w:szCs w:val="21"/>
        </w:rPr>
        <w:t>本风险</w:t>
      </w:r>
      <w:proofErr w:type="gramEnd"/>
      <w:r>
        <w:rPr>
          <w:rFonts w:hAnsi="宋体" w:cs="宋体" w:hint="eastAsia"/>
          <w:szCs w:val="21"/>
        </w:rPr>
        <w:t>揭示书的揭示事项仅为列举性质，未能详尽列明投资者参与资产管理计划所面临的全部风险和可能导致投资者资产损失的所有因素。【        】</w:t>
      </w:r>
    </w:p>
    <w:p w14:paraId="3170AA51" w14:textId="77777777" w:rsidR="00D4368C" w:rsidRDefault="00D4368C">
      <w:pPr>
        <w:pStyle w:val="a3"/>
        <w:spacing w:line="360" w:lineRule="auto"/>
        <w:ind w:firstLine="420"/>
        <w:rPr>
          <w:rFonts w:hAnsi="宋体" w:cs="宋体"/>
          <w:szCs w:val="21"/>
        </w:rPr>
      </w:pPr>
    </w:p>
    <w:p w14:paraId="4A42BCDE" w14:textId="77777777" w:rsidR="00D4368C" w:rsidRDefault="001710E2">
      <w:pPr>
        <w:spacing w:line="360" w:lineRule="auto"/>
        <w:rPr>
          <w:rFonts w:ascii="宋体" w:eastAsia="宋体" w:hAnsi="宋体" w:cs="宋体"/>
          <w:b/>
          <w:sz w:val="21"/>
          <w:szCs w:val="21"/>
        </w:rPr>
      </w:pPr>
      <w:r>
        <w:rPr>
          <w:rFonts w:ascii="宋体" w:eastAsia="宋体" w:hAnsi="宋体" w:cs="宋体" w:hint="eastAsia"/>
          <w:b/>
          <w:sz w:val="21"/>
          <w:szCs w:val="21"/>
        </w:rPr>
        <w:t xml:space="preserve">投资者（自然人签字或机构盖章）：   </w:t>
      </w:r>
    </w:p>
    <w:p w14:paraId="7D546983" w14:textId="77777777" w:rsidR="00D4368C" w:rsidRDefault="001710E2">
      <w:pPr>
        <w:spacing w:line="360" w:lineRule="auto"/>
        <w:rPr>
          <w:rFonts w:ascii="宋体" w:eastAsia="宋体" w:hAnsi="宋体" w:cs="宋体"/>
          <w:b/>
          <w:sz w:val="21"/>
          <w:szCs w:val="21"/>
        </w:rPr>
      </w:pPr>
      <w:r>
        <w:rPr>
          <w:rFonts w:ascii="宋体" w:eastAsia="宋体" w:hAnsi="宋体" w:cs="宋体" w:hint="eastAsia"/>
          <w:sz w:val="21"/>
          <w:szCs w:val="21"/>
        </w:rPr>
        <w:t>日期：</w:t>
      </w:r>
      <w:r>
        <w:rPr>
          <w:rFonts w:ascii="宋体" w:eastAsia="宋体" w:hAnsi="宋体" w:cs="宋体" w:hint="eastAsia"/>
          <w:sz w:val="21"/>
          <w:szCs w:val="21"/>
        </w:rPr>
        <w:tab/>
      </w:r>
    </w:p>
    <w:p w14:paraId="2A60B0C4" w14:textId="77777777" w:rsidR="00D4368C" w:rsidRDefault="00D4368C">
      <w:pPr>
        <w:spacing w:line="360" w:lineRule="auto"/>
        <w:rPr>
          <w:rFonts w:ascii="宋体" w:eastAsia="宋体" w:hAnsi="宋体" w:cs="宋体"/>
          <w:b/>
          <w:sz w:val="21"/>
          <w:szCs w:val="21"/>
        </w:rPr>
      </w:pPr>
    </w:p>
    <w:p w14:paraId="5A6A1183" w14:textId="77777777" w:rsidR="00D4368C" w:rsidRDefault="00D4368C">
      <w:pPr>
        <w:pStyle w:val="NormalIndent"/>
        <w:rPr>
          <w:rFonts w:ascii="宋体" w:eastAsia="宋体" w:hAnsi="宋体" w:cs="宋体"/>
          <w:b/>
          <w:sz w:val="21"/>
          <w:szCs w:val="21"/>
        </w:rPr>
      </w:pPr>
    </w:p>
    <w:p w14:paraId="322EC547" w14:textId="77777777" w:rsidR="00D4368C" w:rsidRDefault="00D4368C">
      <w:pPr>
        <w:pStyle w:val="NormalIndent"/>
        <w:rPr>
          <w:rFonts w:ascii="宋体" w:eastAsia="宋体" w:hAnsi="宋体" w:cs="宋体"/>
          <w:b/>
          <w:sz w:val="21"/>
          <w:szCs w:val="21"/>
        </w:rPr>
      </w:pPr>
    </w:p>
    <w:p w14:paraId="475303D8" w14:textId="77777777" w:rsidR="00D4368C" w:rsidRDefault="001710E2">
      <w:pPr>
        <w:spacing w:line="360" w:lineRule="auto"/>
        <w:rPr>
          <w:rFonts w:ascii="宋体" w:eastAsia="宋体" w:hAnsi="宋体" w:cs="宋体"/>
          <w:b/>
          <w:sz w:val="21"/>
          <w:szCs w:val="21"/>
        </w:rPr>
      </w:pPr>
      <w:r>
        <w:rPr>
          <w:rFonts w:ascii="宋体" w:eastAsia="宋体" w:hAnsi="宋体" w:cs="宋体" w:hint="eastAsia"/>
          <w:b/>
          <w:sz w:val="21"/>
          <w:szCs w:val="21"/>
        </w:rPr>
        <w:t xml:space="preserve">管理人（盖章）：   </w:t>
      </w:r>
    </w:p>
    <w:p w14:paraId="56C74125" w14:textId="77777777" w:rsidR="00D4368C" w:rsidRDefault="001710E2">
      <w:pPr>
        <w:spacing w:line="360" w:lineRule="auto"/>
        <w:rPr>
          <w:rFonts w:ascii="宋体" w:eastAsia="宋体" w:hAnsi="宋体" w:cs="宋体"/>
          <w:b/>
          <w:sz w:val="21"/>
          <w:szCs w:val="21"/>
        </w:rPr>
      </w:pPr>
      <w:r>
        <w:rPr>
          <w:rFonts w:ascii="宋体" w:eastAsia="宋体" w:hAnsi="宋体" w:cs="宋体" w:hint="eastAsia"/>
          <w:sz w:val="21"/>
          <w:szCs w:val="21"/>
        </w:rPr>
        <w:t>日期：</w:t>
      </w:r>
      <w:r>
        <w:rPr>
          <w:rFonts w:ascii="宋体" w:eastAsia="宋体" w:hAnsi="宋体" w:cs="宋体" w:hint="eastAsia"/>
          <w:sz w:val="21"/>
          <w:szCs w:val="21"/>
        </w:rPr>
        <w:tab/>
      </w:r>
    </w:p>
    <w:p w14:paraId="351B13D1" w14:textId="77777777" w:rsidR="00D4368C" w:rsidRDefault="00D4368C">
      <w:pPr>
        <w:spacing w:line="360" w:lineRule="auto"/>
        <w:rPr>
          <w:rFonts w:ascii="宋体" w:eastAsia="宋体" w:hAnsi="宋体" w:cs="宋体"/>
          <w:b/>
          <w:sz w:val="21"/>
          <w:szCs w:val="21"/>
        </w:rPr>
      </w:pPr>
    </w:p>
    <w:p w14:paraId="6AD3F790" w14:textId="77777777" w:rsidR="00D4368C" w:rsidRDefault="00D4368C">
      <w:pPr>
        <w:pStyle w:val="NormalIndent"/>
        <w:rPr>
          <w:rFonts w:ascii="宋体" w:eastAsia="宋体" w:hAnsi="宋体" w:cs="宋体"/>
          <w:b/>
          <w:sz w:val="21"/>
          <w:szCs w:val="21"/>
        </w:rPr>
      </w:pPr>
    </w:p>
    <w:p w14:paraId="60CD49D2" w14:textId="77777777" w:rsidR="00D4368C" w:rsidRDefault="00D4368C">
      <w:pPr>
        <w:pStyle w:val="NormalIndent"/>
        <w:rPr>
          <w:rFonts w:ascii="宋体" w:eastAsia="宋体" w:hAnsi="宋体" w:cs="宋体"/>
          <w:b/>
          <w:sz w:val="21"/>
          <w:szCs w:val="21"/>
        </w:rPr>
      </w:pPr>
    </w:p>
    <w:p w14:paraId="3E95D687" w14:textId="77777777" w:rsidR="00D4368C" w:rsidRDefault="001710E2">
      <w:pPr>
        <w:spacing w:line="360" w:lineRule="auto"/>
        <w:rPr>
          <w:rFonts w:ascii="宋体" w:eastAsia="宋体" w:hAnsi="宋体" w:cs="宋体"/>
          <w:b/>
          <w:sz w:val="21"/>
          <w:szCs w:val="21"/>
        </w:rPr>
      </w:pPr>
      <w:r>
        <w:rPr>
          <w:rFonts w:ascii="宋体" w:eastAsia="宋体" w:hAnsi="宋体" w:cs="宋体" w:hint="eastAsia"/>
          <w:b/>
          <w:sz w:val="21"/>
          <w:szCs w:val="21"/>
        </w:rPr>
        <w:t>销售机构经办人（签字）：</w:t>
      </w:r>
    </w:p>
    <w:p w14:paraId="1553DFB3" w14:textId="77777777" w:rsidR="00D4368C" w:rsidRDefault="001710E2">
      <w:pPr>
        <w:widowControl/>
        <w:spacing w:line="360" w:lineRule="auto"/>
        <w:jc w:val="left"/>
        <w:rPr>
          <w:rFonts w:ascii="宋体" w:eastAsia="宋体" w:hAnsi="宋体" w:cs="宋体"/>
        </w:rPr>
      </w:pPr>
      <w:r>
        <w:rPr>
          <w:rFonts w:ascii="宋体" w:eastAsia="宋体" w:hAnsi="宋体" w:cs="宋体" w:hint="eastAsia"/>
          <w:sz w:val="21"/>
          <w:szCs w:val="21"/>
        </w:rPr>
        <w:t>日期：</w:t>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rPr>
        <w:tab/>
        <w:t xml:space="preserve">         </w:t>
      </w:r>
      <w:r>
        <w:rPr>
          <w:rFonts w:ascii="宋体" w:eastAsia="宋体" w:hAnsi="宋体" w:cs="宋体" w:hint="eastAsia"/>
        </w:rPr>
        <w:br w:type="page"/>
      </w:r>
    </w:p>
    <w:p w14:paraId="4DB983A8" w14:textId="77777777" w:rsidR="00D4368C" w:rsidRDefault="001710E2">
      <w:pPr>
        <w:pStyle w:val="Heading1"/>
        <w:jc w:val="left"/>
        <w:rPr>
          <w:rFonts w:ascii="宋体" w:eastAsia="宋体" w:hAnsi="宋体" w:cs="宋体"/>
          <w:bCs w:val="0"/>
          <w:szCs w:val="21"/>
        </w:rPr>
      </w:pPr>
      <w:bookmarkStart w:id="85" w:name="_Toc70622213"/>
      <w:bookmarkStart w:id="86" w:name="_Toc44426228"/>
      <w:r>
        <w:rPr>
          <w:rFonts w:ascii="宋体" w:eastAsia="宋体" w:hAnsi="宋体" w:cs="宋体" w:hint="eastAsia"/>
          <w:sz w:val="24"/>
          <w:szCs w:val="21"/>
        </w:rPr>
        <w:lastRenderedPageBreak/>
        <w:t>附件三</w:t>
      </w:r>
      <w:bookmarkEnd w:id="85"/>
      <w:bookmarkEnd w:id="86"/>
    </w:p>
    <w:p w14:paraId="60FCB59F" w14:textId="77777777" w:rsidR="00D4368C" w:rsidRDefault="001710E2">
      <w:pPr>
        <w:jc w:val="center"/>
        <w:rPr>
          <w:rFonts w:ascii="宋体" w:eastAsia="宋体" w:hAnsi="宋体" w:cs="宋体"/>
          <w:b/>
          <w:color w:val="000000"/>
          <w:sz w:val="28"/>
          <w:szCs w:val="28"/>
        </w:rPr>
      </w:pPr>
      <w:r>
        <w:rPr>
          <w:rFonts w:ascii="宋体" w:eastAsia="宋体" w:hAnsi="宋体" w:cs="宋体" w:hint="eastAsia"/>
          <w:b/>
          <w:color w:val="000000"/>
          <w:sz w:val="28"/>
          <w:szCs w:val="28"/>
        </w:rPr>
        <w:t>划款指令（样本）</w:t>
      </w:r>
    </w:p>
    <w:p w14:paraId="59D07CB0" w14:textId="77777777" w:rsidR="00D4368C" w:rsidRDefault="00D4368C">
      <w:pPr>
        <w:jc w:val="center"/>
        <w:rPr>
          <w:rFonts w:ascii="宋体" w:eastAsia="宋体" w:hAnsi="宋体" w:cs="宋体"/>
          <w:b/>
          <w:color w:val="000000"/>
          <w:sz w:val="21"/>
          <w:szCs w:val="21"/>
        </w:rPr>
      </w:pPr>
    </w:p>
    <w:p w14:paraId="2E4C434E" w14:textId="77777777" w:rsidR="00D4368C" w:rsidRDefault="001710E2">
      <w:pPr>
        <w:ind w:firstLine="735"/>
        <w:jc w:val="left"/>
        <w:rPr>
          <w:rFonts w:ascii="宋体" w:eastAsia="宋体" w:hAnsi="宋体" w:cs="宋体"/>
          <w:color w:val="000000"/>
          <w:sz w:val="21"/>
          <w:szCs w:val="21"/>
        </w:rPr>
      </w:pPr>
      <w:r>
        <w:rPr>
          <w:rFonts w:ascii="宋体" w:eastAsia="宋体" w:hAnsi="宋体" w:cs="宋体" w:hint="eastAsia"/>
          <w:color w:val="000000"/>
          <w:sz w:val="21"/>
          <w:szCs w:val="21"/>
        </w:rPr>
        <w:t>年   月   日                          编号：</w:t>
      </w:r>
    </w:p>
    <w:tbl>
      <w:tblPr>
        <w:tblW w:w="8498" w:type="dxa"/>
        <w:jc w:val="center"/>
        <w:tblLayout w:type="fixed"/>
        <w:tblLook w:val="04A0" w:firstRow="1" w:lastRow="0" w:firstColumn="1" w:lastColumn="0" w:noHBand="0" w:noVBand="1"/>
      </w:tblPr>
      <w:tblGrid>
        <w:gridCol w:w="4333"/>
        <w:gridCol w:w="4165"/>
      </w:tblGrid>
      <w:tr w:rsidR="00D4368C" w14:paraId="3E5CB9CC" w14:textId="77777777">
        <w:trPr>
          <w:trHeight w:val="613"/>
          <w:jc w:val="center"/>
        </w:trPr>
        <w:tc>
          <w:tcPr>
            <w:tcW w:w="4333" w:type="dxa"/>
            <w:tcBorders>
              <w:top w:val="single" w:sz="4" w:space="0" w:color="auto"/>
              <w:left w:val="single" w:sz="4" w:space="0" w:color="auto"/>
              <w:bottom w:val="single" w:sz="4" w:space="0" w:color="auto"/>
              <w:right w:val="single" w:sz="4" w:space="0" w:color="auto"/>
            </w:tcBorders>
            <w:vAlign w:val="center"/>
          </w:tcPr>
          <w:p w14:paraId="3EBED93C"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付款户名： </w:t>
            </w:r>
          </w:p>
        </w:tc>
        <w:tc>
          <w:tcPr>
            <w:tcW w:w="4165" w:type="dxa"/>
            <w:tcBorders>
              <w:top w:val="single" w:sz="4" w:space="0" w:color="auto"/>
              <w:left w:val="nil"/>
              <w:bottom w:val="single" w:sz="4" w:space="0" w:color="auto"/>
              <w:right w:val="single" w:sz="4" w:space="0" w:color="auto"/>
            </w:tcBorders>
            <w:vAlign w:val="center"/>
          </w:tcPr>
          <w:p w14:paraId="3AA09ABB"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收款户名： </w:t>
            </w:r>
          </w:p>
        </w:tc>
      </w:tr>
      <w:tr w:rsidR="00D4368C" w14:paraId="20ADC396" w14:textId="77777777">
        <w:trPr>
          <w:trHeight w:val="606"/>
          <w:jc w:val="center"/>
        </w:trPr>
        <w:tc>
          <w:tcPr>
            <w:tcW w:w="4333" w:type="dxa"/>
            <w:tcBorders>
              <w:top w:val="nil"/>
              <w:left w:val="single" w:sz="4" w:space="0" w:color="auto"/>
              <w:bottom w:val="single" w:sz="4" w:space="0" w:color="auto"/>
              <w:right w:val="single" w:sz="4" w:space="0" w:color="auto"/>
            </w:tcBorders>
            <w:vAlign w:val="center"/>
          </w:tcPr>
          <w:p w14:paraId="065093FD"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付款账号： </w:t>
            </w:r>
          </w:p>
        </w:tc>
        <w:tc>
          <w:tcPr>
            <w:tcW w:w="4165" w:type="dxa"/>
            <w:tcBorders>
              <w:top w:val="nil"/>
              <w:left w:val="nil"/>
              <w:bottom w:val="single" w:sz="4" w:space="0" w:color="auto"/>
              <w:right w:val="single" w:sz="4" w:space="0" w:color="auto"/>
            </w:tcBorders>
            <w:vAlign w:val="center"/>
          </w:tcPr>
          <w:p w14:paraId="5C4A1252"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收款账号： </w:t>
            </w:r>
          </w:p>
        </w:tc>
      </w:tr>
      <w:tr w:rsidR="00D4368C" w14:paraId="17423328" w14:textId="77777777">
        <w:trPr>
          <w:trHeight w:val="614"/>
          <w:jc w:val="center"/>
        </w:trPr>
        <w:tc>
          <w:tcPr>
            <w:tcW w:w="4333" w:type="dxa"/>
            <w:tcBorders>
              <w:top w:val="nil"/>
              <w:left w:val="single" w:sz="4" w:space="0" w:color="auto"/>
              <w:bottom w:val="single" w:sz="4" w:space="0" w:color="auto"/>
              <w:right w:val="single" w:sz="4" w:space="0" w:color="auto"/>
            </w:tcBorders>
            <w:vAlign w:val="center"/>
          </w:tcPr>
          <w:p w14:paraId="45350545"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开户行： </w:t>
            </w:r>
          </w:p>
        </w:tc>
        <w:tc>
          <w:tcPr>
            <w:tcW w:w="4165" w:type="dxa"/>
            <w:tcBorders>
              <w:top w:val="nil"/>
              <w:left w:val="nil"/>
              <w:bottom w:val="single" w:sz="4" w:space="0" w:color="auto"/>
              <w:right w:val="single" w:sz="4" w:space="0" w:color="auto"/>
            </w:tcBorders>
            <w:vAlign w:val="center"/>
          </w:tcPr>
          <w:p w14:paraId="1E17EF40"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开户行： </w:t>
            </w:r>
          </w:p>
        </w:tc>
      </w:tr>
      <w:tr w:rsidR="00D4368C" w14:paraId="5940BA39" w14:textId="77777777">
        <w:trPr>
          <w:trHeight w:val="622"/>
          <w:jc w:val="center"/>
        </w:trPr>
        <w:tc>
          <w:tcPr>
            <w:tcW w:w="4333" w:type="dxa"/>
            <w:tcBorders>
              <w:top w:val="nil"/>
              <w:left w:val="single" w:sz="4" w:space="0" w:color="auto"/>
              <w:bottom w:val="single" w:sz="4" w:space="0" w:color="auto"/>
              <w:right w:val="single" w:sz="4" w:space="0" w:color="auto"/>
            </w:tcBorders>
            <w:vAlign w:val="center"/>
          </w:tcPr>
          <w:p w14:paraId="61B15541"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大写金额： </w:t>
            </w:r>
          </w:p>
        </w:tc>
        <w:tc>
          <w:tcPr>
            <w:tcW w:w="4165" w:type="dxa"/>
            <w:tcBorders>
              <w:top w:val="nil"/>
              <w:left w:val="nil"/>
              <w:bottom w:val="single" w:sz="4" w:space="0" w:color="auto"/>
              <w:right w:val="single" w:sz="4" w:space="0" w:color="auto"/>
            </w:tcBorders>
            <w:vAlign w:val="center"/>
          </w:tcPr>
          <w:p w14:paraId="6B2082A4"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小写金额： </w:t>
            </w:r>
          </w:p>
        </w:tc>
      </w:tr>
      <w:tr w:rsidR="00D4368C" w14:paraId="4416912F" w14:textId="77777777">
        <w:trPr>
          <w:trHeight w:val="622"/>
          <w:jc w:val="center"/>
        </w:trPr>
        <w:tc>
          <w:tcPr>
            <w:tcW w:w="8498" w:type="dxa"/>
            <w:gridSpan w:val="2"/>
            <w:tcBorders>
              <w:top w:val="nil"/>
              <w:left w:val="single" w:sz="4" w:space="0" w:color="auto"/>
              <w:bottom w:val="single" w:sz="4" w:space="0" w:color="auto"/>
              <w:right w:val="single" w:sz="4" w:space="0" w:color="auto"/>
            </w:tcBorders>
            <w:vAlign w:val="center"/>
          </w:tcPr>
          <w:p w14:paraId="2335053C"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划款方式：    人行大额支付系统（ ）  </w:t>
            </w:r>
          </w:p>
        </w:tc>
      </w:tr>
      <w:tr w:rsidR="00D4368C" w14:paraId="7868CF51" w14:textId="77777777">
        <w:trPr>
          <w:trHeight w:val="1381"/>
          <w:jc w:val="center"/>
        </w:trPr>
        <w:tc>
          <w:tcPr>
            <w:tcW w:w="8498" w:type="dxa"/>
            <w:gridSpan w:val="2"/>
            <w:tcBorders>
              <w:top w:val="single" w:sz="4" w:space="0" w:color="auto"/>
              <w:left w:val="single" w:sz="4" w:space="0" w:color="auto"/>
              <w:bottom w:val="single" w:sz="4" w:space="0" w:color="auto"/>
              <w:right w:val="single" w:sz="4" w:space="0" w:color="auto"/>
            </w:tcBorders>
          </w:tcPr>
          <w:p w14:paraId="30CC8F5E"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用途及备注： </w:t>
            </w:r>
          </w:p>
          <w:p w14:paraId="32A4D414" w14:textId="77777777" w:rsidR="00D4368C" w:rsidRDefault="00D4368C">
            <w:pPr>
              <w:widowControl/>
              <w:jc w:val="left"/>
              <w:rPr>
                <w:rFonts w:ascii="宋体" w:eastAsia="宋体" w:hAnsi="宋体" w:cs="宋体"/>
                <w:color w:val="000000"/>
                <w:sz w:val="21"/>
                <w:szCs w:val="21"/>
              </w:rPr>
            </w:pPr>
          </w:p>
        </w:tc>
      </w:tr>
      <w:tr w:rsidR="00D4368C" w14:paraId="7943049E" w14:textId="77777777">
        <w:trPr>
          <w:cantSplit/>
          <w:trHeight w:val="2175"/>
          <w:jc w:val="center"/>
        </w:trPr>
        <w:tc>
          <w:tcPr>
            <w:tcW w:w="4333" w:type="dxa"/>
            <w:tcBorders>
              <w:top w:val="nil"/>
              <w:left w:val="single" w:sz="4" w:space="0" w:color="auto"/>
              <w:bottom w:val="single" w:sz="4" w:space="0" w:color="auto"/>
              <w:right w:val="single" w:sz="4" w:space="0" w:color="auto"/>
            </w:tcBorders>
          </w:tcPr>
          <w:p w14:paraId="67E63E46"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管理公司</w:t>
            </w:r>
          </w:p>
          <w:p w14:paraId="06EFFA58"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经办人：               </w:t>
            </w:r>
          </w:p>
          <w:p w14:paraId="3F63BF8F"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复核人：                                 审核授权签发人：  </w:t>
            </w:r>
          </w:p>
        </w:tc>
        <w:tc>
          <w:tcPr>
            <w:tcW w:w="4165" w:type="dxa"/>
            <w:tcBorders>
              <w:top w:val="nil"/>
              <w:left w:val="single" w:sz="4" w:space="0" w:color="auto"/>
              <w:bottom w:val="single" w:sz="4" w:space="0" w:color="auto"/>
              <w:right w:val="single" w:sz="4" w:space="0" w:color="auto"/>
            </w:tcBorders>
          </w:tcPr>
          <w:p w14:paraId="70B8B6A0" w14:textId="77777777" w:rsidR="00D4368C" w:rsidRDefault="001710E2">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 xml:space="preserve">管理人预留印鉴盖章处： </w:t>
            </w:r>
          </w:p>
        </w:tc>
      </w:tr>
    </w:tbl>
    <w:p w14:paraId="1B152234" w14:textId="77777777" w:rsidR="00D4368C" w:rsidRDefault="00D4368C">
      <w:pPr>
        <w:rPr>
          <w:rFonts w:ascii="宋体" w:eastAsia="宋体" w:hAnsi="宋体" w:cs="宋体"/>
          <w:color w:val="000000"/>
          <w:sz w:val="21"/>
          <w:szCs w:val="21"/>
          <w:lang w:val="zh-CN"/>
        </w:rPr>
      </w:pPr>
    </w:p>
    <w:p w14:paraId="14CDE1A9" w14:textId="77777777" w:rsidR="00D4368C" w:rsidRDefault="001710E2">
      <w:pPr>
        <w:rPr>
          <w:rFonts w:ascii="宋体" w:eastAsia="宋体" w:hAnsi="宋体" w:cs="宋体"/>
          <w:color w:val="000000"/>
          <w:sz w:val="21"/>
          <w:szCs w:val="21"/>
        </w:rPr>
      </w:pPr>
      <w:r>
        <w:rPr>
          <w:rFonts w:ascii="宋体" w:eastAsia="宋体" w:hAnsi="宋体" w:cs="宋体" w:hint="eastAsia"/>
          <w:color w:val="000000"/>
          <w:sz w:val="21"/>
          <w:szCs w:val="21"/>
        </w:rPr>
        <w:t>注：</w:t>
      </w:r>
    </w:p>
    <w:p w14:paraId="3956CFC9" w14:textId="77777777" w:rsidR="00D4368C" w:rsidRDefault="001710E2">
      <w:pPr>
        <w:rPr>
          <w:rFonts w:ascii="宋体" w:eastAsia="宋体" w:hAnsi="宋体" w:cs="宋体"/>
          <w:color w:val="000000"/>
          <w:sz w:val="21"/>
          <w:szCs w:val="21"/>
        </w:rPr>
      </w:pPr>
      <w:r>
        <w:rPr>
          <w:rFonts w:ascii="宋体" w:eastAsia="宋体" w:hAnsi="宋体" w:cs="宋体" w:hint="eastAsia"/>
          <w:color w:val="000000"/>
          <w:sz w:val="21"/>
          <w:szCs w:val="21"/>
        </w:rPr>
        <w:t>（1）提交“划款指令”时，属于贷款类的资金划拨，应同时提交贷款协议等债权投资证明材料为附件；属于股权投资类的，应提交股权投资或增资协议及其他股权投资证明材料为附件；其他投资应提交相关的投资合同、购买合同为附件；属于收益支付则应提交分配方案为附件；属于费用支付则应提交相应的合同、发票或费用支付声明。上述材料凡是复印件的应加盖管理人业务用章并保证原件与复印件的一致。</w:t>
      </w:r>
    </w:p>
    <w:p w14:paraId="526E1F1F" w14:textId="77777777" w:rsidR="00D4368C" w:rsidRDefault="001710E2">
      <w:pPr>
        <w:rPr>
          <w:rFonts w:ascii="宋体" w:eastAsia="宋体" w:hAnsi="宋体" w:cs="宋体"/>
          <w:color w:val="000000"/>
          <w:sz w:val="21"/>
          <w:szCs w:val="21"/>
        </w:rPr>
      </w:pPr>
      <w:r>
        <w:rPr>
          <w:rFonts w:ascii="宋体" w:eastAsia="宋体" w:hAnsi="宋体" w:cs="宋体" w:hint="eastAsia"/>
          <w:color w:val="000000"/>
          <w:sz w:val="21"/>
          <w:szCs w:val="21"/>
        </w:rPr>
        <w:t>（2）对于来自符合授权的管理人有权经办及签发人员签发并加盖预留印鉴的划款指令，即视为管理人发出的有效划款指令。</w:t>
      </w:r>
    </w:p>
    <w:p w14:paraId="65ACBE94" w14:textId="77777777" w:rsidR="00D4368C" w:rsidRDefault="001710E2">
      <w:pPr>
        <w:rPr>
          <w:rFonts w:ascii="宋体" w:eastAsia="宋体" w:hAnsi="宋体" w:cs="宋体"/>
          <w:color w:val="000000"/>
        </w:rPr>
      </w:pPr>
      <w:r>
        <w:rPr>
          <w:rFonts w:ascii="宋体" w:eastAsia="宋体" w:hAnsi="宋体" w:cs="宋体" w:hint="eastAsia"/>
          <w:color w:val="000000"/>
          <w:sz w:val="21"/>
          <w:szCs w:val="21"/>
        </w:rPr>
        <w:t>（3）若支付管理费、托管费等各项费用，托管人支付依据是管理人划款指令和管理人提供的加盖其印章的费用发票复印件、或付费协议、或托管费测算表（若双方有争议，还应提供付费声明）。</w:t>
      </w:r>
    </w:p>
    <w:p w14:paraId="2F181732" w14:textId="77777777" w:rsidR="00D4368C" w:rsidRDefault="001710E2">
      <w:pPr>
        <w:pStyle w:val="NormalIndent"/>
        <w:rPr>
          <w:rFonts w:ascii="华文宋体" w:hAnsi="华文宋体"/>
        </w:rPr>
      </w:pPr>
      <w:r>
        <w:rPr>
          <w:rFonts w:ascii="华文宋体" w:hAnsi="华文宋体"/>
        </w:rPr>
        <w:br w:type="page"/>
      </w:r>
    </w:p>
    <w:p w14:paraId="4A3EB46D" w14:textId="77777777" w:rsidR="00D4368C" w:rsidRDefault="001710E2">
      <w:pPr>
        <w:pStyle w:val="Heading1"/>
        <w:jc w:val="left"/>
        <w:rPr>
          <w:rFonts w:ascii="宋体" w:eastAsia="宋体" w:hAnsi="宋体" w:cs="宋体"/>
          <w:b w:val="0"/>
          <w:szCs w:val="21"/>
        </w:rPr>
      </w:pPr>
      <w:bookmarkStart w:id="87" w:name="_Toc70622214"/>
      <w:bookmarkStart w:id="88" w:name="_Toc44426229"/>
      <w:r>
        <w:rPr>
          <w:rFonts w:ascii="宋体" w:eastAsia="宋体" w:hAnsi="宋体" w:cs="宋体" w:hint="eastAsia"/>
          <w:sz w:val="24"/>
          <w:szCs w:val="21"/>
        </w:rPr>
        <w:lastRenderedPageBreak/>
        <w:t>附件四</w:t>
      </w:r>
      <w:bookmarkEnd w:id="87"/>
    </w:p>
    <w:p w14:paraId="629C9C93" w14:textId="77777777" w:rsidR="00D4368C" w:rsidRDefault="001710E2">
      <w:pPr>
        <w:jc w:val="center"/>
        <w:rPr>
          <w:rFonts w:ascii="宋体" w:eastAsia="宋体" w:hAnsi="宋体" w:cs="宋体"/>
          <w:b/>
          <w:color w:val="000000"/>
          <w:sz w:val="28"/>
          <w:szCs w:val="28"/>
        </w:rPr>
      </w:pPr>
      <w:r>
        <w:rPr>
          <w:rFonts w:ascii="宋体" w:eastAsia="宋体" w:hAnsi="宋体" w:cs="宋体" w:hint="eastAsia"/>
          <w:b/>
          <w:color w:val="000000"/>
          <w:sz w:val="28"/>
          <w:szCs w:val="28"/>
        </w:rPr>
        <w:t>《划款指令授权书（格式）》（样本）</w:t>
      </w:r>
      <w:bookmarkEnd w:id="88"/>
    </w:p>
    <w:p w14:paraId="2D2FB195" w14:textId="77777777" w:rsidR="00D4368C" w:rsidRDefault="00D4368C">
      <w:pPr>
        <w:spacing w:line="360" w:lineRule="auto"/>
        <w:rPr>
          <w:rFonts w:ascii="宋体" w:eastAsia="宋体" w:hAnsi="宋体" w:cs="宋体"/>
          <w:color w:val="000000"/>
          <w:szCs w:val="21"/>
        </w:rPr>
      </w:pPr>
    </w:p>
    <w:p w14:paraId="19BC767A" w14:textId="77777777" w:rsidR="00D4368C" w:rsidRDefault="001710E2">
      <w:pPr>
        <w:spacing w:line="360" w:lineRule="auto"/>
        <w:rPr>
          <w:rFonts w:ascii="宋体" w:eastAsia="宋体" w:hAnsi="宋体" w:cs="宋体"/>
          <w:color w:val="000000"/>
          <w:szCs w:val="21"/>
        </w:rPr>
      </w:pPr>
      <w:r>
        <w:rPr>
          <w:rFonts w:ascii="宋体" w:eastAsia="宋体" w:hAnsi="宋体" w:cs="宋体" w:hint="eastAsia"/>
          <w:color w:val="000000"/>
          <w:szCs w:val="21"/>
        </w:rPr>
        <w:t>致：中国光大银行股份有限公司</w:t>
      </w:r>
    </w:p>
    <w:p w14:paraId="6E19D586" w14:textId="77777777" w:rsidR="00D4368C" w:rsidRDefault="001710E2">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 xml:space="preserve">兹就贵司与我司于    年  月  </w:t>
      </w:r>
      <w:proofErr w:type="gramStart"/>
      <w:r>
        <w:rPr>
          <w:rFonts w:ascii="宋体" w:eastAsia="宋体" w:hAnsi="宋体" w:cs="宋体" w:hint="eastAsia"/>
          <w:color w:val="000000"/>
          <w:szCs w:val="21"/>
        </w:rPr>
        <w:t>日签署</w:t>
      </w:r>
      <w:proofErr w:type="gramEnd"/>
      <w:r>
        <w:rPr>
          <w:rFonts w:ascii="宋体" w:eastAsia="宋体" w:hAnsi="宋体" w:cs="宋体" w:hint="eastAsia"/>
          <w:color w:val="000000"/>
          <w:szCs w:val="21"/>
        </w:rPr>
        <w:t>的编号为【GDQH-2021JH019】的《光大期货-光大理财阳光精选2号集合资产管理计划资产管理合同》（以下简称“该合同”）出具本函。</w:t>
      </w:r>
    </w:p>
    <w:p w14:paraId="70216026" w14:textId="77777777" w:rsidR="00D4368C" w:rsidRDefault="001710E2">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该合同中所定义的词语在本函中应具有相同的含义。</w:t>
      </w:r>
    </w:p>
    <w:p w14:paraId="4B72965A" w14:textId="77777777" w:rsidR="00D4368C" w:rsidRDefault="001710E2">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我司特此授权下列人员于    年  月  日至</w:t>
      </w:r>
      <w:proofErr w:type="gramStart"/>
      <w:r>
        <w:rPr>
          <w:rFonts w:ascii="宋体" w:eastAsia="宋体" w:hAnsi="宋体" w:cs="宋体" w:hint="eastAsia"/>
          <w:color w:val="000000"/>
          <w:szCs w:val="21"/>
        </w:rPr>
        <w:t>资管计划</w:t>
      </w:r>
      <w:proofErr w:type="gramEnd"/>
      <w:r>
        <w:rPr>
          <w:rFonts w:ascii="宋体" w:eastAsia="宋体" w:hAnsi="宋体" w:cs="宋体" w:hint="eastAsia"/>
          <w:color w:val="000000"/>
          <w:szCs w:val="21"/>
        </w:rPr>
        <w:t>终止，代表我司签发本合同项下的有关投资指令或通知：</w:t>
      </w:r>
    </w:p>
    <w:p w14:paraId="05FEE0FA" w14:textId="77777777" w:rsidR="00D4368C" w:rsidRDefault="001710E2">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授权签发人（预留签字或名章）：</w:t>
      </w:r>
    </w:p>
    <w:p w14:paraId="1E0987FA" w14:textId="77777777" w:rsidR="00D4368C" w:rsidRDefault="00D4368C">
      <w:pPr>
        <w:spacing w:line="360" w:lineRule="auto"/>
        <w:ind w:firstLine="480"/>
        <w:rPr>
          <w:rFonts w:ascii="宋体" w:eastAsia="宋体" w:hAnsi="宋体" w:cs="宋体"/>
          <w:color w:val="000000"/>
          <w:szCs w:val="21"/>
        </w:rPr>
      </w:pPr>
    </w:p>
    <w:p w14:paraId="6EB23B4A" w14:textId="77777777" w:rsidR="00D4368C" w:rsidRDefault="00D4368C">
      <w:pPr>
        <w:spacing w:line="360" w:lineRule="auto"/>
        <w:ind w:firstLine="480"/>
        <w:rPr>
          <w:rFonts w:ascii="宋体" w:eastAsia="宋体" w:hAnsi="宋体" w:cs="宋体"/>
          <w:color w:val="000000"/>
          <w:szCs w:val="21"/>
        </w:rPr>
      </w:pPr>
    </w:p>
    <w:p w14:paraId="46996BEF" w14:textId="77777777" w:rsidR="00D4368C" w:rsidRDefault="001710E2">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投资指令签发业务章（</w:t>
      </w:r>
      <w:r>
        <w:rPr>
          <w:rFonts w:ascii="宋体" w:eastAsia="宋体" w:hAnsi="宋体" w:cs="宋体" w:hint="eastAsia"/>
          <w:bCs/>
          <w:color w:val="000000"/>
          <w:szCs w:val="21"/>
        </w:rPr>
        <w:t>预留印鉴章）:</w:t>
      </w:r>
    </w:p>
    <w:p w14:paraId="06CE98F4" w14:textId="77777777" w:rsidR="00D4368C" w:rsidRDefault="00D4368C">
      <w:pPr>
        <w:spacing w:line="360" w:lineRule="auto"/>
        <w:rPr>
          <w:rFonts w:ascii="宋体" w:eastAsia="宋体" w:hAnsi="宋体" w:cs="宋体"/>
          <w:color w:val="000000"/>
          <w:szCs w:val="21"/>
        </w:rPr>
      </w:pPr>
    </w:p>
    <w:p w14:paraId="3ECE760C" w14:textId="77777777" w:rsidR="00D4368C" w:rsidRDefault="00D4368C">
      <w:pPr>
        <w:spacing w:line="360" w:lineRule="auto"/>
        <w:ind w:firstLine="480"/>
        <w:jc w:val="right"/>
        <w:rPr>
          <w:rFonts w:ascii="宋体" w:eastAsia="宋体" w:hAnsi="宋体" w:cs="宋体"/>
          <w:color w:val="000000"/>
          <w:szCs w:val="21"/>
        </w:rPr>
      </w:pPr>
    </w:p>
    <w:p w14:paraId="1193870D" w14:textId="77777777" w:rsidR="00D4368C" w:rsidRDefault="001710E2">
      <w:pPr>
        <w:spacing w:line="360" w:lineRule="auto"/>
        <w:ind w:firstLine="5184"/>
        <w:jc w:val="left"/>
        <w:rPr>
          <w:rFonts w:ascii="宋体" w:eastAsia="宋体" w:hAnsi="宋体" w:cs="宋体"/>
          <w:color w:val="000000"/>
          <w:szCs w:val="21"/>
        </w:rPr>
      </w:pPr>
      <w:r>
        <w:rPr>
          <w:rFonts w:ascii="宋体" w:eastAsia="宋体" w:hAnsi="宋体" w:cs="宋体" w:hint="eastAsia"/>
          <w:color w:val="000000"/>
          <w:szCs w:val="21"/>
        </w:rPr>
        <w:t>【光大期货有限公司】（公章）：</w:t>
      </w:r>
    </w:p>
    <w:p w14:paraId="63B0A548" w14:textId="77777777" w:rsidR="00D4368C" w:rsidRDefault="00D4368C">
      <w:pPr>
        <w:spacing w:line="360" w:lineRule="auto"/>
        <w:ind w:firstLine="5184"/>
        <w:jc w:val="left"/>
        <w:rPr>
          <w:rFonts w:ascii="宋体" w:eastAsia="宋体" w:hAnsi="宋体" w:cs="宋体"/>
          <w:color w:val="000000"/>
          <w:szCs w:val="21"/>
        </w:rPr>
      </w:pPr>
    </w:p>
    <w:p w14:paraId="0AC1B7C4" w14:textId="77777777" w:rsidR="00D4368C" w:rsidRDefault="001710E2">
      <w:pPr>
        <w:spacing w:line="360" w:lineRule="auto"/>
        <w:ind w:firstLine="5184"/>
        <w:jc w:val="left"/>
        <w:rPr>
          <w:rFonts w:ascii="宋体" w:eastAsia="宋体" w:hAnsi="宋体" w:cs="宋体"/>
          <w:color w:val="000000"/>
          <w:szCs w:val="21"/>
        </w:rPr>
      </w:pPr>
      <w:r>
        <w:rPr>
          <w:rFonts w:ascii="宋体" w:eastAsia="宋体" w:hAnsi="宋体" w:cs="宋体" w:hint="eastAsia"/>
          <w:color w:val="000000"/>
          <w:szCs w:val="21"/>
        </w:rPr>
        <w:t>法定代表人（签字）：</w:t>
      </w:r>
    </w:p>
    <w:p w14:paraId="44B3904D" w14:textId="77777777" w:rsidR="00D4368C" w:rsidRDefault="00D4368C">
      <w:pPr>
        <w:spacing w:line="360" w:lineRule="auto"/>
        <w:jc w:val="right"/>
        <w:rPr>
          <w:rFonts w:ascii="宋体" w:eastAsia="宋体" w:hAnsi="宋体" w:cs="宋体"/>
          <w:color w:val="000000"/>
        </w:rPr>
      </w:pPr>
      <w:bookmarkStart w:id="89" w:name="_Toc199320555"/>
      <w:bookmarkStart w:id="90" w:name="_Toc199669155"/>
      <w:bookmarkStart w:id="91" w:name="_Toc200270600"/>
    </w:p>
    <w:p w14:paraId="37B3B95B" w14:textId="77777777" w:rsidR="00D4368C" w:rsidRDefault="001710E2">
      <w:pPr>
        <w:spacing w:line="360" w:lineRule="auto"/>
        <w:jc w:val="right"/>
        <w:rPr>
          <w:rFonts w:ascii="宋体" w:eastAsia="宋体" w:hAnsi="宋体" w:cs="宋体"/>
          <w:color w:val="000000"/>
        </w:rPr>
      </w:pPr>
      <w:r>
        <w:rPr>
          <w:rFonts w:ascii="宋体" w:eastAsia="宋体" w:hAnsi="宋体" w:cs="宋体" w:hint="eastAsia"/>
          <w:color w:val="000000"/>
        </w:rPr>
        <w:t>日期：        年       月         日</w:t>
      </w:r>
      <w:bookmarkEnd w:id="89"/>
      <w:bookmarkEnd w:id="90"/>
      <w:bookmarkEnd w:id="91"/>
    </w:p>
    <w:p w14:paraId="33E10CD1" w14:textId="77777777" w:rsidR="00D4368C" w:rsidRDefault="00D4368C">
      <w:pPr>
        <w:pStyle w:val="Heading1"/>
        <w:rPr>
          <w:rFonts w:ascii="华文宋体" w:hAnsi="华文宋体"/>
          <w:sz w:val="24"/>
        </w:rPr>
        <w:sectPr w:rsidR="00D4368C">
          <w:footerReference w:type="default" r:id="rId12"/>
          <w:pgSz w:w="11906" w:h="16838"/>
          <w:pgMar w:top="1440" w:right="1080" w:bottom="1440" w:left="1080" w:header="851" w:footer="992" w:gutter="0"/>
          <w:cols w:space="425"/>
          <w:docGrid w:type="lines" w:linePitch="326"/>
        </w:sectPr>
      </w:pPr>
      <w:bookmarkStart w:id="92" w:name="_Toc489358446"/>
      <w:bookmarkStart w:id="93" w:name="_Toc44426230"/>
      <w:bookmarkStart w:id="94" w:name="_Toc8289772"/>
    </w:p>
    <w:p w14:paraId="5BB583A4" w14:textId="77777777" w:rsidR="00D4368C" w:rsidRDefault="001710E2">
      <w:pPr>
        <w:pStyle w:val="Heading1"/>
        <w:rPr>
          <w:rFonts w:ascii="宋体" w:eastAsia="宋体" w:hAnsi="宋体" w:cs="宋体"/>
          <w:sz w:val="24"/>
        </w:rPr>
      </w:pPr>
      <w:bookmarkStart w:id="95" w:name="_Toc70622215"/>
      <w:r>
        <w:rPr>
          <w:rFonts w:ascii="宋体" w:eastAsia="宋体" w:hAnsi="宋体" w:cs="宋体" w:hint="eastAsia"/>
          <w:sz w:val="24"/>
        </w:rPr>
        <w:lastRenderedPageBreak/>
        <w:t>附件五</w:t>
      </w:r>
      <w:bookmarkEnd w:id="95"/>
    </w:p>
    <w:p w14:paraId="5D8822FD" w14:textId="77777777" w:rsidR="00D4368C" w:rsidRDefault="001710E2">
      <w:pPr>
        <w:spacing w:after="120"/>
        <w:jc w:val="center"/>
        <w:rPr>
          <w:rFonts w:ascii="宋体" w:eastAsia="宋体" w:hAnsi="宋体" w:cs="宋体"/>
          <w:color w:val="000000"/>
          <w:sz w:val="28"/>
          <w:szCs w:val="28"/>
        </w:rPr>
      </w:pPr>
      <w:r>
        <w:rPr>
          <w:rFonts w:ascii="宋体" w:eastAsia="宋体" w:hAnsi="宋体" w:cs="宋体" w:hint="eastAsia"/>
          <w:b/>
          <w:color w:val="000000"/>
          <w:sz w:val="28"/>
          <w:szCs w:val="28"/>
        </w:rPr>
        <w:t>各方业务人员联系核实信息表</w:t>
      </w:r>
      <w:bookmarkEnd w:id="92"/>
      <w:bookmarkEnd w:id="93"/>
      <w:bookmarkEnd w:id="94"/>
    </w:p>
    <w:p w14:paraId="4AB319C7" w14:textId="77777777" w:rsidR="00D4368C" w:rsidRDefault="00D4368C">
      <w:pPr>
        <w:widowControl/>
        <w:jc w:val="left"/>
        <w:rPr>
          <w:rFonts w:ascii="宋体" w:eastAsia="宋体" w:hAnsi="宋体" w:cs="宋体"/>
          <w:b/>
          <w:bCs/>
          <w:color w:val="000000"/>
        </w:rPr>
      </w:pPr>
    </w:p>
    <w:p w14:paraId="53F0C746" w14:textId="77777777" w:rsidR="00D4368C" w:rsidRDefault="00D4368C">
      <w:pPr>
        <w:widowControl/>
        <w:jc w:val="left"/>
        <w:rPr>
          <w:rFonts w:ascii="宋体" w:eastAsia="宋体" w:hAnsi="宋体" w:cs="宋体"/>
          <w:b/>
          <w:bCs/>
          <w:color w:val="000000"/>
        </w:rPr>
      </w:pPr>
    </w:p>
    <w:tbl>
      <w:tblPr>
        <w:tblW w:w="863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71"/>
        <w:gridCol w:w="735"/>
        <w:gridCol w:w="1935"/>
        <w:gridCol w:w="104"/>
        <w:gridCol w:w="1943"/>
        <w:gridCol w:w="1063"/>
        <w:gridCol w:w="2382"/>
      </w:tblGrid>
      <w:tr w:rsidR="00D4368C" w14:paraId="164EE6F8" w14:textId="77777777">
        <w:trPr>
          <w:cantSplit/>
          <w:trHeight w:val="285"/>
          <w:jc w:val="center"/>
        </w:trPr>
        <w:tc>
          <w:tcPr>
            <w:tcW w:w="471" w:type="dxa"/>
            <w:vMerge w:val="restart"/>
            <w:vAlign w:val="center"/>
          </w:tcPr>
          <w:p w14:paraId="5719BC6B" w14:textId="77777777" w:rsidR="00D4368C" w:rsidRDefault="00D4368C">
            <w:pPr>
              <w:widowControl/>
              <w:jc w:val="center"/>
              <w:rPr>
                <w:rFonts w:ascii="宋体" w:eastAsia="宋体" w:hAnsi="宋体" w:cs="宋体"/>
                <w:b/>
                <w:bCs/>
                <w:sz w:val="21"/>
                <w:szCs w:val="21"/>
              </w:rPr>
            </w:pPr>
          </w:p>
          <w:p w14:paraId="115E359B" w14:textId="77777777" w:rsidR="00D4368C" w:rsidRDefault="001710E2">
            <w:pPr>
              <w:widowControl/>
              <w:jc w:val="center"/>
              <w:rPr>
                <w:rFonts w:ascii="宋体" w:eastAsia="宋体" w:hAnsi="宋体" w:cs="宋体"/>
                <w:b/>
                <w:bCs/>
                <w:sz w:val="21"/>
                <w:szCs w:val="21"/>
              </w:rPr>
            </w:pPr>
            <w:r>
              <w:rPr>
                <w:rFonts w:ascii="宋体" w:eastAsia="宋体" w:hAnsi="宋体" w:cs="宋体" w:hint="eastAsia"/>
                <w:b/>
                <w:bCs/>
                <w:sz w:val="21"/>
                <w:szCs w:val="21"/>
              </w:rPr>
              <w:t xml:space="preserve">管理人  </w:t>
            </w:r>
          </w:p>
        </w:tc>
        <w:tc>
          <w:tcPr>
            <w:tcW w:w="735" w:type="dxa"/>
            <w:vMerge w:val="restart"/>
            <w:vAlign w:val="center"/>
          </w:tcPr>
          <w:p w14:paraId="663B41E4" w14:textId="77777777" w:rsidR="00D4368C" w:rsidRDefault="001710E2">
            <w:pPr>
              <w:widowControl/>
              <w:rPr>
                <w:rFonts w:ascii="宋体" w:eastAsia="宋体" w:hAnsi="宋体" w:cs="宋体"/>
                <w:sz w:val="21"/>
                <w:szCs w:val="21"/>
              </w:rPr>
            </w:pPr>
            <w:r>
              <w:rPr>
                <w:rFonts w:ascii="宋体" w:eastAsia="宋体" w:hAnsi="宋体" w:cs="宋体" w:hint="eastAsia"/>
                <w:sz w:val="21"/>
                <w:szCs w:val="21"/>
              </w:rPr>
              <w:t>光大期货有限公司</w:t>
            </w:r>
          </w:p>
        </w:tc>
        <w:tc>
          <w:tcPr>
            <w:tcW w:w="1935" w:type="dxa"/>
            <w:vAlign w:val="bottom"/>
          </w:tcPr>
          <w:p w14:paraId="0A5BA5B8"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业务人员及其工作职责</w:t>
            </w:r>
          </w:p>
        </w:tc>
        <w:tc>
          <w:tcPr>
            <w:tcW w:w="2047" w:type="dxa"/>
            <w:gridSpan w:val="2"/>
            <w:vAlign w:val="center"/>
          </w:tcPr>
          <w:p w14:paraId="78F127CE"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办公电话</w:t>
            </w:r>
          </w:p>
        </w:tc>
        <w:tc>
          <w:tcPr>
            <w:tcW w:w="3445" w:type="dxa"/>
            <w:gridSpan w:val="2"/>
            <w:vAlign w:val="center"/>
          </w:tcPr>
          <w:p w14:paraId="5691113B"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邮箱</w:t>
            </w:r>
          </w:p>
        </w:tc>
      </w:tr>
      <w:tr w:rsidR="00D4368C" w14:paraId="7930FF33" w14:textId="77777777">
        <w:trPr>
          <w:cantSplit/>
          <w:trHeight w:val="285"/>
          <w:jc w:val="center"/>
        </w:trPr>
        <w:tc>
          <w:tcPr>
            <w:tcW w:w="471" w:type="dxa"/>
            <w:vMerge/>
            <w:vAlign w:val="center"/>
          </w:tcPr>
          <w:p w14:paraId="6BFF6619" w14:textId="77777777" w:rsidR="00D4368C" w:rsidRDefault="00D4368C">
            <w:pPr>
              <w:widowControl/>
              <w:jc w:val="left"/>
              <w:rPr>
                <w:rFonts w:ascii="宋体" w:eastAsia="宋体" w:hAnsi="宋体" w:cs="宋体"/>
                <w:b/>
                <w:bCs/>
                <w:sz w:val="21"/>
                <w:szCs w:val="21"/>
              </w:rPr>
            </w:pPr>
          </w:p>
        </w:tc>
        <w:tc>
          <w:tcPr>
            <w:tcW w:w="735" w:type="dxa"/>
            <w:vMerge/>
            <w:vAlign w:val="bottom"/>
          </w:tcPr>
          <w:p w14:paraId="3FFCBB27" w14:textId="77777777" w:rsidR="00D4368C" w:rsidRDefault="00D4368C">
            <w:pPr>
              <w:jc w:val="center"/>
              <w:rPr>
                <w:rFonts w:ascii="宋体" w:eastAsia="宋体" w:hAnsi="宋体" w:cs="宋体"/>
                <w:sz w:val="21"/>
                <w:szCs w:val="21"/>
              </w:rPr>
            </w:pPr>
          </w:p>
        </w:tc>
        <w:tc>
          <w:tcPr>
            <w:tcW w:w="1935" w:type="dxa"/>
          </w:tcPr>
          <w:p w14:paraId="5DA49A90" w14:textId="77777777" w:rsidR="00D4368C" w:rsidRDefault="001710E2">
            <w:pPr>
              <w:jc w:val="center"/>
              <w:rPr>
                <w:rFonts w:ascii="宋体" w:eastAsia="宋体" w:hAnsi="宋体" w:cs="宋体"/>
                <w:sz w:val="21"/>
                <w:szCs w:val="21"/>
              </w:rPr>
            </w:pPr>
            <w:r>
              <w:rPr>
                <w:rFonts w:ascii="宋体" w:eastAsia="宋体" w:hAnsi="宋体" w:cs="宋体" w:hint="eastAsia"/>
                <w:sz w:val="21"/>
                <w:szCs w:val="21"/>
              </w:rPr>
              <w:t>投资经理 徐浩</w:t>
            </w:r>
          </w:p>
        </w:tc>
        <w:tc>
          <w:tcPr>
            <w:tcW w:w="2047" w:type="dxa"/>
            <w:gridSpan w:val="2"/>
          </w:tcPr>
          <w:p w14:paraId="0ECA6686" w14:textId="77777777" w:rsidR="00D4368C" w:rsidRDefault="001710E2">
            <w:pPr>
              <w:pStyle w:val="Default"/>
              <w:jc w:val="center"/>
              <w:rPr>
                <w:rFonts w:ascii="宋体" w:eastAsia="宋体" w:hAnsi="宋体" w:cs="宋体"/>
                <w:sz w:val="21"/>
                <w:szCs w:val="21"/>
              </w:rPr>
            </w:pPr>
            <w:r>
              <w:rPr>
                <w:rFonts w:ascii="宋体" w:eastAsia="宋体" w:hAnsi="宋体" w:cs="宋体" w:hint="eastAsia"/>
                <w:sz w:val="21"/>
                <w:szCs w:val="21"/>
              </w:rPr>
              <w:t xml:space="preserve">021-80212235  </w:t>
            </w:r>
          </w:p>
        </w:tc>
        <w:tc>
          <w:tcPr>
            <w:tcW w:w="3445" w:type="dxa"/>
            <w:gridSpan w:val="2"/>
          </w:tcPr>
          <w:p w14:paraId="05CBDEDA" w14:textId="77777777" w:rsidR="00D4368C" w:rsidRDefault="001710E2">
            <w:pPr>
              <w:pStyle w:val="Default"/>
              <w:jc w:val="center"/>
              <w:rPr>
                <w:rFonts w:ascii="宋体" w:eastAsia="宋体" w:hAnsi="宋体" w:cs="宋体"/>
                <w:sz w:val="21"/>
                <w:szCs w:val="21"/>
              </w:rPr>
            </w:pPr>
            <w:r>
              <w:rPr>
                <w:rFonts w:ascii="宋体" w:eastAsia="宋体" w:hAnsi="宋体" w:cs="宋体" w:hint="eastAsia"/>
                <w:sz w:val="21"/>
                <w:szCs w:val="21"/>
              </w:rPr>
              <w:t xml:space="preserve">xuhao@ebfcn.com.cn </w:t>
            </w:r>
          </w:p>
        </w:tc>
      </w:tr>
      <w:tr w:rsidR="00D4368C" w14:paraId="407D2902" w14:textId="77777777">
        <w:trPr>
          <w:cantSplit/>
          <w:trHeight w:val="285"/>
          <w:jc w:val="center"/>
        </w:trPr>
        <w:tc>
          <w:tcPr>
            <w:tcW w:w="471" w:type="dxa"/>
            <w:vMerge/>
            <w:vAlign w:val="center"/>
          </w:tcPr>
          <w:p w14:paraId="67BB3598" w14:textId="77777777" w:rsidR="00D4368C" w:rsidRDefault="00D4368C">
            <w:pPr>
              <w:widowControl/>
              <w:jc w:val="left"/>
              <w:rPr>
                <w:rFonts w:ascii="宋体" w:eastAsia="宋体" w:hAnsi="宋体" w:cs="宋体"/>
                <w:b/>
                <w:bCs/>
                <w:sz w:val="21"/>
                <w:szCs w:val="21"/>
              </w:rPr>
            </w:pPr>
          </w:p>
        </w:tc>
        <w:tc>
          <w:tcPr>
            <w:tcW w:w="735" w:type="dxa"/>
            <w:vMerge/>
            <w:vAlign w:val="bottom"/>
          </w:tcPr>
          <w:p w14:paraId="140401FB" w14:textId="77777777" w:rsidR="00D4368C" w:rsidRDefault="00D4368C">
            <w:pPr>
              <w:jc w:val="center"/>
              <w:rPr>
                <w:rFonts w:ascii="宋体" w:eastAsia="宋体" w:hAnsi="宋体" w:cs="宋体"/>
                <w:sz w:val="21"/>
                <w:szCs w:val="21"/>
              </w:rPr>
            </w:pPr>
          </w:p>
        </w:tc>
        <w:tc>
          <w:tcPr>
            <w:tcW w:w="1935" w:type="dxa"/>
          </w:tcPr>
          <w:p w14:paraId="78CCB406" w14:textId="77777777" w:rsidR="00D4368C" w:rsidRDefault="001710E2">
            <w:pPr>
              <w:jc w:val="center"/>
              <w:rPr>
                <w:rFonts w:ascii="宋体" w:eastAsia="宋体" w:hAnsi="宋体" w:cs="宋体"/>
                <w:sz w:val="21"/>
                <w:szCs w:val="21"/>
              </w:rPr>
            </w:pPr>
            <w:proofErr w:type="gramStart"/>
            <w:r>
              <w:rPr>
                <w:rFonts w:ascii="宋体" w:eastAsia="宋体" w:hAnsi="宋体" w:cs="宋体" w:hint="eastAsia"/>
                <w:sz w:val="21"/>
                <w:szCs w:val="21"/>
              </w:rPr>
              <w:t>风控员</w:t>
            </w:r>
            <w:proofErr w:type="gramEnd"/>
            <w:r>
              <w:rPr>
                <w:rFonts w:ascii="宋体" w:eastAsia="宋体" w:hAnsi="宋体" w:cs="宋体" w:hint="eastAsia"/>
                <w:sz w:val="21"/>
                <w:szCs w:val="21"/>
              </w:rPr>
              <w:t xml:space="preserve"> </w:t>
            </w:r>
            <w:proofErr w:type="gramStart"/>
            <w:r>
              <w:rPr>
                <w:rFonts w:ascii="宋体" w:eastAsia="宋体" w:hAnsi="宋体" w:cs="宋体" w:hint="eastAsia"/>
                <w:sz w:val="21"/>
                <w:szCs w:val="21"/>
              </w:rPr>
              <w:t>张钦智</w:t>
            </w:r>
            <w:proofErr w:type="gramEnd"/>
          </w:p>
        </w:tc>
        <w:tc>
          <w:tcPr>
            <w:tcW w:w="2047" w:type="dxa"/>
            <w:gridSpan w:val="2"/>
          </w:tcPr>
          <w:p w14:paraId="60235312" w14:textId="77777777" w:rsidR="00D4368C" w:rsidRDefault="001710E2">
            <w:pPr>
              <w:pStyle w:val="Default"/>
              <w:jc w:val="center"/>
              <w:rPr>
                <w:rFonts w:ascii="宋体" w:eastAsia="宋体" w:hAnsi="宋体" w:cs="宋体"/>
                <w:sz w:val="21"/>
                <w:szCs w:val="21"/>
              </w:rPr>
            </w:pPr>
            <w:r>
              <w:rPr>
                <w:rFonts w:ascii="宋体" w:eastAsia="宋体" w:hAnsi="宋体" w:cs="宋体" w:hint="eastAsia"/>
                <w:sz w:val="21"/>
                <w:szCs w:val="21"/>
              </w:rPr>
              <w:t xml:space="preserve">021-80212231 </w:t>
            </w:r>
          </w:p>
        </w:tc>
        <w:tc>
          <w:tcPr>
            <w:tcW w:w="3445" w:type="dxa"/>
            <w:gridSpan w:val="2"/>
          </w:tcPr>
          <w:p w14:paraId="4636D459" w14:textId="77777777" w:rsidR="00D4368C" w:rsidRDefault="001710E2">
            <w:pPr>
              <w:pStyle w:val="Default"/>
              <w:jc w:val="center"/>
              <w:rPr>
                <w:rFonts w:ascii="宋体" w:eastAsia="宋体" w:hAnsi="宋体" w:cs="宋体"/>
                <w:sz w:val="21"/>
                <w:szCs w:val="21"/>
              </w:rPr>
            </w:pPr>
            <w:r>
              <w:rPr>
                <w:rFonts w:ascii="宋体" w:eastAsia="宋体" w:hAnsi="宋体" w:cs="宋体" w:hint="eastAsia"/>
                <w:sz w:val="21"/>
                <w:szCs w:val="21"/>
              </w:rPr>
              <w:t>zhangqz@ebfcn.com.cn</w:t>
            </w:r>
          </w:p>
        </w:tc>
      </w:tr>
      <w:tr w:rsidR="00D4368C" w14:paraId="3BF245AD" w14:textId="77777777">
        <w:trPr>
          <w:cantSplit/>
          <w:trHeight w:val="202"/>
          <w:jc w:val="center"/>
        </w:trPr>
        <w:tc>
          <w:tcPr>
            <w:tcW w:w="471" w:type="dxa"/>
            <w:vMerge/>
            <w:vAlign w:val="center"/>
          </w:tcPr>
          <w:p w14:paraId="1C9B00EE" w14:textId="77777777" w:rsidR="00D4368C" w:rsidRDefault="00D4368C">
            <w:pPr>
              <w:widowControl/>
              <w:jc w:val="left"/>
              <w:rPr>
                <w:rFonts w:ascii="宋体" w:eastAsia="宋体" w:hAnsi="宋体" w:cs="宋体"/>
                <w:b/>
                <w:bCs/>
                <w:sz w:val="21"/>
                <w:szCs w:val="21"/>
              </w:rPr>
            </w:pPr>
          </w:p>
        </w:tc>
        <w:tc>
          <w:tcPr>
            <w:tcW w:w="735" w:type="dxa"/>
            <w:vMerge/>
            <w:vAlign w:val="bottom"/>
          </w:tcPr>
          <w:p w14:paraId="017F5DB7" w14:textId="77777777" w:rsidR="00D4368C" w:rsidRDefault="00D4368C">
            <w:pPr>
              <w:jc w:val="center"/>
              <w:rPr>
                <w:rFonts w:ascii="宋体" w:eastAsia="宋体" w:hAnsi="宋体" w:cs="宋体"/>
                <w:sz w:val="21"/>
                <w:szCs w:val="21"/>
              </w:rPr>
            </w:pPr>
          </w:p>
        </w:tc>
        <w:tc>
          <w:tcPr>
            <w:tcW w:w="1935" w:type="dxa"/>
          </w:tcPr>
          <w:p w14:paraId="0E3AF240" w14:textId="77777777" w:rsidR="00D4368C" w:rsidRDefault="001710E2">
            <w:pPr>
              <w:jc w:val="center"/>
              <w:rPr>
                <w:rFonts w:ascii="宋体" w:eastAsia="宋体" w:hAnsi="宋体" w:cs="宋体"/>
                <w:sz w:val="21"/>
                <w:szCs w:val="21"/>
              </w:rPr>
            </w:pPr>
            <w:r>
              <w:rPr>
                <w:rFonts w:ascii="宋体" w:eastAsia="宋体" w:hAnsi="宋体" w:cs="宋体" w:hint="eastAsia"/>
                <w:sz w:val="21"/>
                <w:szCs w:val="21"/>
              </w:rPr>
              <w:t xml:space="preserve">估值核算 </w:t>
            </w:r>
            <w:proofErr w:type="gramStart"/>
            <w:r>
              <w:rPr>
                <w:rFonts w:ascii="宋体" w:eastAsia="宋体" w:hAnsi="宋体" w:cs="宋体" w:hint="eastAsia"/>
                <w:sz w:val="21"/>
                <w:szCs w:val="21"/>
              </w:rPr>
              <w:t>王志鹤</w:t>
            </w:r>
            <w:proofErr w:type="gramEnd"/>
          </w:p>
        </w:tc>
        <w:tc>
          <w:tcPr>
            <w:tcW w:w="2047" w:type="dxa"/>
            <w:gridSpan w:val="2"/>
          </w:tcPr>
          <w:p w14:paraId="066C40A5" w14:textId="77777777" w:rsidR="00D4368C" w:rsidRDefault="001710E2">
            <w:pPr>
              <w:pStyle w:val="Default"/>
              <w:jc w:val="center"/>
              <w:rPr>
                <w:rFonts w:ascii="宋体" w:eastAsia="宋体" w:hAnsi="宋体" w:cs="宋体"/>
                <w:sz w:val="21"/>
                <w:szCs w:val="21"/>
              </w:rPr>
            </w:pPr>
            <w:r>
              <w:rPr>
                <w:rFonts w:ascii="宋体" w:eastAsia="宋体" w:hAnsi="宋体" w:cs="宋体" w:hint="eastAsia"/>
                <w:sz w:val="21"/>
                <w:szCs w:val="21"/>
              </w:rPr>
              <w:t xml:space="preserve">021-80212233 </w:t>
            </w:r>
          </w:p>
        </w:tc>
        <w:tc>
          <w:tcPr>
            <w:tcW w:w="3445" w:type="dxa"/>
            <w:gridSpan w:val="2"/>
          </w:tcPr>
          <w:p w14:paraId="01F8AC2F" w14:textId="77777777" w:rsidR="00D4368C" w:rsidRDefault="001710E2">
            <w:pPr>
              <w:pStyle w:val="Default"/>
              <w:jc w:val="center"/>
              <w:rPr>
                <w:rFonts w:ascii="宋体" w:eastAsia="宋体" w:hAnsi="宋体" w:cs="宋体"/>
                <w:sz w:val="21"/>
                <w:szCs w:val="21"/>
              </w:rPr>
            </w:pPr>
            <w:r>
              <w:rPr>
                <w:rFonts w:ascii="宋体" w:eastAsia="宋体" w:hAnsi="宋体" w:cs="宋体" w:hint="eastAsia"/>
                <w:sz w:val="21"/>
                <w:szCs w:val="21"/>
              </w:rPr>
              <w:t>wangzhihe@ebfcn.com.cn</w:t>
            </w:r>
          </w:p>
        </w:tc>
      </w:tr>
      <w:tr w:rsidR="00D4368C" w14:paraId="7269A18C" w14:textId="77777777">
        <w:trPr>
          <w:cantSplit/>
          <w:trHeight w:val="285"/>
          <w:jc w:val="center"/>
        </w:trPr>
        <w:tc>
          <w:tcPr>
            <w:tcW w:w="471" w:type="dxa"/>
            <w:vMerge/>
            <w:vAlign w:val="center"/>
          </w:tcPr>
          <w:p w14:paraId="5867E1B1" w14:textId="77777777" w:rsidR="00D4368C" w:rsidRDefault="00D4368C">
            <w:pPr>
              <w:widowControl/>
              <w:jc w:val="left"/>
              <w:rPr>
                <w:rFonts w:ascii="宋体" w:eastAsia="宋体" w:hAnsi="宋体" w:cs="宋体"/>
                <w:b/>
                <w:bCs/>
                <w:sz w:val="21"/>
                <w:szCs w:val="21"/>
              </w:rPr>
            </w:pPr>
          </w:p>
        </w:tc>
        <w:tc>
          <w:tcPr>
            <w:tcW w:w="735" w:type="dxa"/>
            <w:vMerge/>
            <w:vAlign w:val="bottom"/>
          </w:tcPr>
          <w:p w14:paraId="244A2250" w14:textId="77777777" w:rsidR="00D4368C" w:rsidRDefault="00D4368C">
            <w:pPr>
              <w:jc w:val="center"/>
              <w:rPr>
                <w:rFonts w:ascii="宋体" w:eastAsia="宋体" w:hAnsi="宋体" w:cs="宋体"/>
                <w:sz w:val="21"/>
                <w:szCs w:val="21"/>
              </w:rPr>
            </w:pPr>
          </w:p>
        </w:tc>
        <w:tc>
          <w:tcPr>
            <w:tcW w:w="1935" w:type="dxa"/>
          </w:tcPr>
          <w:p w14:paraId="4B1316D3" w14:textId="77777777" w:rsidR="00D4368C" w:rsidRDefault="001710E2">
            <w:pPr>
              <w:jc w:val="center"/>
              <w:rPr>
                <w:rFonts w:ascii="宋体" w:eastAsia="宋体" w:hAnsi="宋体" w:cs="宋体"/>
                <w:sz w:val="21"/>
                <w:szCs w:val="21"/>
              </w:rPr>
            </w:pPr>
            <w:r>
              <w:rPr>
                <w:rFonts w:ascii="宋体" w:eastAsia="宋体" w:hAnsi="宋体" w:cs="宋体" w:hint="eastAsia"/>
                <w:color w:val="000000"/>
                <w:sz w:val="21"/>
                <w:szCs w:val="21"/>
              </w:rPr>
              <w:t>信息披露 凌鹤</w:t>
            </w:r>
          </w:p>
        </w:tc>
        <w:tc>
          <w:tcPr>
            <w:tcW w:w="2047" w:type="dxa"/>
            <w:gridSpan w:val="2"/>
            <w:vAlign w:val="bottom"/>
          </w:tcPr>
          <w:p w14:paraId="365F8C99" w14:textId="77777777" w:rsidR="00D4368C" w:rsidRDefault="001710E2">
            <w:pPr>
              <w:widowControl/>
              <w:jc w:val="center"/>
              <w:rPr>
                <w:rFonts w:ascii="宋体" w:eastAsia="宋体" w:hAnsi="宋体" w:cs="宋体"/>
                <w:color w:val="000000"/>
                <w:sz w:val="21"/>
                <w:szCs w:val="21"/>
              </w:rPr>
            </w:pPr>
            <w:r>
              <w:rPr>
                <w:rFonts w:ascii="宋体" w:eastAsia="宋体" w:hAnsi="宋体" w:cs="宋体" w:hint="eastAsia"/>
                <w:sz w:val="21"/>
                <w:szCs w:val="21"/>
              </w:rPr>
              <w:t>021-80213748</w:t>
            </w:r>
          </w:p>
        </w:tc>
        <w:tc>
          <w:tcPr>
            <w:tcW w:w="3445" w:type="dxa"/>
            <w:gridSpan w:val="2"/>
            <w:vAlign w:val="center"/>
          </w:tcPr>
          <w:p w14:paraId="0AA18B4C" w14:textId="77777777" w:rsidR="00D4368C" w:rsidRDefault="001710E2">
            <w:pPr>
              <w:widowControl/>
              <w:jc w:val="center"/>
              <w:rPr>
                <w:rFonts w:ascii="宋体" w:eastAsia="宋体" w:hAnsi="宋体" w:cs="宋体"/>
                <w:color w:val="000000"/>
                <w:sz w:val="21"/>
                <w:szCs w:val="21"/>
              </w:rPr>
            </w:pPr>
            <w:r>
              <w:rPr>
                <w:rFonts w:ascii="宋体" w:eastAsia="宋体" w:hAnsi="宋体" w:cs="宋体" w:hint="eastAsia"/>
                <w:color w:val="000000"/>
                <w:sz w:val="21"/>
                <w:szCs w:val="21"/>
              </w:rPr>
              <w:t>linghe@ebfcn.com.cn</w:t>
            </w:r>
          </w:p>
        </w:tc>
      </w:tr>
      <w:tr w:rsidR="00D4368C" w14:paraId="34B81C01" w14:textId="77777777">
        <w:trPr>
          <w:cantSplit/>
          <w:trHeight w:val="285"/>
          <w:jc w:val="center"/>
        </w:trPr>
        <w:tc>
          <w:tcPr>
            <w:tcW w:w="471" w:type="dxa"/>
            <w:vMerge/>
            <w:vAlign w:val="center"/>
          </w:tcPr>
          <w:p w14:paraId="596767E0" w14:textId="77777777" w:rsidR="00D4368C" w:rsidRDefault="00D4368C">
            <w:pPr>
              <w:widowControl/>
              <w:jc w:val="left"/>
              <w:rPr>
                <w:rFonts w:ascii="宋体" w:eastAsia="宋体" w:hAnsi="宋体" w:cs="宋体"/>
                <w:b/>
                <w:bCs/>
                <w:sz w:val="21"/>
                <w:szCs w:val="21"/>
              </w:rPr>
            </w:pPr>
          </w:p>
        </w:tc>
        <w:tc>
          <w:tcPr>
            <w:tcW w:w="735" w:type="dxa"/>
            <w:vMerge/>
            <w:vAlign w:val="bottom"/>
          </w:tcPr>
          <w:p w14:paraId="6F08EB7E" w14:textId="77777777" w:rsidR="00D4368C" w:rsidRDefault="00D4368C">
            <w:pPr>
              <w:jc w:val="center"/>
              <w:rPr>
                <w:rFonts w:ascii="宋体" w:eastAsia="宋体" w:hAnsi="宋体" w:cs="宋体"/>
                <w:sz w:val="21"/>
                <w:szCs w:val="21"/>
              </w:rPr>
            </w:pPr>
          </w:p>
        </w:tc>
        <w:tc>
          <w:tcPr>
            <w:tcW w:w="5045" w:type="dxa"/>
            <w:gridSpan w:val="4"/>
            <w:vAlign w:val="bottom"/>
          </w:tcPr>
          <w:p w14:paraId="443F28ED"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指定邮寄地址及邮编</w:t>
            </w:r>
          </w:p>
        </w:tc>
        <w:tc>
          <w:tcPr>
            <w:tcW w:w="2382" w:type="dxa"/>
            <w:vAlign w:val="bottom"/>
          </w:tcPr>
          <w:p w14:paraId="4611D228"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指定传真</w:t>
            </w:r>
          </w:p>
        </w:tc>
      </w:tr>
      <w:tr w:rsidR="00D4368C" w14:paraId="56AF53E8" w14:textId="77777777">
        <w:trPr>
          <w:cantSplit/>
          <w:trHeight w:val="337"/>
          <w:jc w:val="center"/>
        </w:trPr>
        <w:tc>
          <w:tcPr>
            <w:tcW w:w="471" w:type="dxa"/>
            <w:vMerge/>
            <w:vAlign w:val="center"/>
          </w:tcPr>
          <w:p w14:paraId="1617132E" w14:textId="77777777" w:rsidR="00D4368C" w:rsidRDefault="00D4368C">
            <w:pPr>
              <w:widowControl/>
              <w:jc w:val="left"/>
              <w:rPr>
                <w:rFonts w:ascii="宋体" w:eastAsia="宋体" w:hAnsi="宋体" w:cs="宋体"/>
                <w:b/>
                <w:bCs/>
                <w:sz w:val="21"/>
                <w:szCs w:val="21"/>
              </w:rPr>
            </w:pPr>
          </w:p>
        </w:tc>
        <w:tc>
          <w:tcPr>
            <w:tcW w:w="735" w:type="dxa"/>
            <w:vMerge/>
            <w:vAlign w:val="bottom"/>
          </w:tcPr>
          <w:p w14:paraId="0E4783C3" w14:textId="77777777" w:rsidR="00D4368C" w:rsidRDefault="00D4368C">
            <w:pPr>
              <w:widowControl/>
              <w:jc w:val="center"/>
              <w:rPr>
                <w:rFonts w:ascii="宋体" w:eastAsia="宋体" w:hAnsi="宋体" w:cs="宋体"/>
                <w:sz w:val="21"/>
                <w:szCs w:val="21"/>
              </w:rPr>
            </w:pPr>
          </w:p>
        </w:tc>
        <w:tc>
          <w:tcPr>
            <w:tcW w:w="5045" w:type="dxa"/>
            <w:gridSpan w:val="4"/>
          </w:tcPr>
          <w:p w14:paraId="68967E38" w14:textId="77777777" w:rsidR="00D4368C" w:rsidRDefault="001710E2">
            <w:pPr>
              <w:jc w:val="center"/>
              <w:rPr>
                <w:rFonts w:ascii="宋体" w:eastAsia="宋体" w:hAnsi="宋体" w:cs="宋体"/>
                <w:sz w:val="21"/>
                <w:szCs w:val="21"/>
              </w:rPr>
            </w:pPr>
            <w:r>
              <w:rPr>
                <w:rFonts w:ascii="宋体" w:eastAsia="宋体" w:hAnsi="宋体" w:cs="宋体" w:hint="eastAsia"/>
                <w:sz w:val="21"/>
                <w:szCs w:val="21"/>
              </w:rPr>
              <w:t>上海市杨高南路729号6楼</w:t>
            </w:r>
          </w:p>
        </w:tc>
        <w:tc>
          <w:tcPr>
            <w:tcW w:w="2382" w:type="dxa"/>
          </w:tcPr>
          <w:p w14:paraId="707514E4" w14:textId="77777777" w:rsidR="00D4368C" w:rsidRDefault="001710E2">
            <w:pPr>
              <w:pStyle w:val="BodyTextFirstIndent2"/>
              <w:ind w:left="0"/>
              <w:jc w:val="center"/>
              <w:rPr>
                <w:rFonts w:ascii="宋体" w:hAnsi="宋体" w:cs="宋体"/>
              </w:rPr>
            </w:pPr>
            <w:r>
              <w:rPr>
                <w:rFonts w:ascii="宋体" w:hAnsi="宋体" w:cs="宋体" w:hint="eastAsia"/>
              </w:rPr>
              <w:t>021-80212200</w:t>
            </w:r>
          </w:p>
        </w:tc>
      </w:tr>
      <w:tr w:rsidR="00D4368C" w14:paraId="67A854E9" w14:textId="77777777">
        <w:trPr>
          <w:cantSplit/>
          <w:trHeight w:val="285"/>
          <w:jc w:val="center"/>
        </w:trPr>
        <w:tc>
          <w:tcPr>
            <w:tcW w:w="471" w:type="dxa"/>
            <w:vMerge w:val="restart"/>
            <w:vAlign w:val="center"/>
          </w:tcPr>
          <w:p w14:paraId="1F32C679" w14:textId="77777777" w:rsidR="00D4368C" w:rsidRDefault="001710E2">
            <w:pPr>
              <w:widowControl/>
              <w:jc w:val="center"/>
              <w:rPr>
                <w:rFonts w:ascii="宋体" w:eastAsia="宋体" w:hAnsi="宋体" w:cs="宋体"/>
                <w:b/>
                <w:bCs/>
                <w:sz w:val="21"/>
                <w:szCs w:val="21"/>
              </w:rPr>
            </w:pPr>
            <w:r>
              <w:rPr>
                <w:rFonts w:ascii="宋体" w:eastAsia="宋体" w:hAnsi="宋体" w:cs="宋体" w:hint="eastAsia"/>
                <w:b/>
                <w:bCs/>
                <w:sz w:val="21"/>
                <w:szCs w:val="21"/>
              </w:rPr>
              <w:t xml:space="preserve">托管人  </w:t>
            </w:r>
          </w:p>
        </w:tc>
        <w:tc>
          <w:tcPr>
            <w:tcW w:w="735" w:type="dxa"/>
            <w:vMerge w:val="restart"/>
            <w:vAlign w:val="center"/>
          </w:tcPr>
          <w:p w14:paraId="79F4C59A"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中国光大银行股份有限公司上海分行</w:t>
            </w:r>
          </w:p>
        </w:tc>
        <w:tc>
          <w:tcPr>
            <w:tcW w:w="2039" w:type="dxa"/>
            <w:gridSpan w:val="2"/>
            <w:vAlign w:val="center"/>
          </w:tcPr>
          <w:p w14:paraId="3E4DA73F"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业务人员</w:t>
            </w:r>
          </w:p>
        </w:tc>
        <w:tc>
          <w:tcPr>
            <w:tcW w:w="1943" w:type="dxa"/>
            <w:vAlign w:val="center"/>
          </w:tcPr>
          <w:p w14:paraId="4415F0EE"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工作职责</w:t>
            </w:r>
          </w:p>
        </w:tc>
        <w:tc>
          <w:tcPr>
            <w:tcW w:w="3445" w:type="dxa"/>
            <w:gridSpan w:val="2"/>
            <w:vAlign w:val="center"/>
          </w:tcPr>
          <w:p w14:paraId="18C8BA86"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办公电话</w:t>
            </w:r>
          </w:p>
        </w:tc>
      </w:tr>
      <w:tr w:rsidR="00D4368C" w14:paraId="239FCB58" w14:textId="77777777">
        <w:trPr>
          <w:cantSplit/>
          <w:trHeight w:val="285"/>
          <w:jc w:val="center"/>
        </w:trPr>
        <w:tc>
          <w:tcPr>
            <w:tcW w:w="471" w:type="dxa"/>
            <w:vMerge/>
            <w:vAlign w:val="center"/>
          </w:tcPr>
          <w:p w14:paraId="3FCE4B42" w14:textId="77777777" w:rsidR="00D4368C" w:rsidRDefault="00D4368C">
            <w:pPr>
              <w:widowControl/>
              <w:jc w:val="left"/>
              <w:rPr>
                <w:rFonts w:ascii="宋体" w:eastAsia="宋体" w:hAnsi="宋体" w:cs="宋体"/>
                <w:b/>
                <w:bCs/>
                <w:sz w:val="21"/>
                <w:szCs w:val="21"/>
              </w:rPr>
            </w:pPr>
          </w:p>
        </w:tc>
        <w:tc>
          <w:tcPr>
            <w:tcW w:w="735" w:type="dxa"/>
            <w:vMerge/>
            <w:vAlign w:val="bottom"/>
          </w:tcPr>
          <w:p w14:paraId="6829E9EE" w14:textId="77777777" w:rsidR="00D4368C" w:rsidRDefault="00D4368C">
            <w:pPr>
              <w:jc w:val="center"/>
              <w:rPr>
                <w:rFonts w:ascii="宋体" w:eastAsia="宋体" w:hAnsi="宋体" w:cs="宋体"/>
                <w:sz w:val="21"/>
                <w:szCs w:val="21"/>
              </w:rPr>
            </w:pPr>
          </w:p>
        </w:tc>
        <w:tc>
          <w:tcPr>
            <w:tcW w:w="2039" w:type="dxa"/>
            <w:gridSpan w:val="2"/>
            <w:vAlign w:val="bottom"/>
          </w:tcPr>
          <w:p w14:paraId="2B005030"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施元斐</w:t>
            </w:r>
          </w:p>
        </w:tc>
        <w:tc>
          <w:tcPr>
            <w:tcW w:w="1943" w:type="dxa"/>
          </w:tcPr>
          <w:p w14:paraId="46111D86"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产品推进处处长</w:t>
            </w:r>
          </w:p>
        </w:tc>
        <w:tc>
          <w:tcPr>
            <w:tcW w:w="3445" w:type="dxa"/>
            <w:gridSpan w:val="2"/>
            <w:vAlign w:val="center"/>
          </w:tcPr>
          <w:p w14:paraId="19A68096"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021-23050080</w:t>
            </w:r>
          </w:p>
        </w:tc>
      </w:tr>
      <w:tr w:rsidR="00D4368C" w14:paraId="5D62C203" w14:textId="77777777">
        <w:trPr>
          <w:cantSplit/>
          <w:trHeight w:val="285"/>
          <w:jc w:val="center"/>
        </w:trPr>
        <w:tc>
          <w:tcPr>
            <w:tcW w:w="471" w:type="dxa"/>
            <w:vMerge/>
            <w:vAlign w:val="center"/>
          </w:tcPr>
          <w:p w14:paraId="4448A212" w14:textId="77777777" w:rsidR="00D4368C" w:rsidRDefault="00D4368C">
            <w:pPr>
              <w:widowControl/>
              <w:jc w:val="left"/>
              <w:rPr>
                <w:rFonts w:ascii="宋体" w:eastAsia="宋体" w:hAnsi="宋体" w:cs="宋体"/>
                <w:b/>
                <w:bCs/>
                <w:sz w:val="21"/>
                <w:szCs w:val="21"/>
              </w:rPr>
            </w:pPr>
          </w:p>
        </w:tc>
        <w:tc>
          <w:tcPr>
            <w:tcW w:w="735" w:type="dxa"/>
            <w:vMerge/>
            <w:vAlign w:val="bottom"/>
          </w:tcPr>
          <w:p w14:paraId="317E61BC" w14:textId="77777777" w:rsidR="00D4368C" w:rsidRDefault="00D4368C">
            <w:pPr>
              <w:jc w:val="center"/>
              <w:rPr>
                <w:rFonts w:ascii="宋体" w:eastAsia="宋体" w:hAnsi="宋体" w:cs="宋体"/>
                <w:sz w:val="21"/>
                <w:szCs w:val="21"/>
              </w:rPr>
            </w:pPr>
          </w:p>
        </w:tc>
        <w:tc>
          <w:tcPr>
            <w:tcW w:w="2039" w:type="dxa"/>
            <w:gridSpan w:val="2"/>
            <w:vAlign w:val="bottom"/>
          </w:tcPr>
          <w:p w14:paraId="587830ED"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谭平</w:t>
            </w:r>
          </w:p>
        </w:tc>
        <w:tc>
          <w:tcPr>
            <w:tcW w:w="1943" w:type="dxa"/>
          </w:tcPr>
          <w:p w14:paraId="15F9E6D1"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清算处处长</w:t>
            </w:r>
          </w:p>
        </w:tc>
        <w:tc>
          <w:tcPr>
            <w:tcW w:w="3445" w:type="dxa"/>
            <w:gridSpan w:val="2"/>
            <w:vAlign w:val="center"/>
          </w:tcPr>
          <w:p w14:paraId="2F1896ED"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021-23050765</w:t>
            </w:r>
          </w:p>
        </w:tc>
      </w:tr>
      <w:tr w:rsidR="00D4368C" w14:paraId="46D4AD1D" w14:textId="77777777">
        <w:trPr>
          <w:cantSplit/>
          <w:trHeight w:val="285"/>
          <w:jc w:val="center"/>
        </w:trPr>
        <w:tc>
          <w:tcPr>
            <w:tcW w:w="471" w:type="dxa"/>
            <w:vMerge/>
            <w:vAlign w:val="center"/>
          </w:tcPr>
          <w:p w14:paraId="30B9C49B" w14:textId="77777777" w:rsidR="00D4368C" w:rsidRDefault="00D4368C">
            <w:pPr>
              <w:widowControl/>
              <w:jc w:val="left"/>
              <w:rPr>
                <w:rFonts w:ascii="宋体" w:eastAsia="宋体" w:hAnsi="宋体" w:cs="宋体"/>
                <w:b/>
                <w:bCs/>
                <w:sz w:val="21"/>
                <w:szCs w:val="21"/>
              </w:rPr>
            </w:pPr>
          </w:p>
        </w:tc>
        <w:tc>
          <w:tcPr>
            <w:tcW w:w="735" w:type="dxa"/>
            <w:vMerge/>
            <w:vAlign w:val="bottom"/>
          </w:tcPr>
          <w:p w14:paraId="61B84E24" w14:textId="77777777" w:rsidR="00D4368C" w:rsidRDefault="00D4368C">
            <w:pPr>
              <w:jc w:val="center"/>
              <w:rPr>
                <w:rFonts w:ascii="宋体" w:eastAsia="宋体" w:hAnsi="宋体" w:cs="宋体"/>
                <w:sz w:val="21"/>
                <w:szCs w:val="21"/>
              </w:rPr>
            </w:pPr>
          </w:p>
        </w:tc>
        <w:tc>
          <w:tcPr>
            <w:tcW w:w="2039" w:type="dxa"/>
            <w:gridSpan w:val="2"/>
            <w:vAlign w:val="center"/>
          </w:tcPr>
          <w:p w14:paraId="769AA121"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杨萱钰</w:t>
            </w:r>
          </w:p>
        </w:tc>
        <w:tc>
          <w:tcPr>
            <w:tcW w:w="1943" w:type="dxa"/>
            <w:vAlign w:val="center"/>
          </w:tcPr>
          <w:p w14:paraId="252457F7"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核算处长</w:t>
            </w:r>
          </w:p>
        </w:tc>
        <w:tc>
          <w:tcPr>
            <w:tcW w:w="3445" w:type="dxa"/>
            <w:gridSpan w:val="2"/>
            <w:vAlign w:val="center"/>
          </w:tcPr>
          <w:p w14:paraId="7E4F64A3"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021-23050739</w:t>
            </w:r>
          </w:p>
        </w:tc>
      </w:tr>
      <w:tr w:rsidR="00D4368C" w14:paraId="696071E9" w14:textId="77777777">
        <w:trPr>
          <w:cantSplit/>
          <w:trHeight w:val="285"/>
          <w:jc w:val="center"/>
        </w:trPr>
        <w:tc>
          <w:tcPr>
            <w:tcW w:w="471" w:type="dxa"/>
            <w:vMerge/>
            <w:vAlign w:val="center"/>
          </w:tcPr>
          <w:p w14:paraId="6801FA97" w14:textId="77777777" w:rsidR="00D4368C" w:rsidRDefault="00D4368C">
            <w:pPr>
              <w:widowControl/>
              <w:jc w:val="left"/>
              <w:rPr>
                <w:rFonts w:ascii="宋体" w:eastAsia="宋体" w:hAnsi="宋体" w:cs="宋体"/>
                <w:b/>
                <w:bCs/>
                <w:sz w:val="21"/>
                <w:szCs w:val="21"/>
              </w:rPr>
            </w:pPr>
          </w:p>
        </w:tc>
        <w:tc>
          <w:tcPr>
            <w:tcW w:w="735" w:type="dxa"/>
            <w:vMerge/>
            <w:vAlign w:val="bottom"/>
          </w:tcPr>
          <w:p w14:paraId="2EF75084" w14:textId="77777777" w:rsidR="00D4368C" w:rsidRDefault="00D4368C">
            <w:pPr>
              <w:jc w:val="center"/>
              <w:rPr>
                <w:rFonts w:ascii="宋体" w:eastAsia="宋体" w:hAnsi="宋体" w:cs="宋体"/>
                <w:sz w:val="21"/>
                <w:szCs w:val="21"/>
              </w:rPr>
            </w:pPr>
          </w:p>
        </w:tc>
        <w:tc>
          <w:tcPr>
            <w:tcW w:w="2039" w:type="dxa"/>
            <w:gridSpan w:val="2"/>
            <w:vAlign w:val="center"/>
          </w:tcPr>
          <w:p w14:paraId="60D8B3BD"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孙琳琳</w:t>
            </w:r>
          </w:p>
        </w:tc>
        <w:tc>
          <w:tcPr>
            <w:tcW w:w="1943" w:type="dxa"/>
            <w:vAlign w:val="center"/>
          </w:tcPr>
          <w:p w14:paraId="7474470D"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风险管理处处长</w:t>
            </w:r>
          </w:p>
        </w:tc>
        <w:tc>
          <w:tcPr>
            <w:tcW w:w="3445" w:type="dxa"/>
            <w:gridSpan w:val="2"/>
            <w:vAlign w:val="center"/>
          </w:tcPr>
          <w:p w14:paraId="2BD6C56B"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021-23050747</w:t>
            </w:r>
          </w:p>
        </w:tc>
      </w:tr>
      <w:tr w:rsidR="00D4368C" w14:paraId="52BE76BE" w14:textId="77777777">
        <w:trPr>
          <w:cantSplit/>
          <w:trHeight w:val="285"/>
          <w:jc w:val="center"/>
        </w:trPr>
        <w:tc>
          <w:tcPr>
            <w:tcW w:w="471" w:type="dxa"/>
            <w:vMerge/>
            <w:vAlign w:val="center"/>
          </w:tcPr>
          <w:p w14:paraId="33FEE1E5" w14:textId="77777777" w:rsidR="00D4368C" w:rsidRDefault="00D4368C">
            <w:pPr>
              <w:widowControl/>
              <w:jc w:val="left"/>
              <w:rPr>
                <w:rFonts w:ascii="宋体" w:eastAsia="宋体" w:hAnsi="宋体" w:cs="宋体"/>
                <w:b/>
                <w:bCs/>
                <w:sz w:val="21"/>
                <w:szCs w:val="21"/>
              </w:rPr>
            </w:pPr>
          </w:p>
        </w:tc>
        <w:tc>
          <w:tcPr>
            <w:tcW w:w="735" w:type="dxa"/>
            <w:vMerge/>
            <w:vAlign w:val="bottom"/>
          </w:tcPr>
          <w:p w14:paraId="542CD765" w14:textId="77777777" w:rsidR="00D4368C" w:rsidRDefault="00D4368C">
            <w:pPr>
              <w:jc w:val="center"/>
              <w:rPr>
                <w:rFonts w:ascii="宋体" w:eastAsia="宋体" w:hAnsi="宋体" w:cs="宋体"/>
                <w:sz w:val="21"/>
                <w:szCs w:val="21"/>
              </w:rPr>
            </w:pPr>
          </w:p>
        </w:tc>
        <w:tc>
          <w:tcPr>
            <w:tcW w:w="5045" w:type="dxa"/>
            <w:gridSpan w:val="4"/>
            <w:vAlign w:val="center"/>
          </w:tcPr>
          <w:p w14:paraId="5750294A"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指定邮寄地址及邮编</w:t>
            </w:r>
          </w:p>
        </w:tc>
        <w:tc>
          <w:tcPr>
            <w:tcW w:w="2382" w:type="dxa"/>
            <w:vAlign w:val="center"/>
          </w:tcPr>
          <w:p w14:paraId="394CCF6E" w14:textId="77777777" w:rsidR="00D4368C" w:rsidRDefault="001710E2">
            <w:pPr>
              <w:widowControl/>
              <w:jc w:val="center"/>
              <w:rPr>
                <w:rFonts w:ascii="宋体" w:eastAsia="宋体" w:hAnsi="宋体" w:cs="宋体"/>
                <w:sz w:val="21"/>
                <w:szCs w:val="21"/>
              </w:rPr>
            </w:pPr>
            <w:r>
              <w:rPr>
                <w:rFonts w:ascii="宋体" w:eastAsia="宋体" w:hAnsi="宋体" w:cs="宋体" w:hint="eastAsia"/>
                <w:sz w:val="21"/>
                <w:szCs w:val="21"/>
              </w:rPr>
              <w:t>指定传真</w:t>
            </w:r>
          </w:p>
        </w:tc>
      </w:tr>
      <w:tr w:rsidR="00D4368C" w14:paraId="44482A56" w14:textId="77777777">
        <w:trPr>
          <w:cantSplit/>
          <w:trHeight w:val="300"/>
          <w:jc w:val="center"/>
        </w:trPr>
        <w:tc>
          <w:tcPr>
            <w:tcW w:w="471" w:type="dxa"/>
            <w:vMerge/>
            <w:vAlign w:val="center"/>
          </w:tcPr>
          <w:p w14:paraId="6FDE314F" w14:textId="77777777" w:rsidR="00D4368C" w:rsidRDefault="00D4368C">
            <w:pPr>
              <w:widowControl/>
              <w:jc w:val="left"/>
              <w:rPr>
                <w:rFonts w:ascii="宋体" w:eastAsia="宋体" w:hAnsi="宋体" w:cs="宋体"/>
                <w:b/>
                <w:bCs/>
                <w:sz w:val="21"/>
                <w:szCs w:val="21"/>
              </w:rPr>
            </w:pPr>
          </w:p>
        </w:tc>
        <w:tc>
          <w:tcPr>
            <w:tcW w:w="735" w:type="dxa"/>
            <w:vMerge/>
            <w:vAlign w:val="bottom"/>
          </w:tcPr>
          <w:p w14:paraId="3A169F2F" w14:textId="77777777" w:rsidR="00D4368C" w:rsidRDefault="00D4368C">
            <w:pPr>
              <w:widowControl/>
              <w:jc w:val="center"/>
              <w:rPr>
                <w:rFonts w:ascii="宋体" w:eastAsia="宋体" w:hAnsi="宋体" w:cs="宋体"/>
                <w:sz w:val="21"/>
                <w:szCs w:val="21"/>
              </w:rPr>
            </w:pPr>
          </w:p>
        </w:tc>
        <w:tc>
          <w:tcPr>
            <w:tcW w:w="5045" w:type="dxa"/>
            <w:gridSpan w:val="4"/>
            <w:vAlign w:val="center"/>
          </w:tcPr>
          <w:p w14:paraId="10E58EBE" w14:textId="77777777" w:rsidR="00D4368C" w:rsidRDefault="001710E2">
            <w:pPr>
              <w:jc w:val="center"/>
              <w:rPr>
                <w:rFonts w:ascii="宋体" w:eastAsia="宋体" w:hAnsi="宋体" w:cs="宋体"/>
                <w:sz w:val="21"/>
                <w:szCs w:val="21"/>
              </w:rPr>
            </w:pPr>
            <w:r>
              <w:rPr>
                <w:rFonts w:ascii="宋体" w:eastAsia="宋体" w:hAnsi="宋体" w:cs="宋体" w:hint="eastAsia"/>
                <w:sz w:val="21"/>
                <w:szCs w:val="21"/>
              </w:rPr>
              <w:t>上海市世纪大道1118号</w:t>
            </w:r>
          </w:p>
        </w:tc>
        <w:tc>
          <w:tcPr>
            <w:tcW w:w="2382" w:type="dxa"/>
            <w:vAlign w:val="center"/>
          </w:tcPr>
          <w:p w14:paraId="51A1B922" w14:textId="77777777" w:rsidR="00D4368C" w:rsidRDefault="001710E2">
            <w:pPr>
              <w:jc w:val="center"/>
              <w:rPr>
                <w:rFonts w:ascii="宋体" w:eastAsia="宋体" w:hAnsi="宋体" w:cs="宋体"/>
                <w:sz w:val="21"/>
                <w:szCs w:val="21"/>
              </w:rPr>
            </w:pPr>
            <w:r>
              <w:rPr>
                <w:rFonts w:ascii="宋体" w:eastAsia="宋体" w:hAnsi="宋体" w:cs="宋体" w:hint="eastAsia"/>
                <w:sz w:val="21"/>
                <w:szCs w:val="21"/>
              </w:rPr>
              <w:t>021-23050747</w:t>
            </w:r>
          </w:p>
        </w:tc>
      </w:tr>
    </w:tbl>
    <w:p w14:paraId="1F8D0F0B" w14:textId="77777777" w:rsidR="00D4368C" w:rsidRDefault="00D4368C">
      <w:pPr>
        <w:rPr>
          <w:rFonts w:ascii="华文宋体" w:hAnsi="华文宋体"/>
        </w:rPr>
      </w:pPr>
    </w:p>
    <w:p w14:paraId="0186DEC2" w14:textId="77777777" w:rsidR="00D4368C" w:rsidRDefault="001710E2">
      <w:pPr>
        <w:pStyle w:val="NormalIndent"/>
        <w:ind w:firstLine="0"/>
        <w:rPr>
          <w:rFonts w:ascii="华文宋体" w:hAnsi="华文宋体"/>
        </w:rPr>
      </w:pPr>
      <w:r>
        <w:rPr>
          <w:rFonts w:ascii="华文宋体" w:hAnsi="华文宋体"/>
        </w:rPr>
        <w:br w:type="page"/>
      </w:r>
    </w:p>
    <w:p w14:paraId="2E1C7013" w14:textId="77777777" w:rsidR="00D4368C" w:rsidRDefault="001710E2">
      <w:pPr>
        <w:pStyle w:val="Heading1"/>
        <w:rPr>
          <w:rFonts w:ascii="宋体" w:eastAsia="宋体" w:hAnsi="宋体" w:cs="宋体"/>
          <w:sz w:val="24"/>
        </w:rPr>
      </w:pPr>
      <w:bookmarkStart w:id="96" w:name="_Toc70622216"/>
      <w:r>
        <w:rPr>
          <w:rFonts w:ascii="宋体" w:eastAsia="宋体" w:hAnsi="宋体" w:cs="宋体" w:hint="eastAsia"/>
          <w:sz w:val="24"/>
        </w:rPr>
        <w:lastRenderedPageBreak/>
        <w:t>附件六</w:t>
      </w:r>
      <w:bookmarkEnd w:id="96"/>
    </w:p>
    <w:p w14:paraId="14045A34" w14:textId="77777777" w:rsidR="00D4368C" w:rsidRDefault="001710E2">
      <w:pPr>
        <w:pStyle w:val="NormalIndent"/>
        <w:ind w:firstLine="0"/>
        <w:jc w:val="center"/>
        <w:rPr>
          <w:rFonts w:ascii="宋体" w:eastAsia="宋体" w:hAnsi="宋体" w:cs="宋体"/>
          <w:b/>
          <w:szCs w:val="44"/>
        </w:rPr>
      </w:pPr>
      <w:r>
        <w:rPr>
          <w:rFonts w:ascii="宋体" w:eastAsia="宋体" w:hAnsi="宋体" w:cs="宋体" w:hint="eastAsia"/>
          <w:b/>
          <w:szCs w:val="44"/>
        </w:rPr>
        <w:t>托管人关联方信息</w:t>
      </w:r>
    </w:p>
    <w:tbl>
      <w:tblPr>
        <w:tblW w:w="8494" w:type="dxa"/>
        <w:jc w:val="center"/>
        <w:tblLayout w:type="fixed"/>
        <w:tblCellMar>
          <w:top w:w="15" w:type="dxa"/>
          <w:left w:w="15" w:type="dxa"/>
          <w:bottom w:w="15" w:type="dxa"/>
          <w:right w:w="15" w:type="dxa"/>
        </w:tblCellMar>
        <w:tblLook w:val="04A0" w:firstRow="1" w:lastRow="0" w:firstColumn="1" w:lastColumn="0" w:noHBand="0" w:noVBand="1"/>
      </w:tblPr>
      <w:tblGrid>
        <w:gridCol w:w="675"/>
        <w:gridCol w:w="7819"/>
      </w:tblGrid>
      <w:tr w:rsidR="00D4368C" w14:paraId="193E606A"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53EF2"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序号</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C6EAB"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名称</w:t>
            </w:r>
          </w:p>
        </w:tc>
      </w:tr>
      <w:tr w:rsidR="00D4368C" w14:paraId="7F449954"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58CE1"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A3EB6"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中国光大集团股份公司</w:t>
            </w:r>
          </w:p>
        </w:tc>
      </w:tr>
      <w:tr w:rsidR="00D4368C" w14:paraId="4D618727"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B1F79"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2</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308B2"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华侨城集团有限公司</w:t>
            </w:r>
          </w:p>
        </w:tc>
      </w:tr>
      <w:tr w:rsidR="00D4368C" w14:paraId="54CF3ED4"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AD1FD"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3</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6A330"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OCEAN FORTUNE INVESTMENT LIMITED</w:t>
            </w:r>
          </w:p>
        </w:tc>
      </w:tr>
      <w:tr w:rsidR="00D4368C" w14:paraId="46CF95A9"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A356A"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4</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FFAA5"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中远海运(上海)投资管理有限公司</w:t>
            </w:r>
          </w:p>
        </w:tc>
      </w:tr>
      <w:tr w:rsidR="00D4368C" w14:paraId="1B9F7DDC"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D48D7"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5</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02EC8"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中国再保险（集团）股份有限公司</w:t>
            </w:r>
          </w:p>
        </w:tc>
      </w:tr>
      <w:tr w:rsidR="00D4368C" w14:paraId="2346A14A"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C142C"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6</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EBF1D"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申能（集团）有限公司</w:t>
            </w:r>
          </w:p>
        </w:tc>
      </w:tr>
      <w:tr w:rsidR="00D4368C" w14:paraId="3253CA7F"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66122"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7</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9399A"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光大证券股份有限公司</w:t>
            </w:r>
          </w:p>
        </w:tc>
      </w:tr>
      <w:tr w:rsidR="00D4368C" w14:paraId="02EBE6E3"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C4639"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8</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EDB9D"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光大永明人寿保险有限公司</w:t>
            </w:r>
          </w:p>
        </w:tc>
      </w:tr>
      <w:tr w:rsidR="00D4368C" w14:paraId="620A69A5"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54591"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9</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AA0DE"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光大兴</w:t>
            </w:r>
            <w:proofErr w:type="gramStart"/>
            <w:r>
              <w:rPr>
                <w:rFonts w:ascii="宋体" w:eastAsia="宋体" w:hAnsi="宋体" w:cs="宋体" w:hint="eastAsia"/>
                <w:bCs/>
                <w:szCs w:val="44"/>
              </w:rPr>
              <w:t>陇</w:t>
            </w:r>
            <w:proofErr w:type="gramEnd"/>
            <w:r>
              <w:rPr>
                <w:rFonts w:ascii="宋体" w:eastAsia="宋体" w:hAnsi="宋体" w:cs="宋体" w:hint="eastAsia"/>
                <w:bCs/>
                <w:szCs w:val="44"/>
              </w:rPr>
              <w:t>信托有限责任公司</w:t>
            </w:r>
          </w:p>
        </w:tc>
      </w:tr>
      <w:tr w:rsidR="00D4368C" w14:paraId="7833FAB9"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3C8AA"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10</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606EA"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光大</w:t>
            </w:r>
            <w:proofErr w:type="gramStart"/>
            <w:r>
              <w:rPr>
                <w:rFonts w:ascii="宋体" w:eastAsia="宋体" w:hAnsi="宋体" w:cs="宋体" w:hint="eastAsia"/>
                <w:bCs/>
                <w:szCs w:val="44"/>
              </w:rPr>
              <w:t>金控资产</w:t>
            </w:r>
            <w:proofErr w:type="gramEnd"/>
            <w:r>
              <w:rPr>
                <w:rFonts w:ascii="宋体" w:eastAsia="宋体" w:hAnsi="宋体" w:cs="宋体" w:hint="eastAsia"/>
                <w:bCs/>
                <w:szCs w:val="44"/>
              </w:rPr>
              <w:t>管理有限公司</w:t>
            </w:r>
          </w:p>
        </w:tc>
      </w:tr>
      <w:tr w:rsidR="00D4368C" w14:paraId="5BA04E66"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6827D"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11</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8FC35"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中国光大实业（集团）有限责任公司</w:t>
            </w:r>
          </w:p>
        </w:tc>
      </w:tr>
      <w:tr w:rsidR="00D4368C" w14:paraId="4E8D578C"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C9465"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12</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5AB67"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中国光大集团有限公司</w:t>
            </w:r>
          </w:p>
        </w:tc>
      </w:tr>
      <w:tr w:rsidR="00D4368C" w14:paraId="7F4FF7AB"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47A7E"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13</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E513"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中国光大控股有限公司</w:t>
            </w:r>
          </w:p>
        </w:tc>
      </w:tr>
      <w:tr w:rsidR="00D4368C" w14:paraId="35D7BE02" w14:textId="77777777">
        <w:trPr>
          <w:trHeight w:hRule="exact" w:val="517"/>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D5F5F"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14</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089EA"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中国光大国际有限公司China Everbright International Limited</w:t>
            </w:r>
          </w:p>
        </w:tc>
      </w:tr>
      <w:tr w:rsidR="00D4368C" w14:paraId="6FF76929"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13110"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15</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40097" w14:textId="77777777" w:rsidR="00D4368C" w:rsidRDefault="001710E2">
            <w:pPr>
              <w:pStyle w:val="NormalIndent"/>
              <w:ind w:firstLine="0"/>
              <w:rPr>
                <w:rFonts w:ascii="宋体" w:eastAsia="宋体" w:hAnsi="宋体" w:cs="宋体"/>
                <w:bCs/>
                <w:szCs w:val="44"/>
              </w:rPr>
            </w:pPr>
            <w:proofErr w:type="gramStart"/>
            <w:r>
              <w:rPr>
                <w:rFonts w:ascii="宋体" w:eastAsia="宋体" w:hAnsi="宋体" w:cs="宋体" w:hint="eastAsia"/>
                <w:bCs/>
                <w:szCs w:val="44"/>
              </w:rPr>
              <w:t>光大云付互联网</w:t>
            </w:r>
            <w:proofErr w:type="gramEnd"/>
            <w:r>
              <w:rPr>
                <w:rFonts w:ascii="宋体" w:eastAsia="宋体" w:hAnsi="宋体" w:cs="宋体" w:hint="eastAsia"/>
                <w:bCs/>
                <w:szCs w:val="44"/>
              </w:rPr>
              <w:t>股份有限公司</w:t>
            </w:r>
          </w:p>
        </w:tc>
      </w:tr>
      <w:tr w:rsidR="00D4368C" w14:paraId="52D261A1"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A2E9A"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16</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A8238"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中国青旅集团公司</w:t>
            </w:r>
          </w:p>
        </w:tc>
      </w:tr>
      <w:tr w:rsidR="00D4368C" w14:paraId="636AEDA3"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8472C"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17</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F57E0"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中国青年实业发展总公司</w:t>
            </w:r>
          </w:p>
        </w:tc>
      </w:tr>
      <w:tr w:rsidR="00D4368C" w14:paraId="5DAD902A"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B6813"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18</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45CEB"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光大金融租赁股份有限公司</w:t>
            </w:r>
          </w:p>
        </w:tc>
      </w:tr>
      <w:tr w:rsidR="00D4368C" w14:paraId="325020F5"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09191"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19</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D609C"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韶山光大村镇银行股份有限公司</w:t>
            </w:r>
          </w:p>
        </w:tc>
      </w:tr>
      <w:tr w:rsidR="00D4368C" w14:paraId="6E56737C"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D1A37"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20</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38732"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江苏淮安光大村镇银行股份有限公司</w:t>
            </w:r>
          </w:p>
        </w:tc>
      </w:tr>
      <w:tr w:rsidR="00D4368C" w14:paraId="76A39EF7"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95296"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21</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205C1"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光银国际投资有限公司</w:t>
            </w:r>
          </w:p>
        </w:tc>
      </w:tr>
      <w:tr w:rsidR="00D4368C" w14:paraId="31523402"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67279"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22</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278D4"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中国光大银行股份有限公司（欧洲）</w:t>
            </w:r>
          </w:p>
        </w:tc>
      </w:tr>
      <w:tr w:rsidR="00D4368C" w14:paraId="04D07E2D"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20625"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23</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295FB"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江西瑞金光大村镇银行股份有限公司</w:t>
            </w:r>
          </w:p>
        </w:tc>
      </w:tr>
      <w:tr w:rsidR="00D4368C" w14:paraId="081ECDC4"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53C78" w14:textId="77777777" w:rsidR="00D4368C" w:rsidRDefault="001710E2">
            <w:pPr>
              <w:pStyle w:val="NormalIndent"/>
              <w:ind w:firstLine="0"/>
              <w:jc w:val="center"/>
              <w:rPr>
                <w:rFonts w:ascii="宋体" w:eastAsia="宋体" w:hAnsi="宋体" w:cs="宋体"/>
                <w:bCs/>
                <w:szCs w:val="44"/>
              </w:rPr>
            </w:pPr>
            <w:r>
              <w:rPr>
                <w:rFonts w:ascii="宋体" w:eastAsia="宋体" w:hAnsi="宋体" w:cs="宋体" w:hint="eastAsia"/>
                <w:bCs/>
                <w:szCs w:val="44"/>
              </w:rPr>
              <w:t>24</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DA34F"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光大理财有限责任公司</w:t>
            </w:r>
          </w:p>
        </w:tc>
      </w:tr>
      <w:tr w:rsidR="00D4368C" w14:paraId="03DDCB8C" w14:textId="77777777">
        <w:trPr>
          <w:trHeight w:hRule="exact" w:val="454"/>
          <w:jc w:val="center"/>
        </w:trPr>
        <w:tc>
          <w:tcPr>
            <w:tcW w:w="84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C8974C" w14:textId="77777777" w:rsidR="00D4368C" w:rsidRDefault="001710E2">
            <w:pPr>
              <w:pStyle w:val="NormalIndent"/>
              <w:ind w:firstLine="0"/>
              <w:rPr>
                <w:rFonts w:ascii="宋体" w:eastAsia="宋体" w:hAnsi="宋体" w:cs="宋体"/>
                <w:bCs/>
                <w:szCs w:val="44"/>
              </w:rPr>
            </w:pPr>
            <w:r>
              <w:rPr>
                <w:rFonts w:ascii="宋体" w:eastAsia="宋体" w:hAnsi="宋体" w:cs="宋体" w:hint="eastAsia"/>
                <w:bCs/>
                <w:szCs w:val="44"/>
              </w:rPr>
              <w:t>托管人应根据资产管理人的要求，及时提供托管人关联方名单。</w:t>
            </w:r>
          </w:p>
          <w:p w14:paraId="4A60EFD6" w14:textId="77777777" w:rsidR="00D4368C" w:rsidRDefault="00D4368C">
            <w:pPr>
              <w:pStyle w:val="NormalIndent"/>
              <w:ind w:firstLine="0"/>
              <w:rPr>
                <w:rFonts w:ascii="宋体" w:eastAsia="宋体" w:hAnsi="宋体" w:cs="宋体"/>
                <w:bCs/>
                <w:szCs w:val="44"/>
              </w:rPr>
            </w:pPr>
          </w:p>
        </w:tc>
      </w:tr>
    </w:tbl>
    <w:p w14:paraId="6ED6756D" w14:textId="77777777" w:rsidR="00D4368C" w:rsidRDefault="00D4368C">
      <w:pPr>
        <w:pStyle w:val="NormalIndent"/>
        <w:spacing w:line="20" w:lineRule="exact"/>
        <w:ind w:firstLine="0"/>
        <w:rPr>
          <w:rFonts w:ascii="宋体" w:eastAsia="宋体" w:hAnsi="宋体" w:cs="宋体"/>
          <w:bCs/>
          <w:szCs w:val="44"/>
        </w:rPr>
      </w:pPr>
    </w:p>
    <w:p w14:paraId="3463BFF3" w14:textId="77777777" w:rsidR="00D4368C" w:rsidRDefault="00D4368C">
      <w:pPr>
        <w:pStyle w:val="NormalIndent"/>
        <w:spacing w:line="20" w:lineRule="exact"/>
        <w:ind w:firstLine="0"/>
        <w:rPr>
          <w:rFonts w:ascii="宋体" w:eastAsia="宋体" w:hAnsi="宋体" w:cs="宋体"/>
          <w:bCs/>
          <w:szCs w:val="44"/>
        </w:rPr>
      </w:pPr>
    </w:p>
    <w:p w14:paraId="71C78FBC" w14:textId="77777777" w:rsidR="00D4368C" w:rsidRDefault="00D4368C">
      <w:pPr>
        <w:pStyle w:val="NormalIndent"/>
        <w:spacing w:line="20" w:lineRule="exact"/>
        <w:ind w:firstLine="0"/>
        <w:rPr>
          <w:rFonts w:ascii="宋体" w:eastAsia="宋体" w:hAnsi="宋体" w:cs="宋体"/>
          <w:bCs/>
          <w:szCs w:val="44"/>
        </w:rPr>
      </w:pPr>
    </w:p>
    <w:sectPr w:rsidR="00D4368C">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B6656" w14:textId="77777777" w:rsidR="004F404A" w:rsidRDefault="004F404A">
      <w:r>
        <w:separator/>
      </w:r>
    </w:p>
  </w:endnote>
  <w:endnote w:type="continuationSeparator" w:id="0">
    <w:p w14:paraId="19588064" w14:textId="77777777" w:rsidR="004F404A" w:rsidRDefault="004F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00"/>
    <w:family w:val="auto"/>
    <w:pitch w:val="default"/>
  </w:font>
  <w:font w:name="仿宋">
    <w:panose1 w:val="02010609060101010101"/>
    <w:charset w:val="86"/>
    <w:family w:val="modern"/>
    <w:pitch w:val="fixed"/>
    <w:sig w:usb0="800002BF" w:usb1="38CF7CFA" w:usb2="00000016" w:usb3="00000000" w:csb0="00040001" w:csb1="00000000"/>
  </w:font>
  <w:font w:name="仿宋_GB2312">
    <w:altName w:val="微软雅黑"/>
    <w:charset w:val="00"/>
    <w:family w:val="auto"/>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86D5" w14:textId="77777777" w:rsidR="00D4368C" w:rsidRDefault="001710E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F6A7E14" w14:textId="77777777" w:rsidR="00D4368C" w:rsidRDefault="00D436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30BF" w14:textId="77777777" w:rsidR="00D4368C" w:rsidRDefault="001710E2">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2897C75C" w14:textId="77777777" w:rsidR="00D4368C" w:rsidRDefault="00D4368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217481"/>
    </w:sdtPr>
    <w:sdtEndPr/>
    <w:sdtContent>
      <w:p w14:paraId="3015CB02" w14:textId="77777777" w:rsidR="00D4368C" w:rsidRDefault="001710E2">
        <w:pPr>
          <w:pStyle w:val="Footer"/>
          <w:jc w:val="center"/>
        </w:pPr>
        <w:r>
          <w:fldChar w:fldCharType="begin"/>
        </w:r>
        <w:r>
          <w:instrText>PAGE   \* MERGEFORMAT</w:instrText>
        </w:r>
        <w:r>
          <w:fldChar w:fldCharType="separate"/>
        </w:r>
        <w:r>
          <w:rPr>
            <w:lang w:val="zh-CN"/>
          </w:rPr>
          <w:t>1</w:t>
        </w:r>
        <w:r>
          <w:fldChar w:fldCharType="end"/>
        </w:r>
      </w:p>
    </w:sdtContent>
  </w:sdt>
  <w:p w14:paraId="4F19D575" w14:textId="77777777" w:rsidR="00D4368C" w:rsidRDefault="00D43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E718" w14:textId="77777777" w:rsidR="00D4368C" w:rsidRDefault="001710E2">
    <w:pPr>
      <w:pStyle w:val="Footer"/>
      <w:jc w:val="center"/>
    </w:pPr>
    <w:r>
      <w:fldChar w:fldCharType="begin"/>
    </w:r>
    <w:r>
      <w:instrText>PAGE   \* MERGEFORMAT</w:instrText>
    </w:r>
    <w:r>
      <w:fldChar w:fldCharType="separate"/>
    </w:r>
    <w:r>
      <w:rPr>
        <w:lang w:val="zh-CN"/>
      </w:rPr>
      <w:t>14</w:t>
    </w:r>
    <w:r>
      <w:rPr>
        <w:lang w:val="zh-CN"/>
      </w:rPr>
      <w:fldChar w:fldCharType="end"/>
    </w:r>
  </w:p>
  <w:p w14:paraId="39A96DAB" w14:textId="77777777" w:rsidR="00D4368C" w:rsidRDefault="00D436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C903" w14:textId="77777777" w:rsidR="004F404A" w:rsidRDefault="004F404A">
      <w:r>
        <w:separator/>
      </w:r>
    </w:p>
  </w:footnote>
  <w:footnote w:type="continuationSeparator" w:id="0">
    <w:p w14:paraId="416F8FE0" w14:textId="77777777" w:rsidR="004F404A" w:rsidRDefault="004F4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EA3B" w14:textId="77777777" w:rsidR="00D4368C" w:rsidRDefault="001710E2">
    <w:pPr>
      <w:pStyle w:val="Header"/>
      <w:rPr>
        <w:rFonts w:ascii="宋体" w:eastAsia="宋体" w:hAnsi="宋体" w:cs="宋体"/>
      </w:rPr>
    </w:pPr>
    <w:r>
      <w:rPr>
        <w:rFonts w:ascii="宋体" w:eastAsia="宋体" w:hAnsi="宋体" w:cs="宋体" w:hint="eastAsia"/>
      </w:rPr>
      <w:t>光大期货-光大理财阳光</w:t>
    </w:r>
    <w:proofErr w:type="gramStart"/>
    <w:r>
      <w:rPr>
        <w:rFonts w:ascii="宋体" w:eastAsia="宋体" w:hAnsi="宋体" w:cs="宋体" w:hint="eastAsia"/>
      </w:rPr>
      <w:t>橙</w:t>
    </w:r>
    <w:proofErr w:type="gramEnd"/>
    <w:r>
      <w:rPr>
        <w:rFonts w:ascii="宋体" w:eastAsia="宋体" w:hAnsi="宋体" w:cs="宋体" w:hint="eastAsia"/>
      </w:rPr>
      <w:t>精选2号集合资产管理计划资产管理合同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suff w:val="nothing"/>
      <w:lvlText w:val="%1、"/>
      <w:lvlJc w:val="left"/>
      <w:pPr>
        <w:snapToGrid/>
        <w:ind w:left="0" w:firstLine="720"/>
      </w:pPr>
      <w:rPr>
        <w:rFonts w:hint="default"/>
      </w:rPr>
    </w:lvl>
    <w:lvl w:ilvl="1">
      <w:start w:val="1"/>
      <w:numFmt w:val="lowerLetter"/>
      <w:lvlText w:val="%2)"/>
      <w:lvlJc w:val="left"/>
      <w:pPr>
        <w:snapToGrid/>
        <w:ind w:left="1560" w:hanging="420"/>
      </w:pPr>
    </w:lvl>
    <w:lvl w:ilvl="2">
      <w:start w:val="1"/>
      <w:numFmt w:val="lowerRoman"/>
      <w:lvlText w:val="%3."/>
      <w:lvlJc w:val="right"/>
      <w:pPr>
        <w:snapToGrid/>
        <w:ind w:left="1980" w:hanging="420"/>
      </w:pPr>
    </w:lvl>
    <w:lvl w:ilvl="3">
      <w:start w:val="1"/>
      <w:numFmt w:val="decimal"/>
      <w:lvlText w:val="%4."/>
      <w:lvlJc w:val="left"/>
      <w:pPr>
        <w:snapToGrid/>
        <w:ind w:left="2400" w:hanging="420"/>
      </w:pPr>
    </w:lvl>
    <w:lvl w:ilvl="4">
      <w:start w:val="1"/>
      <w:numFmt w:val="lowerLetter"/>
      <w:lvlText w:val="%5)"/>
      <w:lvlJc w:val="left"/>
      <w:pPr>
        <w:snapToGrid/>
        <w:ind w:left="2820" w:hanging="420"/>
      </w:pPr>
    </w:lvl>
    <w:lvl w:ilvl="5">
      <w:start w:val="1"/>
      <w:numFmt w:val="lowerRoman"/>
      <w:lvlText w:val="%6."/>
      <w:lvlJc w:val="right"/>
      <w:pPr>
        <w:snapToGrid/>
        <w:ind w:left="3240" w:hanging="420"/>
      </w:pPr>
    </w:lvl>
    <w:lvl w:ilvl="6">
      <w:start w:val="1"/>
      <w:numFmt w:val="decimal"/>
      <w:lvlText w:val="%7."/>
      <w:lvlJc w:val="left"/>
      <w:pPr>
        <w:snapToGrid/>
        <w:ind w:left="3660" w:hanging="420"/>
      </w:pPr>
    </w:lvl>
    <w:lvl w:ilvl="7">
      <w:start w:val="1"/>
      <w:numFmt w:val="lowerLetter"/>
      <w:lvlText w:val="%8)"/>
      <w:lvlJc w:val="left"/>
      <w:pPr>
        <w:snapToGrid/>
        <w:ind w:left="4080" w:hanging="420"/>
      </w:pPr>
    </w:lvl>
    <w:lvl w:ilvl="8">
      <w:start w:val="1"/>
      <w:numFmt w:val="lowerRoman"/>
      <w:lvlText w:val="%9."/>
      <w:lvlJc w:val="right"/>
      <w:pPr>
        <w:snapToGrid/>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D1"/>
    <w:rsid w:val="0001533E"/>
    <w:rsid w:val="000974F7"/>
    <w:rsid w:val="000A0DF7"/>
    <w:rsid w:val="001710E2"/>
    <w:rsid w:val="004F404A"/>
    <w:rsid w:val="00577F3B"/>
    <w:rsid w:val="008D7D20"/>
    <w:rsid w:val="009172D1"/>
    <w:rsid w:val="00C23FB0"/>
    <w:rsid w:val="00C94E2D"/>
    <w:rsid w:val="00D4368C"/>
    <w:rsid w:val="00E27187"/>
    <w:rsid w:val="00EF3FF0"/>
    <w:rsid w:val="064D59E4"/>
    <w:rsid w:val="08BC1CBD"/>
    <w:rsid w:val="0ADB7197"/>
    <w:rsid w:val="0EB65F51"/>
    <w:rsid w:val="0F7756E1"/>
    <w:rsid w:val="14BE790E"/>
    <w:rsid w:val="1BC021BE"/>
    <w:rsid w:val="1D232527"/>
    <w:rsid w:val="1E39597D"/>
    <w:rsid w:val="226D0386"/>
    <w:rsid w:val="238A5E2F"/>
    <w:rsid w:val="247618C0"/>
    <w:rsid w:val="29C00C3F"/>
    <w:rsid w:val="2A522B7B"/>
    <w:rsid w:val="32094F70"/>
    <w:rsid w:val="366B42F6"/>
    <w:rsid w:val="3C362DB8"/>
    <w:rsid w:val="3D2F5E7F"/>
    <w:rsid w:val="3DC6320C"/>
    <w:rsid w:val="40451349"/>
    <w:rsid w:val="48714296"/>
    <w:rsid w:val="48F857F0"/>
    <w:rsid w:val="4C242F29"/>
    <w:rsid w:val="535D7D09"/>
    <w:rsid w:val="5383446C"/>
    <w:rsid w:val="59802C75"/>
    <w:rsid w:val="5A2C161C"/>
    <w:rsid w:val="5FCD7F0A"/>
    <w:rsid w:val="60940AF0"/>
    <w:rsid w:val="66E77BCB"/>
    <w:rsid w:val="6A6B0B13"/>
    <w:rsid w:val="6CD12CA6"/>
    <w:rsid w:val="6DF148F4"/>
    <w:rsid w:val="6F6F4C02"/>
    <w:rsid w:val="740F0761"/>
    <w:rsid w:val="750B717B"/>
    <w:rsid w:val="792B2801"/>
    <w:rsid w:val="7959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97743-8D1D-4822-BB41-AE5FF695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0"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iPriority="0" w:qFormat="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FirstIndent2"/>
    <w:qFormat/>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pPr>
    <w:rPr>
      <w:rFonts w:ascii="Times New Roman" w:eastAsia="华文宋体" w:hAnsi="Times New Roman" w:cs="Times New Roman"/>
      <w:sz w:val="24"/>
      <w:szCs w:val="24"/>
    </w:rPr>
  </w:style>
  <w:style w:type="paragraph" w:styleId="Heading1">
    <w:name w:val="heading 1"/>
    <w:basedOn w:val="Normal"/>
    <w:next w:val="Normal"/>
    <w:link w:val="Heading1Char1"/>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1"/>
    <w:qFormat/>
    <w:pPr>
      <w:keepNext/>
      <w:keepLines/>
      <w:spacing w:before="260" w:after="260" w:line="416" w:lineRule="auto"/>
      <w:outlineLvl w:val="2"/>
    </w:pPr>
    <w:rPr>
      <w:b/>
      <w:bCs/>
      <w:sz w:val="32"/>
      <w:szCs w:val="32"/>
    </w:rPr>
  </w:style>
  <w:style w:type="paragraph" w:styleId="Heading4">
    <w:name w:val="heading 4"/>
    <w:basedOn w:val="Normal"/>
    <w:next w:val="Normal"/>
    <w:link w:val="Heading4Char1"/>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1"/>
    <w:qFormat/>
    <w:pPr>
      <w:keepNext/>
      <w:keepLines/>
      <w:spacing w:before="280" w:after="290" w:line="376" w:lineRule="auto"/>
      <w:outlineLvl w:val="4"/>
    </w:pPr>
    <w:rPr>
      <w:b/>
      <w:bCs/>
      <w:sz w:val="28"/>
      <w:szCs w:val="28"/>
    </w:rPr>
  </w:style>
  <w:style w:type="paragraph" w:styleId="Heading6">
    <w:name w:val="heading 6"/>
    <w:basedOn w:val="Normal"/>
    <w:next w:val="Normal"/>
    <w:link w:val="Heading6Char1"/>
    <w:qFormat/>
    <w:pPr>
      <w:keepNext/>
      <w:keepLines/>
      <w:spacing w:before="240" w:after="64" w:line="320" w:lineRule="auto"/>
      <w:outlineLvl w:val="5"/>
    </w:pPr>
    <w:rPr>
      <w:rFonts w:ascii="Arial" w:eastAsia="黑体" w:hAnsi="Arial"/>
      <w:b/>
      <w:bCs/>
    </w:rPr>
  </w:style>
  <w:style w:type="paragraph" w:styleId="Heading7">
    <w:name w:val="heading 7"/>
    <w:basedOn w:val="Normal"/>
    <w:next w:val="Normal"/>
    <w:link w:val="Heading7Char1"/>
    <w:qFormat/>
    <w:pPr>
      <w:keepNext/>
      <w:keepLines/>
      <w:spacing w:before="240" w:after="64" w:line="320" w:lineRule="auto"/>
      <w:outlineLvl w:val="6"/>
    </w:pPr>
    <w:rPr>
      <w:b/>
      <w:bCs/>
    </w:rPr>
  </w:style>
  <w:style w:type="paragraph" w:styleId="Heading8">
    <w:name w:val="heading 8"/>
    <w:basedOn w:val="Normal"/>
    <w:next w:val="Normal"/>
    <w:link w:val="Heading8Char1"/>
    <w:qFormat/>
    <w:pPr>
      <w:keepNext/>
      <w:keepLines/>
      <w:spacing w:before="240" w:after="64" w:line="320" w:lineRule="auto"/>
      <w:outlineLvl w:val="7"/>
    </w:pPr>
    <w:rPr>
      <w:rFonts w:ascii="Arial" w:eastAsia="黑体" w:hAnsi="Arial"/>
    </w:rPr>
  </w:style>
  <w:style w:type="paragraph" w:styleId="Heading9">
    <w:name w:val="heading 9"/>
    <w:basedOn w:val="Normal"/>
    <w:next w:val="Normal"/>
    <w:link w:val="Heading9Char1"/>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uiPriority w:val="99"/>
    <w:unhideWhenUsed/>
    <w:qFormat/>
    <w:pPr>
      <w:spacing w:after="120" w:line="240" w:lineRule="auto"/>
      <w:ind w:left="420"/>
    </w:pPr>
    <w:rPr>
      <w:rFonts w:eastAsia="宋体"/>
      <w:color w:val="auto"/>
      <w:sz w:val="21"/>
    </w:rPr>
  </w:style>
  <w:style w:type="paragraph" w:styleId="BodyTextIndent">
    <w:name w:val="Body Text Indent"/>
    <w:basedOn w:val="Normal"/>
    <w:qFormat/>
    <w:pPr>
      <w:spacing w:line="360" w:lineRule="auto"/>
      <w:ind w:firstLine="420"/>
    </w:pPr>
    <w:rPr>
      <w:color w:val="000000"/>
      <w:szCs w:val="21"/>
    </w:rPr>
  </w:style>
  <w:style w:type="paragraph" w:styleId="TOC7">
    <w:name w:val="toc 7"/>
    <w:basedOn w:val="Normal"/>
    <w:next w:val="Normal"/>
    <w:uiPriority w:val="39"/>
    <w:unhideWhenUsed/>
    <w:qFormat/>
    <w:pPr>
      <w:spacing w:after="57"/>
      <w:ind w:left="1701"/>
    </w:pPr>
  </w:style>
  <w:style w:type="paragraph" w:styleId="NormalIndent">
    <w:name w:val="Normal Indent"/>
    <w:basedOn w:val="Normal"/>
    <w:unhideWhenUsed/>
    <w:qFormat/>
    <w:pPr>
      <w:ind w:firstLine="420"/>
    </w:pPr>
    <w:rPr>
      <w:szCs w:val="20"/>
    </w:rPr>
  </w:style>
  <w:style w:type="paragraph" w:styleId="DocumentMap">
    <w:name w:val="Document Map"/>
    <w:basedOn w:val="Normal"/>
    <w:semiHidden/>
    <w:qFormat/>
    <w:pPr>
      <w:shd w:val="clear" w:color="auto" w:fill="000080"/>
    </w:pPr>
  </w:style>
  <w:style w:type="paragraph" w:styleId="CommentText">
    <w:name w:val="annotation text"/>
    <w:basedOn w:val="Normal"/>
    <w:link w:val="CommentTextChar"/>
    <w:uiPriority w:val="99"/>
    <w:qFormat/>
    <w:pPr>
      <w:jc w:val="left"/>
    </w:pPr>
  </w:style>
  <w:style w:type="paragraph" w:styleId="TOC5">
    <w:name w:val="toc 5"/>
    <w:basedOn w:val="Normal"/>
    <w:next w:val="Normal"/>
    <w:uiPriority w:val="39"/>
    <w:unhideWhenUsed/>
    <w:qFormat/>
    <w:pPr>
      <w:spacing w:after="57"/>
      <w:ind w:left="1134"/>
    </w:pPr>
  </w:style>
  <w:style w:type="paragraph" w:styleId="TOC3">
    <w:name w:val="toc 3"/>
    <w:basedOn w:val="Normal"/>
    <w:next w:val="Normal"/>
    <w:uiPriority w:val="39"/>
    <w:unhideWhenUsed/>
    <w:qFormat/>
    <w:pPr>
      <w:spacing w:after="57"/>
      <w:ind w:left="567"/>
    </w:pPr>
  </w:style>
  <w:style w:type="paragraph" w:styleId="TOC8">
    <w:name w:val="toc 8"/>
    <w:basedOn w:val="Normal"/>
    <w:next w:val="Normal"/>
    <w:uiPriority w:val="39"/>
    <w:unhideWhenUsed/>
    <w:qFormat/>
    <w:pPr>
      <w:spacing w:after="57"/>
      <w:ind w:left="1984"/>
    </w:pPr>
  </w:style>
  <w:style w:type="paragraph" w:styleId="Date">
    <w:name w:val="Date"/>
    <w:basedOn w:val="Normal"/>
    <w:next w:val="Normal"/>
    <w:qFormat/>
    <w:rPr>
      <w:sz w:val="28"/>
      <w:szCs w:val="20"/>
    </w:rPr>
  </w:style>
  <w:style w:type="paragraph" w:styleId="BodyTextIndent2">
    <w:name w:val="Body Text Indent 2"/>
    <w:basedOn w:val="Normal"/>
    <w:qFormat/>
    <w:pPr>
      <w:spacing w:after="120" w:line="480" w:lineRule="auto"/>
      <w:ind w:left="420"/>
    </w:pPr>
  </w:style>
  <w:style w:type="paragraph" w:styleId="BalloonText">
    <w:name w:val="Balloon Text"/>
    <w:basedOn w:val="Normal"/>
    <w:semiHidden/>
    <w:qFormat/>
    <w:rPr>
      <w:sz w:val="18"/>
      <w:szCs w:val="18"/>
    </w:rPr>
  </w:style>
  <w:style w:type="paragraph" w:styleId="Footer">
    <w:name w:val="footer"/>
    <w:basedOn w:val="Normal"/>
    <w:link w:val="FooterChar1"/>
    <w:uiPriority w:val="99"/>
    <w:qFormat/>
    <w:pPr>
      <w:tabs>
        <w:tab w:val="center" w:pos="4153"/>
        <w:tab w:val="right" w:pos="8306"/>
      </w:tabs>
      <w:jc w:val="left"/>
    </w:pPr>
    <w:rPr>
      <w:sz w:val="18"/>
      <w:szCs w:val="18"/>
    </w:rPr>
  </w:style>
  <w:style w:type="paragraph" w:styleId="Header">
    <w:name w:val="header"/>
    <w:basedOn w:val="Normal"/>
    <w:link w:val="HeaderChar1"/>
    <w:qFormat/>
    <w:pPr>
      <w:pBdr>
        <w:bottom w:val="single" w:sz="6" w:space="1" w:color="auto"/>
      </w:pBdr>
      <w:tabs>
        <w:tab w:val="center" w:pos="4153"/>
        <w:tab w:val="right" w:pos="8306"/>
      </w:tabs>
      <w:jc w:val="center"/>
    </w:pPr>
    <w:rPr>
      <w:sz w:val="18"/>
      <w:szCs w:val="18"/>
    </w:rPr>
  </w:style>
  <w:style w:type="paragraph" w:styleId="TOC1">
    <w:name w:val="toc 1"/>
    <w:basedOn w:val="Normal"/>
    <w:next w:val="Normal"/>
    <w:uiPriority w:val="39"/>
    <w:qFormat/>
    <w:pPr>
      <w:tabs>
        <w:tab w:val="right" w:leader="dot" w:pos="8296"/>
      </w:tabs>
      <w:spacing w:line="300" w:lineRule="auto"/>
    </w:pPr>
  </w:style>
  <w:style w:type="paragraph" w:styleId="TOC4">
    <w:name w:val="toc 4"/>
    <w:basedOn w:val="Normal"/>
    <w:next w:val="Normal"/>
    <w:uiPriority w:val="39"/>
    <w:unhideWhenUsed/>
    <w:qFormat/>
    <w:pPr>
      <w:spacing w:after="57"/>
      <w:ind w:left="850"/>
    </w:pPr>
  </w:style>
  <w:style w:type="paragraph" w:styleId="Subtitle">
    <w:name w:val="Subtitle"/>
    <w:basedOn w:val="Normal"/>
    <w:next w:val="Normal"/>
    <w:link w:val="SubtitleChar1"/>
    <w:uiPriority w:val="11"/>
    <w:qFormat/>
    <w:pPr>
      <w:spacing w:before="200" w:after="200"/>
    </w:pPr>
  </w:style>
  <w:style w:type="paragraph" w:styleId="FootnoteText">
    <w:name w:val="footnote text"/>
    <w:basedOn w:val="Normal"/>
    <w:link w:val="FootnoteTextChar1"/>
    <w:semiHidden/>
    <w:qFormat/>
    <w:pPr>
      <w:jc w:val="left"/>
    </w:pPr>
    <w:rPr>
      <w:sz w:val="18"/>
      <w:szCs w:val="18"/>
    </w:rPr>
  </w:style>
  <w:style w:type="paragraph" w:styleId="TOC6">
    <w:name w:val="toc 6"/>
    <w:basedOn w:val="Normal"/>
    <w:next w:val="Normal"/>
    <w:uiPriority w:val="39"/>
    <w:unhideWhenUsed/>
    <w:qFormat/>
    <w:pPr>
      <w:spacing w:after="57"/>
      <w:ind w:left="1417"/>
    </w:pPr>
  </w:style>
  <w:style w:type="paragraph" w:styleId="TOC2">
    <w:name w:val="toc 2"/>
    <w:basedOn w:val="Normal"/>
    <w:next w:val="Normal"/>
    <w:semiHidden/>
    <w:qFormat/>
    <w:pPr>
      <w:ind w:left="420"/>
    </w:pPr>
  </w:style>
  <w:style w:type="paragraph" w:styleId="TOC9">
    <w:name w:val="toc 9"/>
    <w:basedOn w:val="Normal"/>
    <w:next w:val="Normal"/>
    <w:uiPriority w:val="39"/>
    <w:unhideWhenUsed/>
    <w:qFormat/>
    <w:pPr>
      <w:spacing w:after="57"/>
      <w:ind w:left="2268"/>
    </w:p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rPr>
  </w:style>
  <w:style w:type="paragraph" w:styleId="Title">
    <w:name w:val="Title"/>
    <w:basedOn w:val="Normal"/>
    <w:next w:val="Normal"/>
    <w:link w:val="TitleChar1"/>
    <w:uiPriority w:val="10"/>
    <w:qFormat/>
    <w:pPr>
      <w:spacing w:before="300" w:after="200"/>
      <w:contextualSpacing/>
    </w:pPr>
    <w:rPr>
      <w:sz w:val="48"/>
      <w:szCs w:val="48"/>
    </w:rPr>
  </w:style>
  <w:style w:type="paragraph" w:styleId="CommentSubject">
    <w:name w:val="annotation subject"/>
    <w:basedOn w:val="CommentText"/>
    <w:next w:val="CommentText"/>
    <w:semiHidden/>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snapToGrid/>
      </w:pPr>
    </w:tblStylePr>
    <w:tblStylePr w:type="lastRow">
      <w:pPr>
        <w:snapToGrid/>
      </w:pPr>
    </w:tblStylePr>
    <w:tblStylePr w:type="firstCol">
      <w:pPr>
        <w:snapToGrid/>
      </w:pPr>
    </w:tblStylePr>
    <w:tblStylePr w:type="lastCol">
      <w:pPr>
        <w:snapToGrid/>
      </w:pPr>
    </w:tblStylePr>
    <w:tblStylePr w:type="band1Vert">
      <w:pPr>
        <w:snapToGrid/>
      </w:pPr>
    </w:tblStylePr>
    <w:tblStylePr w:type="band2Vert">
      <w:pPr>
        <w:snapToGrid/>
      </w:pPr>
    </w:tblStylePr>
    <w:tblStylePr w:type="band1Horz">
      <w:pPr>
        <w:snapToGrid/>
      </w:p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character" w:styleId="PageNumber">
    <w:name w:val="page number"/>
    <w:basedOn w:val="DefaultParagraphFont"/>
    <w:qFormat/>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styleId="FootnoteReference">
    <w:name w:val="footnote reference"/>
    <w:uiPriority w:val="99"/>
    <w:qFormat/>
    <w:rPr>
      <w:vertAlign w:val="superscript"/>
    </w:r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szCs w:val="22"/>
      <w:lang w:eastAsia="en-US" w:bidi="en-US"/>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uiPriority w:val="99"/>
    <w:qFormat/>
  </w:style>
  <w:style w:type="table" w:customStyle="1" w:styleId="11">
    <w:name w:val="无格式表格 11"/>
    <w:basedOn w:val="Table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pPr>
        <w:snapToGrid/>
      </w:pPr>
      <w:rPr>
        <w:rFonts w:ascii="Arial" w:hAnsi="Arial"/>
        <w:b/>
        <w:color w:val="404040"/>
        <w:sz w:val="22"/>
      </w:rPr>
    </w:tblStylePr>
    <w:tblStylePr w:type="lastRow">
      <w:pPr>
        <w:snapToGrid/>
      </w:pPr>
      <w:rPr>
        <w:rFonts w:ascii="Arial" w:hAnsi="Arial"/>
        <w:b/>
        <w:color w:val="404040"/>
        <w:sz w:val="22"/>
      </w:r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tblPr/>
      <w:tcPr>
        <w:shd w:val="clear" w:color="auto" w:fill="F2F2F2" w:themeFill="text1" w:themeFillTint="0D"/>
      </w:tcPr>
    </w:tblStylePr>
    <w:tblStylePr w:type="band2Vert">
      <w:pPr>
        <w:snapToGrid/>
      </w:pPr>
    </w:tblStylePr>
    <w:tblStylePr w:type="band1Horz">
      <w:pPr>
        <w:snapToGrid/>
      </w:p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21">
    <w:name w:val="无格式表格 21"/>
    <w:basedOn w:val="Table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pPr>
        <w:snapToGrid/>
      </w:pPr>
      <w:rPr>
        <w:rFonts w:ascii="Arial" w:hAnsi="Arial"/>
        <w:b/>
        <w:color w:val="404040"/>
        <w:sz w:val="22"/>
      </w:rPr>
      <w:tblPr/>
      <w:tcPr>
        <w:tcBorders>
          <w:top w:val="single" w:sz="4" w:space="0" w:color="000000" w:themeColor="text1"/>
          <w:bottom w:val="single" w:sz="4" w:space="0" w:color="000000" w:themeColor="text1"/>
        </w:tcBorders>
      </w:tcPr>
    </w:tblStylePr>
    <w:tblStylePr w:type="lastRow">
      <w:pPr>
        <w:snapToGrid/>
      </w:pPr>
      <w:rPr>
        <w:rFonts w:ascii="Arial" w:hAnsi="Arial"/>
        <w:b/>
        <w:color w:val="404040"/>
        <w:sz w:val="22"/>
      </w:r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tblPr/>
      <w:tcPr>
        <w:tcBorders>
          <w:left w:val="single" w:sz="4" w:space="0" w:color="000000" w:themeColor="text1"/>
          <w:right w:val="single" w:sz="4" w:space="0" w:color="000000" w:themeColor="text1"/>
        </w:tcBorders>
      </w:tcPr>
    </w:tblStylePr>
    <w:tblStylePr w:type="band2Vert">
      <w:pPr>
        <w:snapToGrid/>
      </w:pPr>
      <w:tblPr/>
      <w:tcPr>
        <w:tcBorders>
          <w:left w:val="single" w:sz="4" w:space="0" w:color="000000" w:themeColor="text1"/>
          <w:right w:val="single" w:sz="4" w:space="0" w:color="000000" w:themeColor="text1"/>
        </w:tcBorders>
      </w:tcPr>
    </w:tblStylePr>
    <w:tblStylePr w:type="band1Horz">
      <w:pPr>
        <w:snapToGrid/>
      </w:pPr>
      <w:tblPr/>
      <w:tcPr>
        <w:tcBorders>
          <w:top w:val="single" w:sz="4" w:space="0" w:color="000000" w:themeColor="text1"/>
          <w:bottom w:val="single" w:sz="4" w:space="0" w:color="000000" w:themeColor="text1"/>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31">
    <w:name w:val="无格式表格 31"/>
    <w:basedOn w:val="TableNormal"/>
    <w:uiPriority w:val="99"/>
    <w:qFormat/>
    <w:tblPr/>
    <w:tblStylePr w:type="firstRow">
      <w:pPr>
        <w:snapToGrid/>
      </w:pPr>
      <w:rPr>
        <w:b/>
        <w:caps/>
        <w:color w:val="404040"/>
      </w:rPr>
      <w:tblPr/>
      <w:tcPr>
        <w:tcBorders>
          <w:top w:val="nil"/>
          <w:left w:val="nil"/>
          <w:bottom w:val="single" w:sz="4" w:space="0" w:color="404040"/>
          <w:right w:val="nil"/>
        </w:tcBorders>
      </w:tcPr>
    </w:tblStylePr>
    <w:tblStylePr w:type="lastRow">
      <w:pPr>
        <w:snapToGrid/>
      </w:pPr>
      <w:rPr>
        <w:b/>
        <w:caps/>
        <w:color w:val="404040"/>
      </w:rPr>
    </w:tblStylePr>
    <w:tblStylePr w:type="firstCol">
      <w:pPr>
        <w:snapToGrid/>
      </w:pPr>
      <w:rPr>
        <w:b/>
        <w:caps/>
        <w:color w:val="404040"/>
      </w:rPr>
      <w:tblPr/>
      <w:tcPr>
        <w:tcBorders>
          <w:top w:val="nil"/>
          <w:left w:val="nil"/>
          <w:bottom w:val="nil"/>
          <w:right w:val="single" w:sz="4" w:space="0" w:color="404040"/>
        </w:tcBorders>
      </w:tcPr>
    </w:tblStylePr>
    <w:tblStylePr w:type="lastCol">
      <w:pPr>
        <w:snapToGrid/>
      </w:pPr>
      <w:rPr>
        <w:b/>
        <w:caps/>
        <w:color w:val="404040"/>
      </w:rPr>
    </w:tblStylePr>
    <w:tblStylePr w:type="band1Vert">
      <w:pPr>
        <w:snapToGrid/>
      </w:pPr>
      <w:rPr>
        <w:rFonts w:ascii="Arial" w:hAnsi="Arial"/>
        <w:color w:val="404040"/>
        <w:sz w:val="22"/>
      </w:rPr>
      <w:tblPr/>
      <w:tcPr>
        <w:shd w:val="clear" w:color="auto" w:fill="F2F2F2" w:themeFill="text1" w:themeFillTint="0D"/>
      </w:tcPr>
    </w:tblStylePr>
    <w:tblStylePr w:type="band2Vert">
      <w:pPr>
        <w:snapToGrid/>
      </w:pPr>
    </w:tblStylePr>
    <w:tblStylePr w:type="band1Horz">
      <w:pPr>
        <w:snapToGrid/>
      </w:pPr>
      <w:rPr>
        <w:rFonts w:ascii="Arial" w:hAnsi="Arial"/>
        <w:color w:val="404040"/>
        <w:sz w:val="22"/>
      </w:r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41">
    <w:name w:val="无格式表格 41"/>
    <w:basedOn w:val="TableNormal"/>
    <w:uiPriority w:val="99"/>
    <w:qFormat/>
    <w:tblPr/>
    <w:tblStylePr w:type="firstRow">
      <w:pPr>
        <w:snapToGrid/>
      </w:pPr>
      <w:rPr>
        <w:b/>
        <w:color w:val="404040"/>
      </w:r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2F2F2" w:themeFill="text1" w:themeFillTint="0D"/>
      </w:tcPr>
    </w:tblStylePr>
    <w:tblStylePr w:type="band2Vert">
      <w:pPr>
        <w:snapToGrid/>
      </w:pPr>
    </w:tblStylePr>
    <w:tblStylePr w:type="band1Horz">
      <w:pPr>
        <w:snapToGrid/>
      </w:pPr>
      <w:rPr>
        <w:rFonts w:ascii="Arial" w:hAnsi="Arial"/>
        <w:color w:val="404040"/>
        <w:sz w:val="22"/>
      </w:r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51">
    <w:name w:val="无格式表格 51"/>
    <w:basedOn w:val="TableNormal"/>
    <w:uiPriority w:val="99"/>
    <w:qFormat/>
    <w:tblPr/>
    <w:tblStylePr w:type="firstRow">
      <w:pPr>
        <w:snapToGrid/>
      </w:pPr>
      <w:rPr>
        <w:i/>
        <w:color w:val="404040"/>
      </w:rPr>
      <w:tblPr/>
      <w:tcPr>
        <w:tcBorders>
          <w:left w:val="nil"/>
          <w:bottom w:val="single" w:sz="4" w:space="0" w:color="404040"/>
          <w:right w:val="nil"/>
        </w:tcBorders>
        <w:shd w:val="clear" w:color="auto" w:fill="FFFFFF"/>
      </w:tcPr>
    </w:tblStylePr>
    <w:tblStylePr w:type="lastRow">
      <w:pPr>
        <w:snapToGrid/>
      </w:pPr>
      <w:rPr>
        <w:i/>
        <w:color w:val="404040"/>
      </w:rPr>
      <w:tblPr/>
      <w:tcPr>
        <w:tcBorders>
          <w:top w:val="single" w:sz="4" w:space="0" w:color="404040"/>
          <w:left w:val="nil"/>
          <w:right w:val="nil"/>
        </w:tcBorders>
        <w:shd w:val="clear" w:color="auto" w:fill="FFFFFF"/>
      </w:tcPr>
    </w:tblStylePr>
    <w:tblStylePr w:type="firstCol">
      <w:pPr>
        <w:snapToGrid/>
        <w:jc w:val="right"/>
      </w:pPr>
      <w:rPr>
        <w:i/>
        <w:color w:val="404040"/>
      </w:rPr>
      <w:tblPr/>
      <w:tcPr>
        <w:tcBorders>
          <w:right w:val="single" w:sz="4" w:space="0" w:color="404040"/>
        </w:tcBorders>
        <w:shd w:val="clear" w:color="auto" w:fill="FFFFFF"/>
      </w:tcPr>
    </w:tblStylePr>
    <w:tblStylePr w:type="lastCol">
      <w:pPr>
        <w:snapToGrid/>
      </w:pPr>
      <w:rPr>
        <w:i/>
        <w:color w:val="404040"/>
      </w:rPr>
      <w:tblPr/>
      <w:tcPr>
        <w:tcBorders>
          <w:left w:val="single" w:sz="4" w:space="0" w:color="404040"/>
        </w:tcBorders>
        <w:shd w:val="clear" w:color="auto" w:fill="FFFFFF"/>
      </w:tcPr>
    </w:tblStylePr>
    <w:tblStylePr w:type="band1Vert">
      <w:pPr>
        <w:snapToGrid/>
      </w:pPr>
      <w:rPr>
        <w:rFonts w:ascii="Arial" w:hAnsi="Arial"/>
        <w:color w:val="404040"/>
        <w:sz w:val="22"/>
      </w:rPr>
      <w:tblPr/>
      <w:tcPr>
        <w:shd w:val="clear" w:color="auto" w:fill="F2F2F2" w:themeFill="text1" w:themeFillTint="0D"/>
      </w:tcPr>
    </w:tblStylePr>
    <w:tblStylePr w:type="band2Vert">
      <w:pPr>
        <w:snapToGrid/>
      </w:pPr>
    </w:tblStylePr>
    <w:tblStylePr w:type="band1Horz">
      <w:pPr>
        <w:snapToGrid/>
      </w:pPr>
      <w:rPr>
        <w:rFonts w:ascii="Arial" w:hAnsi="Arial"/>
        <w:color w:val="404040"/>
        <w:sz w:val="22"/>
      </w:r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0">
    <w:name w:val="网格表 1 浅色1"/>
    <w:basedOn w:val="Table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pPr>
        <w:snapToGrid/>
      </w:pPr>
      <w:rPr>
        <w:b/>
        <w:color w:val="404040"/>
      </w:rPr>
      <w:tblPr/>
      <w:tcPr>
        <w:tcBorders>
          <w:bottom w:val="single" w:sz="12" w:space="0" w:color="6A6A6A" w:themeColor="text1"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210">
    <w:name w:val="网格表 21"/>
    <w:basedOn w:val="Table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pPr>
        <w:snapToGrid/>
      </w:pPr>
      <w:rPr>
        <w:b/>
        <w:color w:val="404040"/>
      </w:rPr>
      <w:tblPr/>
      <w:tcPr>
        <w:tcBorders>
          <w:top w:val="nil"/>
          <w:left w:val="nil"/>
          <w:bottom w:val="single" w:sz="12" w:space="0" w:color="6A6A6A" w:themeColor="text1" w:themeTint="95"/>
          <w:right w:val="nil"/>
        </w:tcBorders>
        <w:shd w:val="clear" w:color="auto" w:fill="FFFFFF"/>
      </w:tcPr>
    </w:tblStylePr>
    <w:tblStylePr w:type="lastRow">
      <w:pPr>
        <w:snapToGrid/>
      </w:pPr>
      <w:rPr>
        <w:b/>
        <w:color w:val="404040"/>
      </w:rPr>
      <w:tblPr/>
      <w:tcPr>
        <w:tcBorders>
          <w:top w:val="single" w:sz="4" w:space="0" w:color="6A6A6A" w:themeColor="text1" w:themeTint="95"/>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CBCBCB" w:themeFill="text1" w:themeFillTint="34"/>
      </w:tcPr>
    </w:tblStylePr>
    <w:tblStylePr w:type="band2Vert">
      <w:pPr>
        <w:snapToGrid/>
      </w:pPr>
    </w:tblStylePr>
    <w:tblStylePr w:type="band1Horz">
      <w:pPr>
        <w:snapToGrid/>
      </w:pPr>
      <w:rPr>
        <w:rFonts w:ascii="Arial" w:hAnsi="Arial"/>
        <w:color w:val="404040"/>
        <w:sz w:val="22"/>
      </w:rPr>
      <w:tblPr/>
      <w:tcPr>
        <w:shd w:val="clear" w:color="auto" w:fill="CBCBCB"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310">
    <w:name w:val="网格表 31"/>
    <w:basedOn w:val="Table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CBCBCB" w:themeFill="text1" w:themeFillTint="34"/>
      </w:tcPr>
    </w:tblStylePr>
    <w:tblStylePr w:type="band2Vert">
      <w:pPr>
        <w:snapToGrid/>
      </w:pPr>
    </w:tblStylePr>
    <w:tblStylePr w:type="band1Horz">
      <w:pPr>
        <w:snapToGrid/>
      </w:pPr>
      <w:rPr>
        <w:rFonts w:ascii="Arial" w:hAnsi="Arial"/>
        <w:color w:val="404040"/>
        <w:sz w:val="22"/>
      </w:rPr>
      <w:tblPr/>
      <w:tcPr>
        <w:shd w:val="clear" w:color="auto" w:fill="CBCBCB"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410">
    <w:name w:val="网格表 41"/>
    <w:basedOn w:val="Table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pPr>
        <w:snapToGrid/>
      </w:pPr>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pPr>
        <w:snapToGrid/>
      </w:pPr>
      <w:rPr>
        <w:b/>
        <w:color w:val="404040"/>
      </w:rPr>
      <w:tblPr/>
      <w:tcPr>
        <w:tcBorders>
          <w:top w:val="single" w:sz="4" w:space="0" w:color="000000" w:themeColor="text1"/>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CBCBCB" w:themeFill="text1" w:themeFillTint="34"/>
      </w:tcPr>
    </w:tblStylePr>
    <w:tblStylePr w:type="band2Vert">
      <w:pPr>
        <w:snapToGrid/>
      </w:pPr>
    </w:tblStylePr>
    <w:tblStylePr w:type="band1Horz">
      <w:pPr>
        <w:snapToGrid/>
      </w:pPr>
      <w:rPr>
        <w:rFonts w:ascii="Arial" w:hAnsi="Arial"/>
        <w:color w:val="404040"/>
        <w:sz w:val="22"/>
      </w:rPr>
      <w:tblPr/>
      <w:tcPr>
        <w:shd w:val="clear" w:color="auto" w:fill="CBCBCB"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510">
    <w:name w:val="网格表 5 深色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000000" w:themeFill="text1"/>
      </w:tcPr>
    </w:tblStylePr>
    <w:tblStylePr w:type="lastRow">
      <w:pPr>
        <w:snapToGrid/>
      </w:pPr>
      <w:rPr>
        <w:rFonts w:ascii="Arial" w:hAnsi="Arial"/>
        <w:b/>
        <w:color w:val="FFFFFF"/>
        <w:sz w:val="22"/>
      </w:rPr>
      <w:tblPr/>
      <w:tcPr>
        <w:tcBorders>
          <w:top w:val="single" w:sz="4" w:space="0" w:color="FFFFFF" w:themeColor="light1"/>
        </w:tcBorders>
        <w:shd w:val="clear" w:color="auto" w:fill="000000" w:themeFill="text1"/>
      </w:tcPr>
    </w:tblStylePr>
    <w:tblStylePr w:type="firstCol">
      <w:pPr>
        <w:snapToGrid/>
      </w:pPr>
      <w:rPr>
        <w:rFonts w:ascii="Arial" w:hAnsi="Arial"/>
        <w:b/>
        <w:color w:val="FFFFFF"/>
        <w:sz w:val="22"/>
      </w:rPr>
      <w:tblPr/>
      <w:tcPr>
        <w:shd w:val="clear" w:color="auto" w:fill="000000" w:themeFill="text1"/>
      </w:tcPr>
    </w:tblStylePr>
    <w:tblStylePr w:type="lastCol">
      <w:pPr>
        <w:snapToGrid/>
      </w:pPr>
      <w:rPr>
        <w:rFonts w:ascii="Arial" w:hAnsi="Arial"/>
        <w:b/>
        <w:color w:val="FFFFFF"/>
        <w:sz w:val="22"/>
      </w:rPr>
      <w:tblPr/>
      <w:tcPr>
        <w:shd w:val="clear" w:color="auto" w:fill="000000" w:themeFill="text1"/>
      </w:tcPr>
    </w:tblStylePr>
    <w:tblStylePr w:type="band1Vert">
      <w:pPr>
        <w:snapToGrid/>
      </w:pPr>
      <w:tblPr/>
      <w:tcPr>
        <w:shd w:val="clear" w:color="auto" w:fill="8A8A8A" w:themeFill="text1" w:themeFillTint="75"/>
      </w:tcPr>
    </w:tblStylePr>
    <w:tblStylePr w:type="band2Vert">
      <w:pPr>
        <w:snapToGrid/>
      </w:pPr>
    </w:tblStylePr>
    <w:tblStylePr w:type="band1Horz">
      <w:pPr>
        <w:snapToGrid/>
      </w:pPr>
      <w:tblPr/>
      <w:tcPr>
        <w:shd w:val="clear" w:color="auto" w:fill="8A8A8A" w:themeFill="text1"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1">
    <w:name w:val="网格表 6 彩色1"/>
    <w:basedOn w:val="TableNormal"/>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snapToGrid/>
      </w:pPr>
      <w:rPr>
        <w:b/>
        <w:color w:val="7F7F7F" w:themeColor="text1" w:themeTint="80"/>
      </w:rPr>
      <w:tblPr/>
      <w:tcPr>
        <w:tcBorders>
          <w:bottom w:val="single" w:sz="12" w:space="0" w:color="7F7F7F" w:themeColor="text1" w:themeTint="80"/>
        </w:tcBorders>
      </w:tcPr>
    </w:tblStylePr>
    <w:tblStylePr w:type="lastRow">
      <w:pPr>
        <w:snapToGrid/>
      </w:pPr>
      <w:rPr>
        <w:b/>
        <w:color w:val="7F7F7F" w:themeColor="text1" w:themeTint="80"/>
      </w:rPr>
    </w:tblStylePr>
    <w:tblStylePr w:type="firstCol">
      <w:pPr>
        <w:snapToGrid/>
      </w:pPr>
      <w:rPr>
        <w:b/>
        <w:color w:val="7F7F7F" w:themeColor="text1" w:themeTint="80"/>
      </w:rPr>
    </w:tblStylePr>
    <w:tblStylePr w:type="lastCol">
      <w:pPr>
        <w:snapToGrid/>
      </w:pPr>
      <w:rPr>
        <w:b/>
        <w:color w:val="7F7F7F" w:themeColor="text1" w:themeTint="80"/>
      </w:rPr>
    </w:tblStylePr>
    <w:tblStylePr w:type="band1Vert">
      <w:pPr>
        <w:snapToGrid/>
      </w:pPr>
      <w:tblPr/>
      <w:tcPr>
        <w:shd w:val="clear" w:color="auto" w:fill="CBCBCB" w:themeFill="text1" w:themeFillTint="34"/>
      </w:tcPr>
    </w:tblStylePr>
    <w:tblStylePr w:type="band2Vert">
      <w:pPr>
        <w:snapToGrid/>
      </w:pPr>
    </w:tblStylePr>
    <w:tblStylePr w:type="band1Horz">
      <w:pPr>
        <w:snapToGrid/>
      </w:pPr>
      <w:rPr>
        <w:rFonts w:ascii="Arial" w:hAnsi="Arial"/>
        <w:color w:val="7F7F7F" w:themeColor="text1" w:themeTint="80"/>
        <w:sz w:val="22"/>
      </w:rPr>
      <w:tblPr/>
      <w:tcPr>
        <w:shd w:val="clear" w:color="auto" w:fill="CBCBCB" w:themeFill="text1" w:themeFillTint="34"/>
      </w:tcPr>
    </w:tblStylePr>
    <w:tblStylePr w:type="band2Horz">
      <w:pPr>
        <w:snapToGrid/>
      </w:pPr>
      <w:rPr>
        <w:rFonts w:ascii="Arial" w:hAnsi="Arial"/>
        <w:color w:val="7F7F7F" w:themeColor="tex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1">
    <w:name w:val="网格表 7 彩色1"/>
    <w:basedOn w:val="TableNormal"/>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snapToGrid/>
      </w:pPr>
      <w:rPr>
        <w:rFonts w:ascii="Arial" w:hAnsi="Arial"/>
        <w:b/>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pPr>
        <w:snapToGrid/>
      </w:pPr>
      <w:rPr>
        <w:rFonts w:ascii="Arial" w:hAnsi="Arial"/>
        <w:b/>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snapToGrid/>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pPr>
        <w:snapToGrid/>
      </w:pPr>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pPr>
        <w:snapToGrid/>
      </w:pPr>
      <w:tblPr/>
      <w:tcPr>
        <w:shd w:val="clear" w:color="auto" w:fill="F2F2F2" w:themeFill="text1" w:themeFillTint="0D"/>
      </w:tcPr>
    </w:tblStylePr>
    <w:tblStylePr w:type="band2Vert">
      <w:pPr>
        <w:snapToGrid/>
      </w:pPr>
    </w:tblStylePr>
    <w:tblStylePr w:type="band1Horz">
      <w:pPr>
        <w:snapToGrid/>
      </w:pPr>
      <w:rPr>
        <w:rFonts w:ascii="Arial" w:hAnsi="Arial"/>
        <w:color w:val="7F7F7F" w:themeColor="text1" w:themeTint="80"/>
        <w:sz w:val="22"/>
      </w:rPr>
      <w:tblPr/>
      <w:tcPr>
        <w:shd w:val="clear" w:color="auto" w:fill="F2F2F2" w:themeFill="text1" w:themeFillTint="0D"/>
      </w:tcPr>
    </w:tblStylePr>
    <w:tblStylePr w:type="band2Horz">
      <w:pPr>
        <w:snapToGrid/>
      </w:pPr>
      <w:rPr>
        <w:rFonts w:ascii="Arial" w:hAnsi="Arial"/>
        <w:color w:val="7F7F7F" w:themeColor="tex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1">
    <w:name w:val="清单表 1 浅色1"/>
    <w:basedOn w:val="TableNormal"/>
    <w:uiPriority w:val="99"/>
    <w:qFormat/>
    <w:tblPr/>
    <w:tblStylePr w:type="firstRow">
      <w:pPr>
        <w:snapToGrid/>
      </w:pPr>
      <w:rPr>
        <w:b/>
        <w:color w:val="404040"/>
      </w:rPr>
      <w:tblPr/>
      <w:tcPr>
        <w:tcBorders>
          <w:top w:val="nil"/>
          <w:left w:val="nil"/>
          <w:bottom w:val="single" w:sz="4" w:space="0" w:color="000000" w:themeColor="text1"/>
          <w:right w:val="nil"/>
        </w:tcBorders>
      </w:tcPr>
    </w:tblStylePr>
    <w:tblStylePr w:type="lastRow">
      <w:pPr>
        <w:snapToGrid/>
      </w:pPr>
      <w:rPr>
        <w:b/>
        <w:color w:val="404040"/>
      </w:rPr>
      <w:tblPr/>
      <w:tcPr>
        <w:tcBorders>
          <w:top w:val="single" w:sz="4" w:space="0" w:color="000000" w:themeColor="text1"/>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BFBFBF" w:themeFill="text1" w:themeFillTint="40"/>
      </w:tcPr>
    </w:tblStylePr>
    <w:tblStylePr w:type="band2Vert">
      <w:pPr>
        <w:snapToGrid/>
      </w:pPr>
    </w:tblStylePr>
    <w:tblStylePr w:type="band1Horz">
      <w:pPr>
        <w:snapToGrid/>
      </w:pPr>
      <w:tblPr/>
      <w:tcPr>
        <w:shd w:val="clear" w:color="auto" w:fill="BFBFBF"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211">
    <w:name w:val="清单表 21"/>
    <w:basedOn w:val="TableNormal"/>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pPr>
        <w:snapToGrid/>
      </w:pPr>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pPr>
        <w:snapToGrid/>
      </w:pPr>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BFBFBF" w:themeFill="text1" w:themeFillTint="40"/>
      </w:tcPr>
    </w:tblStylePr>
    <w:tblStylePr w:type="band2Vert">
      <w:pPr>
        <w:snapToGrid/>
      </w:pPr>
    </w:tblStylePr>
    <w:tblStylePr w:type="band1Horz">
      <w:pPr>
        <w:snapToGrid/>
      </w:pPr>
      <w:rPr>
        <w:rFonts w:ascii="Arial" w:hAnsi="Arial"/>
        <w:color w:val="404040"/>
        <w:sz w:val="22"/>
      </w:rPr>
      <w:tblPr/>
      <w:tcPr>
        <w:shd w:val="clear" w:color="auto" w:fill="BFBFBF"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311">
    <w:name w:val="清单表 31"/>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pPr>
        <w:snapToGrid/>
      </w:pPr>
      <w:rPr>
        <w:rFonts w:ascii="Arial" w:hAnsi="Arial"/>
        <w:b/>
        <w:color w:val="FFFFFF"/>
        <w:sz w:val="22"/>
      </w:rPr>
      <w:tblPr/>
      <w:tcPr>
        <w:shd w:val="clear" w:color="auto" w:fill="000000" w:themeFill="tex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000000" w:themeColor="text1"/>
          <w:right w:val="single" w:sz="4" w:space="0" w:color="000000" w:themeColor="text1"/>
        </w:tcBorders>
      </w:tcPr>
    </w:tblStylePr>
    <w:tblStylePr w:type="band2Vert">
      <w:pPr>
        <w:snapToGrid/>
      </w:pPr>
    </w:tblStylePr>
    <w:tblStylePr w:type="band1Horz">
      <w:pPr>
        <w:snapToGrid/>
      </w:pPr>
      <w:rPr>
        <w:rFonts w:ascii="Arial" w:hAnsi="Arial"/>
        <w:color w:val="404040"/>
        <w:sz w:val="22"/>
      </w:rPr>
      <w:tblPr/>
      <w:tcPr>
        <w:tcBorders>
          <w:top w:val="single" w:sz="4" w:space="0" w:color="000000" w:themeColor="text1"/>
          <w:bottom w:val="single" w:sz="4" w:space="0" w:color="000000" w:themeColor="text1"/>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411">
    <w:name w:val="清单表 41"/>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pPr>
        <w:snapToGrid/>
      </w:pPr>
      <w:rPr>
        <w:rFonts w:ascii="Arial" w:hAnsi="Arial"/>
        <w:b/>
        <w:color w:val="FFFFFF"/>
        <w:sz w:val="22"/>
      </w:rPr>
      <w:tblPr/>
      <w:tcPr>
        <w:shd w:val="clear" w:color="auto" w:fill="000000" w:themeFill="tex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BFBFBF" w:themeFill="text1" w:themeFillTint="40"/>
      </w:tcPr>
    </w:tblStylePr>
    <w:tblStylePr w:type="band2Vert">
      <w:pPr>
        <w:snapToGrid/>
      </w:pPr>
    </w:tblStylePr>
    <w:tblStylePr w:type="band1Horz">
      <w:pPr>
        <w:snapToGrid/>
      </w:pPr>
      <w:rPr>
        <w:rFonts w:ascii="Arial" w:hAnsi="Arial"/>
        <w:color w:val="404040"/>
        <w:sz w:val="22"/>
      </w:rPr>
      <w:tblPr/>
      <w:tcPr>
        <w:shd w:val="clear" w:color="auto" w:fill="BFBFBF"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511">
    <w:name w:val="清单表 5 深色1"/>
    <w:basedOn w:val="Table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pPr>
        <w:snapToGrid/>
      </w:pPr>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pPr>
        <w:snapToGrid/>
      </w:pPr>
      <w:tblPr/>
      <w:tcPr>
        <w:tcBorders>
          <w:left w:val="single" w:sz="4" w:space="0" w:color="FFFFFF" w:themeColor="light1"/>
          <w:right w:val="single" w:sz="32" w:space="0" w:color="7F7F7F" w:themeColor="text1" w:themeTint="80"/>
        </w:tcBorders>
      </w:tcPr>
    </w:tblStylePr>
    <w:tblStylePr w:type="band1Vert">
      <w:pPr>
        <w:snapToGrid/>
      </w:pPr>
      <w:tblPr/>
      <w:tcPr>
        <w:tcBorders>
          <w:left w:val="single" w:sz="4" w:space="0" w:color="FFFFFF" w:themeColor="light1"/>
          <w:right w:val="single" w:sz="4" w:space="0" w:color="FFFFFF" w:themeColor="light1"/>
        </w:tcBorders>
        <w:shd w:val="clear" w:color="auto" w:fill="7F7F7F" w:themeFill="text1" w:themeFillTint="80"/>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7F7F7F" w:themeFill="text1" w:themeFillTint="80"/>
      </w:tcPr>
    </w:tblStylePr>
    <w:tblStylePr w:type="band2Horz">
      <w:pPr>
        <w:snapToGrid/>
      </w:pPr>
      <w:tblPr/>
      <w:tcPr>
        <w:tcBorders>
          <w:top w:val="single" w:sz="4" w:space="0" w:color="FFFFFF" w:themeColor="light1"/>
          <w:bottom w:val="single" w:sz="4" w:space="0" w:color="FFFFFF" w:themeColor="light1"/>
        </w:tcBorders>
        <w:shd w:val="clear" w:color="auto" w:fill="7F7F7F" w:themeFill="text1" w:themeFillTint="8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10">
    <w:name w:val="清单表 6 彩色1"/>
    <w:basedOn w:val="TableNormal"/>
    <w:uiPriority w:val="99"/>
    <w:qFormat/>
    <w:tblPr>
      <w:tblBorders>
        <w:top w:val="single" w:sz="4" w:space="0" w:color="7F7F7F" w:themeColor="text1" w:themeTint="80"/>
        <w:bottom w:val="single" w:sz="4" w:space="0" w:color="7F7F7F" w:themeColor="text1" w:themeTint="80"/>
      </w:tblBorders>
    </w:tblPr>
    <w:tblStylePr w:type="firstRow">
      <w:pPr>
        <w:snapToGrid/>
      </w:pPr>
      <w:rPr>
        <w:b/>
        <w:color w:val="000000" w:themeColor="text1"/>
      </w:rPr>
      <w:tblPr/>
      <w:tcPr>
        <w:tcBorders>
          <w:bottom w:val="single" w:sz="4" w:space="0" w:color="7F7F7F" w:themeColor="text1" w:themeTint="80"/>
        </w:tcBorders>
      </w:tcPr>
    </w:tblStylePr>
    <w:tblStylePr w:type="lastRow">
      <w:pPr>
        <w:snapToGrid/>
      </w:pPr>
      <w:rPr>
        <w:b/>
        <w:color w:val="000000" w:themeColor="text1"/>
      </w:rPr>
      <w:tblPr/>
      <w:tcPr>
        <w:tcBorders>
          <w:top w:val="single" w:sz="4" w:space="0" w:color="7F7F7F" w:themeColor="text1" w:themeTint="80"/>
        </w:tcBorders>
      </w:tcPr>
    </w:tblStylePr>
    <w:tblStylePr w:type="firstCol">
      <w:pPr>
        <w:snapToGrid/>
      </w:pPr>
      <w:rPr>
        <w:b/>
        <w:color w:val="000000" w:themeColor="text1"/>
      </w:rPr>
    </w:tblStylePr>
    <w:tblStylePr w:type="lastCol">
      <w:pPr>
        <w:snapToGrid/>
      </w:pPr>
      <w:rPr>
        <w:b/>
        <w:color w:val="000000" w:themeColor="text1"/>
      </w:rPr>
    </w:tblStylePr>
    <w:tblStylePr w:type="band1Vert">
      <w:pPr>
        <w:snapToGrid/>
      </w:pPr>
      <w:tblPr/>
      <w:tcPr>
        <w:shd w:val="clear" w:color="auto" w:fill="BFBFBF" w:themeFill="text1" w:themeFillTint="40"/>
      </w:tcPr>
    </w:tblStylePr>
    <w:tblStylePr w:type="band2Vert">
      <w:pPr>
        <w:snapToGrid/>
      </w:pPr>
    </w:tblStylePr>
    <w:tblStylePr w:type="band1Horz">
      <w:pPr>
        <w:snapToGrid/>
      </w:pPr>
      <w:rPr>
        <w:rFonts w:ascii="Arial" w:hAnsi="Arial"/>
        <w:color w:val="000000" w:themeColor="text1"/>
        <w:sz w:val="22"/>
      </w:rPr>
      <w:tblPr/>
      <w:tcPr>
        <w:shd w:val="clear" w:color="auto" w:fill="BFBFBF" w:themeFill="text1" w:themeFillTint="40"/>
      </w:tcPr>
    </w:tblStylePr>
    <w:tblStylePr w:type="band2Horz">
      <w:pPr>
        <w:snapToGrid/>
      </w:pPr>
      <w:rPr>
        <w:rFonts w:ascii="Arial" w:hAnsi="Arial"/>
        <w:color w:val="000000" w:themeColor="text1"/>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10">
    <w:name w:val="清单表 7 彩色1"/>
    <w:basedOn w:val="TableNormal"/>
    <w:uiPriority w:val="99"/>
    <w:qFormat/>
    <w:tblPr>
      <w:tblBorders>
        <w:right w:val="single" w:sz="4" w:space="0" w:color="7F7F7F" w:themeColor="text1" w:themeTint="80"/>
      </w:tblBorders>
    </w:tblPr>
    <w:tblStylePr w:type="firstRow">
      <w:pPr>
        <w:snapToGrid/>
      </w:pPr>
      <w:rPr>
        <w:rFonts w:ascii="Arial" w:hAnsi="Arial"/>
        <w:i/>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pPr>
        <w:snapToGrid/>
      </w:pPr>
      <w:rPr>
        <w:rFonts w:ascii="Arial" w:hAnsi="Arial"/>
        <w:i/>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snapToGrid/>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pPr>
        <w:snapToGrid/>
      </w:pPr>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pPr>
        <w:snapToGrid/>
      </w:pPr>
      <w:tblPr/>
      <w:tcPr>
        <w:shd w:val="clear" w:color="auto" w:fill="BFBFBF" w:themeFill="text1" w:themeFillTint="40"/>
      </w:tcPr>
    </w:tblStylePr>
    <w:tblStylePr w:type="band2Vert">
      <w:pPr>
        <w:snapToGrid/>
      </w:pPr>
    </w:tblStylePr>
    <w:tblStylePr w:type="band1Horz">
      <w:pPr>
        <w:snapToGrid/>
      </w:pPr>
      <w:rPr>
        <w:rFonts w:ascii="Arial" w:hAnsi="Arial"/>
        <w:color w:val="7F7F7F" w:themeColor="text1" w:themeTint="80"/>
        <w:sz w:val="22"/>
      </w:rPr>
      <w:tblPr/>
      <w:tcPr>
        <w:shd w:val="clear" w:color="auto" w:fill="BFBFBF" w:themeFill="text1" w:themeFillTint="40"/>
      </w:tcPr>
    </w:tblStylePr>
    <w:tblStylePr w:type="band2Horz">
      <w:pPr>
        <w:snapToGrid/>
      </w:pPr>
      <w:rPr>
        <w:rFonts w:ascii="Arial" w:hAnsi="Arial"/>
        <w:color w:val="7F7F7F" w:themeColor="tex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character" w:customStyle="1" w:styleId="FootnoteTextChar">
    <w:name w:val="Footnote Text Char"/>
    <w:uiPriority w:val="99"/>
    <w:rPr>
      <w:sz w:val="18"/>
    </w:rPr>
  </w:style>
  <w:style w:type="paragraph" w:customStyle="1" w:styleId="TOC10">
    <w:name w:val="TOC 标题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szCs w:val="22"/>
      <w:lang w:eastAsia="en-US" w:bidi="en-US"/>
    </w:rPr>
  </w:style>
  <w:style w:type="character" w:customStyle="1" w:styleId="Heading1Char1">
    <w:name w:val="Heading 1 Char1"/>
    <w:basedOn w:val="DefaultParagraphFont"/>
    <w:link w:val="Heading1"/>
    <w:uiPriority w:val="9"/>
    <w:qFormat/>
    <w:rPr>
      <w:rFonts w:ascii="Arial" w:eastAsia="Arial" w:hAnsi="Arial" w:cs="Arial"/>
      <w:sz w:val="40"/>
      <w:szCs w:val="40"/>
    </w:rPr>
  </w:style>
  <w:style w:type="character" w:customStyle="1" w:styleId="Heading2Char1">
    <w:name w:val="Heading 2 Char1"/>
    <w:basedOn w:val="DefaultParagraphFont"/>
    <w:link w:val="Heading2"/>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1">
    <w:name w:val="Heading 4 Char1"/>
    <w:basedOn w:val="DefaultParagraphFont"/>
    <w:link w:val="Heading4"/>
    <w:uiPriority w:val="9"/>
    <w:qFormat/>
    <w:rPr>
      <w:rFonts w:ascii="Arial" w:eastAsia="Arial" w:hAnsi="Arial" w:cs="Arial"/>
      <w:b/>
      <w:bCs/>
      <w:sz w:val="26"/>
      <w:szCs w:val="26"/>
    </w:rPr>
  </w:style>
  <w:style w:type="character" w:customStyle="1" w:styleId="Heading5Char1">
    <w:name w:val="Heading 5 Char1"/>
    <w:basedOn w:val="DefaultParagraphFont"/>
    <w:link w:val="Heading5"/>
    <w:uiPriority w:val="9"/>
    <w:qFormat/>
    <w:rPr>
      <w:rFonts w:ascii="Arial" w:eastAsia="Arial" w:hAnsi="Arial" w:cs="Arial"/>
      <w:b/>
      <w:bCs/>
      <w:sz w:val="24"/>
      <w:szCs w:val="24"/>
    </w:rPr>
  </w:style>
  <w:style w:type="character" w:customStyle="1" w:styleId="Heading6Char1">
    <w:name w:val="Heading 6 Char1"/>
    <w:basedOn w:val="DefaultParagraphFont"/>
    <w:link w:val="Heading6"/>
    <w:uiPriority w:val="9"/>
    <w:qFormat/>
    <w:rPr>
      <w:rFonts w:ascii="Arial" w:eastAsia="Arial" w:hAnsi="Arial" w:cs="Arial"/>
      <w:b/>
      <w:bCs/>
      <w:sz w:val="22"/>
      <w:szCs w:val="22"/>
    </w:rPr>
  </w:style>
  <w:style w:type="character" w:customStyle="1" w:styleId="Heading7Char1">
    <w:name w:val="Heading 7 Char1"/>
    <w:basedOn w:val="DefaultParagraphFont"/>
    <w:link w:val="Heading7"/>
    <w:uiPriority w:val="9"/>
    <w:qFormat/>
    <w:rPr>
      <w:rFonts w:ascii="Arial" w:eastAsia="Arial" w:hAnsi="Arial" w:cs="Arial"/>
      <w:b/>
      <w:bCs/>
      <w:i/>
      <w:iCs/>
      <w:sz w:val="22"/>
      <w:szCs w:val="22"/>
    </w:rPr>
  </w:style>
  <w:style w:type="character" w:customStyle="1" w:styleId="Heading8Char1">
    <w:name w:val="Heading 8 Char1"/>
    <w:basedOn w:val="DefaultParagraphFont"/>
    <w:link w:val="Heading8"/>
    <w:uiPriority w:val="9"/>
    <w:qFormat/>
    <w:rPr>
      <w:rFonts w:ascii="Arial" w:eastAsia="Arial" w:hAnsi="Arial" w:cs="Arial"/>
      <w:i/>
      <w:iCs/>
      <w:sz w:val="22"/>
      <w:szCs w:val="22"/>
    </w:rPr>
  </w:style>
  <w:style w:type="character" w:customStyle="1" w:styleId="Heading9Char1">
    <w:name w:val="Heading 9 Char1"/>
    <w:basedOn w:val="DefaultParagraphFont"/>
    <w:link w:val="Heading9"/>
    <w:uiPriority w:val="9"/>
    <w:qFormat/>
    <w:rPr>
      <w:rFonts w:ascii="Arial" w:eastAsia="Arial" w:hAnsi="Arial" w:cs="Arial"/>
      <w:i/>
      <w:iCs/>
      <w:sz w:val="21"/>
      <w:szCs w:val="21"/>
    </w:rPr>
  </w:style>
  <w:style w:type="paragraph" w:customStyle="1" w:styleId="1">
    <w:name w:val="无间隔1"/>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szCs w:val="22"/>
      <w:lang w:eastAsia="en-US" w:bidi="en-US"/>
    </w:rPr>
  </w:style>
  <w:style w:type="character" w:customStyle="1" w:styleId="TitleChar1">
    <w:name w:val="Title Char1"/>
    <w:basedOn w:val="DefaultParagraphFont"/>
    <w:link w:val="Title"/>
    <w:uiPriority w:val="10"/>
    <w:qFormat/>
    <w:rPr>
      <w:sz w:val="48"/>
      <w:szCs w:val="48"/>
    </w:rPr>
  </w:style>
  <w:style w:type="character" w:customStyle="1" w:styleId="SubtitleChar1">
    <w:name w:val="Subtitle Char1"/>
    <w:basedOn w:val="DefaultParagraphFont"/>
    <w:link w:val="Subtitle"/>
    <w:uiPriority w:val="11"/>
    <w:qFormat/>
    <w:rPr>
      <w:sz w:val="24"/>
      <w:szCs w:val="24"/>
    </w:rPr>
  </w:style>
  <w:style w:type="paragraph" w:customStyle="1" w:styleId="10">
    <w:name w:val="引用1"/>
    <w:basedOn w:val="Normal"/>
    <w:next w:val="Normal"/>
    <w:link w:val="a"/>
    <w:uiPriority w:val="29"/>
    <w:qFormat/>
    <w:pPr>
      <w:ind w:left="720" w:right="720"/>
    </w:pPr>
    <w:rPr>
      <w:i/>
    </w:rPr>
  </w:style>
  <w:style w:type="character" w:customStyle="1" w:styleId="a">
    <w:name w:val="引用 字符"/>
    <w:link w:val="10"/>
    <w:uiPriority w:val="29"/>
    <w:qFormat/>
    <w:rPr>
      <w:i/>
    </w:rPr>
  </w:style>
  <w:style w:type="paragraph" w:customStyle="1" w:styleId="12">
    <w:name w:val="明显引用1"/>
    <w:basedOn w:val="Normal"/>
    <w:next w:val="Normal"/>
    <w:link w:val="a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0">
    <w:name w:val="明显引用 字符"/>
    <w:link w:val="12"/>
    <w:uiPriority w:val="30"/>
    <w:qFormat/>
    <w:rPr>
      <w:i/>
    </w:rPr>
  </w:style>
  <w:style w:type="character" w:customStyle="1" w:styleId="HeaderChar1">
    <w:name w:val="Header Char1"/>
    <w:basedOn w:val="DefaultParagraphFont"/>
    <w:link w:val="Header"/>
    <w:uiPriority w:val="99"/>
    <w:qFormat/>
  </w:style>
  <w:style w:type="character" w:customStyle="1" w:styleId="FooterChar">
    <w:name w:val="Footer Char"/>
    <w:basedOn w:val="DefaultParagraphFont"/>
    <w:uiPriority w:val="99"/>
    <w:qFormat/>
  </w:style>
  <w:style w:type="table" w:customStyle="1" w:styleId="TableGridLight1">
    <w:name w:val="Table Grid Light1"/>
    <w:basedOn w:val="Table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pPr>
        <w:snapToGrid/>
      </w:pPr>
    </w:tblStylePr>
    <w:tblStylePr w:type="lastRow">
      <w:pPr>
        <w:snapToGrid/>
      </w:pPr>
    </w:tblStylePr>
    <w:tblStylePr w:type="firstCol">
      <w:pPr>
        <w:snapToGrid/>
      </w:pPr>
    </w:tblStylePr>
    <w:tblStylePr w:type="lastCol">
      <w:pPr>
        <w:snapToGrid/>
      </w:pPr>
    </w:tblStylePr>
    <w:tblStylePr w:type="band1Vert">
      <w:pPr>
        <w:snapToGrid/>
      </w:pPr>
    </w:tblStylePr>
    <w:tblStylePr w:type="band2Vert">
      <w:pPr>
        <w:snapToGrid/>
      </w:pPr>
    </w:tblStylePr>
    <w:tblStylePr w:type="band1Horz">
      <w:pPr>
        <w:snapToGrid/>
      </w:p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11">
    <w:name w:val="Grid Table 1 Light - Accent 11"/>
    <w:basedOn w:val="TableNormal"/>
    <w:uiPriority w:val="99"/>
    <w:qFormat/>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pPr>
        <w:snapToGrid/>
      </w:pPr>
      <w:rPr>
        <w:b/>
        <w:color w:val="404040"/>
      </w:rPr>
      <w:tblPr/>
      <w:tcPr>
        <w:tcBorders>
          <w:bottom w:val="single" w:sz="12" w:space="0" w:color="97B4D8" w:themeColor="accent1"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21">
    <w:name w:val="Grid Table 1 Light - Accent 21"/>
    <w:basedOn w:val="TableNormal"/>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pPr>
        <w:snapToGrid/>
      </w:pPr>
      <w:rPr>
        <w:b/>
        <w:color w:val="404040"/>
      </w:rPr>
      <w:tblPr/>
      <w:tcPr>
        <w:tcBorders>
          <w:bottom w:val="single" w:sz="12" w:space="0" w:color="DA9896" w:themeColor="accent2"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31">
    <w:name w:val="Grid Table 1 Light - Accent 31"/>
    <w:basedOn w:val="TableNormal"/>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pPr>
        <w:snapToGrid/>
      </w:pPr>
      <w:rPr>
        <w:b/>
        <w:color w:val="404040"/>
      </w:rPr>
      <w:tblPr/>
      <w:tcPr>
        <w:tcBorders>
          <w:bottom w:val="single" w:sz="12" w:space="0" w:color="C4D79D" w:themeColor="accent3"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41">
    <w:name w:val="Grid Table 1 Light - Accent 41"/>
    <w:basedOn w:val="TableNormal"/>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pPr>
        <w:snapToGrid/>
      </w:pPr>
      <w:rPr>
        <w:b/>
        <w:color w:val="404040"/>
      </w:rPr>
      <w:tblPr/>
      <w:tcPr>
        <w:tcBorders>
          <w:bottom w:val="single" w:sz="12" w:space="0" w:color="B4A4C8" w:themeColor="accent4"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51">
    <w:name w:val="Grid Table 1 Light - Accent 51"/>
    <w:basedOn w:val="TableNormal"/>
    <w:uiPriority w:val="99"/>
    <w:qFormat/>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pPr>
        <w:snapToGrid/>
      </w:pPr>
      <w:rPr>
        <w:b/>
        <w:color w:val="404040"/>
      </w:rPr>
      <w:tblPr/>
      <w:tcPr>
        <w:tcBorders>
          <w:bottom w:val="single" w:sz="12" w:space="0" w:color="95CEDD" w:themeColor="accent5"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61">
    <w:name w:val="Grid Table 1 Light - Accent 61"/>
    <w:basedOn w:val="TableNormal"/>
    <w:uiPriority w:val="99"/>
    <w:qFormat/>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pPr>
        <w:snapToGrid/>
      </w:pPr>
      <w:rPr>
        <w:b/>
        <w:color w:val="404040"/>
      </w:rPr>
      <w:tblPr/>
      <w:tcPr>
        <w:tcBorders>
          <w:bottom w:val="single" w:sz="12" w:space="0" w:color="FAC192" w:themeColor="accent6"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11">
    <w:name w:val="Grid Table 2 - Accent 11"/>
    <w:basedOn w:val="TableNormal"/>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pPr>
        <w:snapToGrid/>
      </w:pPr>
      <w:rPr>
        <w:b/>
        <w:color w:val="404040"/>
      </w:rPr>
      <w:tblPr/>
      <w:tcPr>
        <w:tcBorders>
          <w:top w:val="nil"/>
          <w:left w:val="nil"/>
          <w:bottom w:val="single" w:sz="12" w:space="0" w:color="5D8AC2" w:themeColor="accent1" w:themeTint="EA"/>
          <w:right w:val="nil"/>
        </w:tcBorders>
        <w:shd w:val="clear" w:color="auto" w:fill="FFFFFF"/>
      </w:tcPr>
    </w:tblStylePr>
    <w:tblStylePr w:type="lastRow">
      <w:pPr>
        <w:snapToGrid/>
      </w:pPr>
      <w:rPr>
        <w:b/>
        <w:color w:val="404040"/>
      </w:rPr>
      <w:tblPr/>
      <w:tcPr>
        <w:tcBorders>
          <w:top w:val="single" w:sz="4" w:space="0" w:color="5D8AC2" w:themeColor="accent1" w:themeTint="EA"/>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AE5F1" w:themeFill="accent1" w:themeFillTint="34"/>
      </w:tcPr>
    </w:tblStylePr>
    <w:tblStylePr w:type="band2Vert">
      <w:pPr>
        <w:snapToGrid/>
      </w:pPr>
    </w:tblStylePr>
    <w:tblStylePr w:type="band1Horz">
      <w:pPr>
        <w:snapToGrid/>
      </w:pPr>
      <w:rPr>
        <w:rFonts w:ascii="Arial" w:hAnsi="Arial"/>
        <w:color w:val="404040"/>
        <w:sz w:val="22"/>
      </w:rPr>
      <w:tblPr/>
      <w:tcPr>
        <w:shd w:val="clear" w:color="auto" w:fill="DAE5F1" w:themeFill="accen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21">
    <w:name w:val="Grid Table 2 - Accent 21"/>
    <w:basedOn w:val="TableNormal"/>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b/>
        <w:color w:val="404040"/>
      </w:rPr>
      <w:tblPr/>
      <w:tcPr>
        <w:tcBorders>
          <w:top w:val="nil"/>
          <w:left w:val="nil"/>
          <w:bottom w:val="single" w:sz="12" w:space="0" w:color="D99695" w:themeColor="accent2" w:themeTint="97"/>
          <w:right w:val="nil"/>
        </w:tcBorders>
        <w:shd w:val="clear" w:color="auto" w:fill="FFFFFF"/>
      </w:tcPr>
    </w:tblStylePr>
    <w:tblStylePr w:type="lastRow">
      <w:pPr>
        <w:snapToGrid/>
      </w:pPr>
      <w:rPr>
        <w:b/>
        <w:color w:val="404040"/>
      </w:rPr>
      <w:tblPr/>
      <w:tcPr>
        <w:tcBorders>
          <w:top w:val="single" w:sz="4" w:space="0" w:color="D99695" w:themeColor="accent2" w:themeTint="97"/>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bl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31">
    <w:name w:val="Grid Table 2 - Accent 31"/>
    <w:basedOn w:val="TableNormal"/>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b/>
        <w:color w:val="404040"/>
      </w:rPr>
      <w:tblPr/>
      <w:tcPr>
        <w:tcBorders>
          <w:top w:val="nil"/>
          <w:left w:val="nil"/>
          <w:bottom w:val="single" w:sz="12" w:space="0" w:color="9ABB59" w:themeColor="accent3" w:themeTint="FE"/>
          <w:right w:val="nil"/>
        </w:tcBorders>
        <w:shd w:val="clear" w:color="auto" w:fill="FFFFFF"/>
      </w:tcPr>
    </w:tblStylePr>
    <w:tblStylePr w:type="lastRow">
      <w:pPr>
        <w:snapToGrid/>
      </w:pPr>
      <w:rPr>
        <w:b/>
        <w:color w:val="404040"/>
      </w:rPr>
      <w:tblPr/>
      <w:tcPr>
        <w:tcBorders>
          <w:top w:val="single" w:sz="4" w:space="0" w:color="9ABB59" w:themeColor="accent3" w:themeTint="FE"/>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AF1DC" w:themeFill="accent3" w:themeFillTint="34"/>
      </w:tcPr>
    </w:tblStylePr>
    <w:tblStylePr w:type="band2Vert">
      <w:pPr>
        <w:snapToGrid/>
      </w:pPr>
    </w:tblStylePr>
    <w:tblStylePr w:type="band1Horz">
      <w:pPr>
        <w:snapToGrid/>
      </w:pPr>
      <w:rPr>
        <w:rFonts w:ascii="Arial" w:hAnsi="Arial"/>
        <w:color w:val="404040"/>
        <w:sz w:val="22"/>
      </w:rPr>
      <w:tblPr/>
      <w:tcPr>
        <w:shd w:val="clear" w:color="auto" w:fill="EAF1DC"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41">
    <w:name w:val="Grid Table 2 - Accent 41"/>
    <w:basedOn w:val="TableNormal"/>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b/>
        <w:color w:val="404040"/>
      </w:rPr>
      <w:tblPr/>
      <w:tcPr>
        <w:tcBorders>
          <w:top w:val="nil"/>
          <w:left w:val="nil"/>
          <w:bottom w:val="single" w:sz="12" w:space="0" w:color="B2A1C6" w:themeColor="accent4" w:themeTint="9A"/>
          <w:right w:val="nil"/>
        </w:tcBorders>
        <w:shd w:val="clear" w:color="auto" w:fill="FFFFFF"/>
      </w:tcPr>
    </w:tblStylePr>
    <w:tblStylePr w:type="lastRow">
      <w:pPr>
        <w:snapToGrid/>
      </w:pPr>
      <w:rPr>
        <w:b/>
        <w:color w:val="404040"/>
      </w:rPr>
      <w:tblPr/>
      <w:tcPr>
        <w:tcBorders>
          <w:top w:val="single" w:sz="4" w:space="0" w:color="B2A1C6" w:themeColor="accent4" w:themeTint="9A"/>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bl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51">
    <w:name w:val="Grid Table 2 - Accent 51"/>
    <w:basedOn w:val="TableNormal"/>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pPr>
        <w:snapToGrid/>
      </w:pPr>
      <w:rPr>
        <w:b/>
        <w:color w:val="404040"/>
      </w:rPr>
      <w:tblPr/>
      <w:tcPr>
        <w:tcBorders>
          <w:top w:val="nil"/>
          <w:left w:val="nil"/>
          <w:bottom w:val="single" w:sz="12" w:space="0" w:color="4BACC6" w:themeColor="accent5"/>
          <w:right w:val="nil"/>
        </w:tcBorders>
        <w:shd w:val="clear" w:color="auto" w:fill="FFFFFF"/>
      </w:tcPr>
    </w:tblStylePr>
    <w:tblStylePr w:type="lastRow">
      <w:pPr>
        <w:snapToGrid/>
      </w:pPr>
      <w:rPr>
        <w:b/>
        <w:color w:val="404040"/>
      </w:rPr>
      <w:tblPr/>
      <w:tcPr>
        <w:tcBorders>
          <w:top w:val="single" w:sz="4" w:space="0" w:color="4BACC6" w:themeColor="accent5"/>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bl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61">
    <w:name w:val="Grid Table 2 - Accent 61"/>
    <w:basedOn w:val="TableNormal"/>
    <w:uiPriority w:val="99"/>
    <w:qFormat/>
    <w:tblPr>
      <w:tblBorders>
        <w:bottom w:val="single" w:sz="4" w:space="0" w:color="F79646" w:themeColor="accent6"/>
        <w:insideH w:val="single" w:sz="4" w:space="0" w:color="F79646" w:themeColor="accent6"/>
        <w:insideV w:val="single" w:sz="4" w:space="0" w:color="F79646" w:themeColor="accent6"/>
      </w:tblBorders>
    </w:tblPr>
    <w:tblStylePr w:type="firstRow">
      <w:pPr>
        <w:snapToGrid/>
      </w:pPr>
      <w:rPr>
        <w:b/>
        <w:color w:val="404040"/>
      </w:rPr>
      <w:tblPr/>
      <w:tcPr>
        <w:tcBorders>
          <w:top w:val="nil"/>
          <w:left w:val="nil"/>
          <w:bottom w:val="single" w:sz="12" w:space="0" w:color="F79646" w:themeColor="accent6"/>
          <w:right w:val="nil"/>
        </w:tcBorders>
        <w:shd w:val="clear" w:color="auto" w:fill="FFFFFF"/>
      </w:tcPr>
    </w:tblStylePr>
    <w:tblStylePr w:type="lastRow">
      <w:pPr>
        <w:snapToGrid/>
      </w:pPr>
      <w:rPr>
        <w:b/>
        <w:color w:val="404040"/>
      </w:rPr>
      <w:tblPr/>
      <w:tcPr>
        <w:tcBorders>
          <w:top w:val="single" w:sz="4" w:space="0" w:color="F79646" w:themeColor="accent6"/>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DE9D8" w:themeFill="accent6" w:themeFillTint="34"/>
      </w:tcPr>
    </w:tblStylePr>
    <w:tblStylePr w:type="band2Vert">
      <w:pPr>
        <w:snapToGrid/>
      </w:pPr>
    </w:tblStylePr>
    <w:tblStylePr w:type="band1Horz">
      <w:pPr>
        <w:snapToGrid/>
      </w:pPr>
      <w:rPr>
        <w:rFonts w:ascii="Arial" w:hAnsi="Arial"/>
        <w:color w:val="404040"/>
        <w:sz w:val="22"/>
      </w:rPr>
      <w:tblPr/>
      <w:tcPr>
        <w:shd w:val="clear" w:color="auto" w:fill="FDE9D8"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11">
    <w:name w:val="Grid Table 3 - Accent 11"/>
    <w:basedOn w:val="TableNormal"/>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DAE5F1" w:themeFill="accent1" w:themeFillTint="34"/>
      </w:tcPr>
    </w:tblStylePr>
    <w:tblStylePr w:type="band2Vert">
      <w:pPr>
        <w:snapToGrid/>
      </w:pPr>
    </w:tblStylePr>
    <w:tblStylePr w:type="band1Horz">
      <w:pPr>
        <w:snapToGrid/>
      </w:pPr>
      <w:rPr>
        <w:rFonts w:ascii="Arial" w:hAnsi="Arial"/>
        <w:color w:val="404040"/>
        <w:sz w:val="22"/>
      </w:rPr>
      <w:tblPr/>
      <w:tcPr>
        <w:shd w:val="clear" w:color="auto" w:fill="DAE5F1" w:themeFill="accen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21">
    <w:name w:val="Grid Table 3 - Accent 21"/>
    <w:basedOn w:val="TableNormal"/>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bl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31">
    <w:name w:val="Grid Table 3 - Accent 31"/>
    <w:basedOn w:val="TableNormal"/>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EAF1DC" w:themeFill="accent3" w:themeFillTint="34"/>
      </w:tcPr>
    </w:tblStylePr>
    <w:tblStylePr w:type="band2Vert">
      <w:pPr>
        <w:snapToGrid/>
      </w:pPr>
    </w:tblStylePr>
    <w:tblStylePr w:type="band1Horz">
      <w:pPr>
        <w:snapToGrid/>
      </w:pPr>
      <w:rPr>
        <w:rFonts w:ascii="Arial" w:hAnsi="Arial"/>
        <w:color w:val="404040"/>
        <w:sz w:val="22"/>
      </w:rPr>
      <w:tblPr/>
      <w:tcPr>
        <w:shd w:val="clear" w:color="auto" w:fill="EAF1DC"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41">
    <w:name w:val="Grid Table 3 - Accent 41"/>
    <w:basedOn w:val="TableNormal"/>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bl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51">
    <w:name w:val="Grid Table 3 - Accent 51"/>
    <w:basedOn w:val="TableNormal"/>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bl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61">
    <w:name w:val="Grid Table 3 - Accent 61"/>
    <w:basedOn w:val="TableNormal"/>
    <w:uiPriority w:val="99"/>
    <w:qFormat/>
    <w:tblPr>
      <w:tblBorders>
        <w:bottom w:val="single" w:sz="4" w:space="0" w:color="F79646" w:themeColor="accent6"/>
        <w:insideH w:val="single" w:sz="4" w:space="0" w:color="F79646" w:themeColor="accent6"/>
        <w:insideV w:val="single" w:sz="4" w:space="0" w:color="F79646" w:themeColor="accent6"/>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FDE9D8" w:themeFill="accent6" w:themeFillTint="34"/>
      </w:tcPr>
    </w:tblStylePr>
    <w:tblStylePr w:type="band2Vert">
      <w:pPr>
        <w:snapToGrid/>
      </w:pPr>
    </w:tblStylePr>
    <w:tblStylePr w:type="band1Horz">
      <w:pPr>
        <w:snapToGrid/>
      </w:pPr>
      <w:rPr>
        <w:rFonts w:ascii="Arial" w:hAnsi="Arial"/>
        <w:color w:val="404040"/>
        <w:sz w:val="22"/>
      </w:rPr>
      <w:tblPr/>
      <w:tcPr>
        <w:shd w:val="clear" w:color="auto" w:fill="FDE9D8"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11">
    <w:name w:val="Grid Table 4 - Accent 11"/>
    <w:basedOn w:val="TableNormal"/>
    <w:uiPriority w:val="5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pPr>
        <w:snapToGrid/>
      </w:pPr>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pPr>
        <w:snapToGrid/>
      </w:pPr>
      <w:rPr>
        <w:b/>
        <w:color w:val="404040"/>
      </w:rPr>
      <w:tblPr/>
      <w:tcPr>
        <w:tcBorders>
          <w:top w:val="single" w:sz="4" w:space="0" w:color="5D8AC2" w:themeColor="accent1" w:themeTint="EA"/>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CE6F2" w:themeFill="accent1" w:themeFillTint="32"/>
      </w:tcPr>
    </w:tblStylePr>
    <w:tblStylePr w:type="band2Vert">
      <w:pPr>
        <w:snapToGrid/>
      </w:pPr>
    </w:tblStylePr>
    <w:tblStylePr w:type="band1Horz">
      <w:pPr>
        <w:snapToGrid/>
      </w:pPr>
      <w:rPr>
        <w:rFonts w:ascii="Arial" w:hAnsi="Arial"/>
        <w:color w:val="404040"/>
        <w:sz w:val="22"/>
      </w:rPr>
      <w:tblPr/>
      <w:tcPr>
        <w:shd w:val="clear" w:color="auto" w:fill="DCE6F2" w:themeFill="accent1"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21">
    <w:name w:val="Grid Table 4 - Accent 21"/>
    <w:basedOn w:val="TableNormal"/>
    <w:uiPriority w:val="5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pPr>
        <w:snapToGrid/>
      </w:pPr>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pPr>
        <w:snapToGrid/>
      </w:pPr>
      <w:rPr>
        <w:b/>
        <w:color w:val="404040"/>
      </w:rPr>
      <w:tblPr/>
      <w:tcPr>
        <w:tcBorders>
          <w:top w:val="single" w:sz="4" w:space="0" w:color="D99695" w:themeColor="accent2" w:themeTint="97"/>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bl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31">
    <w:name w:val="Grid Table 4 - Accent 31"/>
    <w:basedOn w:val="TableNormal"/>
    <w:uiPriority w:val="5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pPr>
        <w:snapToGrid/>
      </w:pPr>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pPr>
        <w:snapToGrid/>
      </w:pPr>
      <w:rPr>
        <w:b/>
        <w:color w:val="404040"/>
      </w:rPr>
      <w:tblPr/>
      <w:tcPr>
        <w:tcBorders>
          <w:top w:val="single" w:sz="4" w:space="0" w:color="9ABB59" w:themeColor="accent3" w:themeTint="FE"/>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AF1DC" w:themeFill="accent3" w:themeFillTint="34"/>
      </w:tcPr>
    </w:tblStylePr>
    <w:tblStylePr w:type="band2Vert">
      <w:pPr>
        <w:snapToGrid/>
      </w:pPr>
    </w:tblStylePr>
    <w:tblStylePr w:type="band1Horz">
      <w:pPr>
        <w:snapToGrid/>
      </w:pPr>
      <w:rPr>
        <w:rFonts w:ascii="Arial" w:hAnsi="Arial"/>
        <w:color w:val="404040"/>
        <w:sz w:val="22"/>
      </w:rPr>
      <w:tblPr/>
      <w:tcPr>
        <w:shd w:val="clear" w:color="auto" w:fill="EAF1DC"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41">
    <w:name w:val="Grid Table 4 - Accent 41"/>
    <w:basedOn w:val="TableNormal"/>
    <w:uiPriority w:val="5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pPr>
        <w:snapToGrid/>
      </w:pPr>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pPr>
        <w:snapToGrid/>
      </w:pPr>
      <w:rPr>
        <w:b/>
        <w:color w:val="404040"/>
      </w:rPr>
      <w:tblPr/>
      <w:tcPr>
        <w:tcBorders>
          <w:top w:val="single" w:sz="4" w:space="0" w:color="B2A1C6" w:themeColor="accent4" w:themeTint="9A"/>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bl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51">
    <w:name w:val="Grid Table 4 - Accent 51"/>
    <w:basedOn w:val="TableNormal"/>
    <w:uiPriority w:val="5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pPr>
        <w:snapToGrid/>
      </w:pPr>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pPr>
        <w:snapToGrid/>
      </w:pPr>
      <w:rPr>
        <w:b/>
        <w:color w:val="404040"/>
      </w:rPr>
      <w:tblPr/>
      <w:tcPr>
        <w:tcBorders>
          <w:top w:val="single" w:sz="4" w:space="0" w:color="4BACC6" w:themeColor="accent5"/>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bl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61">
    <w:name w:val="Grid Table 4 - Accent 61"/>
    <w:basedOn w:val="TableNormal"/>
    <w:uiPriority w:val="5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pPr>
        <w:snapToGrid/>
      </w:pPr>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pPr>
        <w:snapToGrid/>
      </w:pPr>
      <w:rPr>
        <w:b/>
        <w:color w:val="404040"/>
      </w:rPr>
      <w:tblPr/>
      <w:tcPr>
        <w:tcBorders>
          <w:top w:val="single" w:sz="4" w:space="0" w:color="F79646" w:themeColor="accent6"/>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DE9D8" w:themeFill="accent6" w:themeFillTint="34"/>
      </w:tcPr>
    </w:tblStylePr>
    <w:tblStylePr w:type="band2Vert">
      <w:pPr>
        <w:snapToGrid/>
      </w:pPr>
    </w:tblStylePr>
    <w:tblStylePr w:type="band1Horz">
      <w:pPr>
        <w:snapToGrid/>
      </w:pPr>
      <w:rPr>
        <w:rFonts w:ascii="Arial" w:hAnsi="Arial"/>
        <w:color w:val="404040"/>
        <w:sz w:val="22"/>
      </w:rPr>
      <w:tblPr/>
      <w:tcPr>
        <w:shd w:val="clear" w:color="auto" w:fill="FDE9D8"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1">
    <w:name w:val="Grid Table 5 Dark- Accent 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4F81BD" w:themeFill="accent1"/>
      </w:tcPr>
    </w:tblStylePr>
    <w:tblStylePr w:type="lastRow">
      <w:pPr>
        <w:snapToGrid/>
      </w:pPr>
      <w:rPr>
        <w:rFonts w:ascii="Arial" w:hAnsi="Arial"/>
        <w:b/>
        <w:color w:val="FFFFFF"/>
        <w:sz w:val="22"/>
      </w:rPr>
      <w:tblPr/>
      <w:tcPr>
        <w:tcBorders>
          <w:top w:val="single" w:sz="4" w:space="0" w:color="FFFFFF" w:themeColor="light1"/>
        </w:tcBorders>
        <w:shd w:val="clear" w:color="auto" w:fill="4F81BD" w:themeFill="accent1"/>
      </w:tcPr>
    </w:tblStylePr>
    <w:tblStylePr w:type="firstCol">
      <w:pPr>
        <w:snapToGrid/>
      </w:pPr>
      <w:rPr>
        <w:rFonts w:ascii="Arial" w:hAnsi="Arial"/>
        <w:b/>
        <w:color w:val="FFFFFF"/>
        <w:sz w:val="22"/>
      </w:rPr>
      <w:tblPr/>
      <w:tcPr>
        <w:shd w:val="clear" w:color="auto" w:fill="4F81BD" w:themeFill="accent1"/>
      </w:tcPr>
    </w:tblStylePr>
    <w:tblStylePr w:type="lastCol">
      <w:pPr>
        <w:snapToGrid/>
      </w:pPr>
      <w:rPr>
        <w:rFonts w:ascii="Arial" w:hAnsi="Arial"/>
        <w:b/>
        <w:color w:val="FFFFFF"/>
        <w:sz w:val="22"/>
      </w:rPr>
      <w:tblPr/>
      <w:tcPr>
        <w:shd w:val="clear" w:color="auto" w:fill="4F81BD" w:themeFill="accent1"/>
      </w:tcPr>
    </w:tblStylePr>
    <w:tblStylePr w:type="band1Vert">
      <w:pPr>
        <w:snapToGrid/>
      </w:pPr>
      <w:tblPr/>
      <w:tcPr>
        <w:shd w:val="clear" w:color="auto" w:fill="AEC4E0" w:themeFill="accent1" w:themeFillTint="75"/>
      </w:tcPr>
    </w:tblStylePr>
    <w:tblStylePr w:type="band2Vert">
      <w:pPr>
        <w:snapToGrid/>
      </w:pPr>
    </w:tblStylePr>
    <w:tblStylePr w:type="band1Horz">
      <w:pPr>
        <w:snapToGrid/>
      </w:pPr>
      <w:tblPr/>
      <w:tcPr>
        <w:shd w:val="clear" w:color="auto" w:fill="AEC4E0" w:themeFill="accent1"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21">
    <w:name w:val="Grid Table 5 Dark - Accent 2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C0504D" w:themeFill="accent2"/>
      </w:tcPr>
    </w:tblStylePr>
    <w:tblStylePr w:type="lastRow">
      <w:pPr>
        <w:snapToGrid/>
      </w:pPr>
      <w:rPr>
        <w:rFonts w:ascii="Arial" w:hAnsi="Arial"/>
        <w:b/>
        <w:color w:val="FFFFFF"/>
        <w:sz w:val="22"/>
      </w:rPr>
      <w:tblPr/>
      <w:tcPr>
        <w:tcBorders>
          <w:top w:val="single" w:sz="4" w:space="0" w:color="FFFFFF" w:themeColor="light1"/>
        </w:tcBorders>
        <w:shd w:val="clear" w:color="auto" w:fill="C0504D" w:themeFill="accent2"/>
      </w:tcPr>
    </w:tblStylePr>
    <w:tblStylePr w:type="firstCol">
      <w:pPr>
        <w:snapToGrid/>
      </w:pPr>
      <w:rPr>
        <w:rFonts w:ascii="Arial" w:hAnsi="Arial"/>
        <w:b/>
        <w:color w:val="FFFFFF"/>
        <w:sz w:val="22"/>
      </w:rPr>
      <w:tblPr/>
      <w:tcPr>
        <w:shd w:val="clear" w:color="auto" w:fill="C0504D" w:themeFill="accent2"/>
      </w:tcPr>
    </w:tblStylePr>
    <w:tblStylePr w:type="lastCol">
      <w:pPr>
        <w:snapToGrid/>
      </w:pPr>
      <w:rPr>
        <w:rFonts w:ascii="Arial" w:hAnsi="Arial"/>
        <w:b/>
        <w:color w:val="FFFFFF"/>
        <w:sz w:val="22"/>
      </w:rPr>
      <w:tblPr/>
      <w:tcPr>
        <w:shd w:val="clear" w:color="auto" w:fill="C0504D" w:themeFill="accent2"/>
      </w:tcPr>
    </w:tblStylePr>
    <w:tblStylePr w:type="band1Vert">
      <w:pPr>
        <w:snapToGrid/>
      </w:pPr>
      <w:tblPr/>
      <w:tcPr>
        <w:shd w:val="clear" w:color="auto" w:fill="E2AEAD" w:themeFill="accent2" w:themeFillTint="75"/>
      </w:tcPr>
    </w:tblStylePr>
    <w:tblStylePr w:type="band2Vert">
      <w:pPr>
        <w:snapToGrid/>
      </w:pPr>
    </w:tblStylePr>
    <w:tblStylePr w:type="band1Horz">
      <w:pPr>
        <w:snapToGrid/>
      </w:pPr>
      <w:tblPr/>
      <w:tcPr>
        <w:shd w:val="clear" w:color="auto" w:fill="E2AEAD" w:themeFill="accent2"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31">
    <w:name w:val="Grid Table 5 Dark - Accent 3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9BBB59" w:themeFill="accent3"/>
      </w:tcPr>
    </w:tblStylePr>
    <w:tblStylePr w:type="lastRow">
      <w:pPr>
        <w:snapToGrid/>
      </w:pPr>
      <w:rPr>
        <w:rFonts w:ascii="Arial" w:hAnsi="Arial"/>
        <w:b/>
        <w:color w:val="FFFFFF"/>
        <w:sz w:val="22"/>
      </w:rPr>
      <w:tblPr/>
      <w:tcPr>
        <w:tcBorders>
          <w:top w:val="single" w:sz="4" w:space="0" w:color="FFFFFF" w:themeColor="light1"/>
        </w:tcBorders>
        <w:shd w:val="clear" w:color="auto" w:fill="9BBB59" w:themeFill="accent3"/>
      </w:tcPr>
    </w:tblStylePr>
    <w:tblStylePr w:type="firstCol">
      <w:pPr>
        <w:snapToGrid/>
      </w:pPr>
      <w:rPr>
        <w:rFonts w:ascii="Arial" w:hAnsi="Arial"/>
        <w:b/>
        <w:color w:val="FFFFFF"/>
        <w:sz w:val="22"/>
      </w:rPr>
      <w:tblPr/>
      <w:tcPr>
        <w:shd w:val="clear" w:color="auto" w:fill="9BBB59" w:themeFill="accent3"/>
      </w:tcPr>
    </w:tblStylePr>
    <w:tblStylePr w:type="lastCol">
      <w:pPr>
        <w:snapToGrid/>
      </w:pPr>
      <w:rPr>
        <w:rFonts w:ascii="Arial" w:hAnsi="Arial"/>
        <w:b/>
        <w:color w:val="FFFFFF"/>
        <w:sz w:val="22"/>
      </w:rPr>
      <w:tblPr/>
      <w:tcPr>
        <w:shd w:val="clear" w:color="auto" w:fill="9BBB59" w:themeFill="accent3"/>
      </w:tcPr>
    </w:tblStylePr>
    <w:tblStylePr w:type="band1Vert">
      <w:pPr>
        <w:snapToGrid/>
      </w:pPr>
      <w:tblPr/>
      <w:tcPr>
        <w:shd w:val="clear" w:color="auto" w:fill="D0DFB2" w:themeFill="accent3" w:themeFillTint="75"/>
      </w:tcPr>
    </w:tblStylePr>
    <w:tblStylePr w:type="band2Vert">
      <w:pPr>
        <w:snapToGrid/>
      </w:pPr>
    </w:tblStylePr>
    <w:tblStylePr w:type="band1Horz">
      <w:pPr>
        <w:snapToGrid/>
      </w:pPr>
      <w:tblPr/>
      <w:tcPr>
        <w:shd w:val="clear" w:color="auto" w:fill="D0DFB2" w:themeFill="accent3"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4">
    <w:name w:val="Grid Table 5 Dark- Accent 4"/>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8064A2" w:themeFill="accent4"/>
      </w:tcPr>
    </w:tblStylePr>
    <w:tblStylePr w:type="lastRow">
      <w:pPr>
        <w:snapToGrid/>
      </w:pPr>
      <w:rPr>
        <w:rFonts w:ascii="Arial" w:hAnsi="Arial"/>
        <w:b/>
        <w:color w:val="FFFFFF"/>
        <w:sz w:val="22"/>
      </w:rPr>
      <w:tblPr/>
      <w:tcPr>
        <w:tcBorders>
          <w:top w:val="single" w:sz="4" w:space="0" w:color="FFFFFF" w:themeColor="light1"/>
        </w:tcBorders>
        <w:shd w:val="clear" w:color="auto" w:fill="8064A2" w:themeFill="accent4"/>
      </w:tcPr>
    </w:tblStylePr>
    <w:tblStylePr w:type="firstCol">
      <w:pPr>
        <w:snapToGrid/>
      </w:pPr>
      <w:rPr>
        <w:rFonts w:ascii="Arial" w:hAnsi="Arial"/>
        <w:b/>
        <w:color w:val="FFFFFF"/>
        <w:sz w:val="22"/>
      </w:rPr>
      <w:tblPr/>
      <w:tcPr>
        <w:shd w:val="clear" w:color="auto" w:fill="8064A2" w:themeFill="accent4"/>
      </w:tcPr>
    </w:tblStylePr>
    <w:tblStylePr w:type="lastCol">
      <w:pPr>
        <w:snapToGrid/>
      </w:pPr>
      <w:rPr>
        <w:rFonts w:ascii="Arial" w:hAnsi="Arial"/>
        <w:b/>
        <w:color w:val="FFFFFF"/>
        <w:sz w:val="22"/>
      </w:rPr>
      <w:tblPr/>
      <w:tcPr>
        <w:shd w:val="clear" w:color="auto" w:fill="8064A2" w:themeFill="accent4"/>
      </w:tcPr>
    </w:tblStylePr>
    <w:tblStylePr w:type="band1Vert">
      <w:pPr>
        <w:snapToGrid/>
      </w:pPr>
      <w:tblPr/>
      <w:tcPr>
        <w:shd w:val="clear" w:color="auto" w:fill="C4B7D4" w:themeFill="accent4" w:themeFillTint="75"/>
      </w:tcPr>
    </w:tblStylePr>
    <w:tblStylePr w:type="band2Vert">
      <w:pPr>
        <w:snapToGrid/>
      </w:pPr>
    </w:tblStylePr>
    <w:tblStylePr w:type="band1Horz">
      <w:pPr>
        <w:snapToGrid/>
      </w:pPr>
      <w:tblPr/>
      <w:tcPr>
        <w:shd w:val="clear" w:color="auto" w:fill="C4B7D4" w:themeFill="accent4"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51">
    <w:name w:val="Grid Table 5 Dark - Accent 5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4BACC6" w:themeFill="accent5"/>
      </w:tcPr>
    </w:tblStylePr>
    <w:tblStylePr w:type="lastRow">
      <w:pPr>
        <w:snapToGrid/>
      </w:pPr>
      <w:rPr>
        <w:rFonts w:ascii="Arial" w:hAnsi="Arial"/>
        <w:b/>
        <w:color w:val="FFFFFF"/>
        <w:sz w:val="22"/>
      </w:rPr>
      <w:tblPr/>
      <w:tcPr>
        <w:tcBorders>
          <w:top w:val="single" w:sz="4" w:space="0" w:color="FFFFFF" w:themeColor="light1"/>
        </w:tcBorders>
        <w:shd w:val="clear" w:color="auto" w:fill="4BACC6" w:themeFill="accent5"/>
      </w:tcPr>
    </w:tblStylePr>
    <w:tblStylePr w:type="firstCol">
      <w:pPr>
        <w:snapToGrid/>
      </w:pPr>
      <w:rPr>
        <w:rFonts w:ascii="Arial" w:hAnsi="Arial"/>
        <w:b/>
        <w:color w:val="FFFFFF"/>
        <w:sz w:val="22"/>
      </w:rPr>
      <w:tblPr/>
      <w:tcPr>
        <w:shd w:val="clear" w:color="auto" w:fill="4BACC6" w:themeFill="accent5"/>
      </w:tcPr>
    </w:tblStylePr>
    <w:tblStylePr w:type="lastCol">
      <w:pPr>
        <w:snapToGrid/>
      </w:pPr>
      <w:rPr>
        <w:rFonts w:ascii="Arial" w:hAnsi="Arial"/>
        <w:b/>
        <w:color w:val="FFFFFF"/>
        <w:sz w:val="22"/>
      </w:rPr>
      <w:tblPr/>
      <w:tcPr>
        <w:shd w:val="clear" w:color="auto" w:fill="4BACC6" w:themeFill="accent5"/>
      </w:tcPr>
    </w:tblStylePr>
    <w:tblStylePr w:type="band1Vert">
      <w:pPr>
        <w:snapToGrid/>
      </w:pPr>
      <w:tblPr/>
      <w:tcPr>
        <w:shd w:val="clear" w:color="auto" w:fill="ACD8E4" w:themeFill="accent5" w:themeFillTint="75"/>
      </w:tcPr>
    </w:tblStylePr>
    <w:tblStylePr w:type="band2Vert">
      <w:pPr>
        <w:snapToGrid/>
      </w:pPr>
    </w:tblStylePr>
    <w:tblStylePr w:type="band1Horz">
      <w:pPr>
        <w:snapToGrid/>
      </w:pPr>
      <w:tblPr/>
      <w:tcPr>
        <w:shd w:val="clear" w:color="auto" w:fill="ACD8E4" w:themeFill="accent5"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61">
    <w:name w:val="Grid Table 5 Dark - Accent 6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F79646" w:themeFill="accent6"/>
      </w:tcPr>
    </w:tblStylePr>
    <w:tblStylePr w:type="lastRow">
      <w:pPr>
        <w:snapToGrid/>
      </w:pPr>
      <w:rPr>
        <w:rFonts w:ascii="Arial" w:hAnsi="Arial"/>
        <w:b/>
        <w:color w:val="FFFFFF"/>
        <w:sz w:val="22"/>
      </w:rPr>
      <w:tblPr/>
      <w:tcPr>
        <w:tcBorders>
          <w:top w:val="single" w:sz="4" w:space="0" w:color="FFFFFF" w:themeColor="light1"/>
        </w:tcBorders>
        <w:shd w:val="clear" w:color="auto" w:fill="F79646" w:themeFill="accent6"/>
      </w:tcPr>
    </w:tblStylePr>
    <w:tblStylePr w:type="firstCol">
      <w:pPr>
        <w:snapToGrid/>
      </w:pPr>
      <w:rPr>
        <w:rFonts w:ascii="Arial" w:hAnsi="Arial"/>
        <w:b/>
        <w:color w:val="FFFFFF"/>
        <w:sz w:val="22"/>
      </w:rPr>
      <w:tblPr/>
      <w:tcPr>
        <w:shd w:val="clear" w:color="auto" w:fill="F79646" w:themeFill="accent6"/>
      </w:tcPr>
    </w:tblStylePr>
    <w:tblStylePr w:type="lastCol">
      <w:pPr>
        <w:snapToGrid/>
      </w:pPr>
      <w:rPr>
        <w:rFonts w:ascii="Arial" w:hAnsi="Arial"/>
        <w:b/>
        <w:color w:val="FFFFFF"/>
        <w:sz w:val="22"/>
      </w:rPr>
      <w:tblPr/>
      <w:tcPr>
        <w:shd w:val="clear" w:color="auto" w:fill="F79646" w:themeFill="accent6"/>
      </w:tcPr>
    </w:tblStylePr>
    <w:tblStylePr w:type="band1Vert">
      <w:pPr>
        <w:snapToGrid/>
      </w:pPr>
      <w:tblPr/>
      <w:tcPr>
        <w:shd w:val="clear" w:color="auto" w:fill="FBCEAA" w:themeFill="accent6" w:themeFillTint="75"/>
      </w:tcPr>
    </w:tblStylePr>
    <w:tblStylePr w:type="band2Vert">
      <w:pPr>
        <w:snapToGrid/>
      </w:pPr>
    </w:tblStylePr>
    <w:tblStylePr w:type="band1Horz">
      <w:pPr>
        <w:snapToGrid/>
      </w:pPr>
      <w:tblPr/>
      <w:tcPr>
        <w:shd w:val="clear" w:color="auto" w:fill="FBCEAA" w:themeFill="accent6"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11">
    <w:name w:val="Grid Table 6 Colorful - Accent 11"/>
    <w:basedOn w:val="TableNormal"/>
    <w:uiPriority w:val="99"/>
    <w:qFormat/>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pPr>
        <w:snapToGrid/>
      </w:pPr>
      <w:rPr>
        <w:b/>
        <w:color w:val="A6BFDD" w:themeColor="accent1" w:themeTint="80"/>
      </w:rPr>
      <w:tblPr/>
      <w:tcPr>
        <w:tcBorders>
          <w:bottom w:val="single" w:sz="12" w:space="0" w:color="A6BFDD" w:themeColor="accent1" w:themeTint="80"/>
        </w:tcBorders>
      </w:tcPr>
    </w:tblStylePr>
    <w:tblStylePr w:type="lastRow">
      <w:pPr>
        <w:snapToGrid/>
      </w:pPr>
      <w:rPr>
        <w:b/>
        <w:color w:val="A6BFDD" w:themeColor="accent1" w:themeTint="80"/>
      </w:rPr>
    </w:tblStylePr>
    <w:tblStylePr w:type="firstCol">
      <w:pPr>
        <w:snapToGrid/>
      </w:pPr>
      <w:rPr>
        <w:b/>
        <w:color w:val="A6BFDD" w:themeColor="accent1" w:themeTint="80"/>
      </w:rPr>
    </w:tblStylePr>
    <w:tblStylePr w:type="lastCol">
      <w:pPr>
        <w:snapToGrid/>
      </w:pPr>
      <w:rPr>
        <w:b/>
        <w:color w:val="A6BFDD" w:themeColor="accent1" w:themeTint="80"/>
      </w:rPr>
    </w:tblStylePr>
    <w:tblStylePr w:type="band1Vert">
      <w:pPr>
        <w:snapToGrid/>
      </w:pPr>
      <w:tblPr/>
      <w:tcPr>
        <w:shd w:val="clear" w:color="auto" w:fill="DAE5F1" w:themeFill="accent1" w:themeFillTint="34"/>
      </w:tcPr>
    </w:tblStylePr>
    <w:tblStylePr w:type="band2Vert">
      <w:pPr>
        <w:snapToGrid/>
      </w:pPr>
    </w:tblStylePr>
    <w:tblStylePr w:type="band1Horz">
      <w:pPr>
        <w:snapToGrid/>
      </w:pPr>
      <w:rPr>
        <w:rFonts w:ascii="Arial" w:hAnsi="Arial"/>
        <w:color w:val="A6BFDD" w:themeColor="accent1" w:themeTint="80"/>
        <w:sz w:val="22"/>
      </w:rPr>
      <w:tblPr/>
      <w:tcPr>
        <w:shd w:val="clear" w:color="auto" w:fill="DAE5F1" w:themeFill="accent1" w:themeFillTint="34"/>
      </w:tcPr>
    </w:tblStylePr>
    <w:tblStylePr w:type="band2Horz">
      <w:pPr>
        <w:snapToGrid/>
      </w:pPr>
      <w:rPr>
        <w:rFonts w:ascii="Arial" w:hAnsi="Arial"/>
        <w:color w:val="A6BFDD" w:themeColor="accen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21">
    <w:name w:val="Grid Table 6 Colorful - Accent 21"/>
    <w:basedOn w:val="TableNormal"/>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b/>
        <w:color w:val="DA9796" w:themeColor="accent2" w:themeTint="96"/>
      </w:rPr>
      <w:tblPr/>
      <w:tcPr>
        <w:tcBorders>
          <w:bottom w:val="single" w:sz="12" w:space="0" w:color="D99695" w:themeColor="accent2" w:themeTint="97"/>
        </w:tcBorders>
      </w:tcPr>
    </w:tblStylePr>
    <w:tblStylePr w:type="lastRow">
      <w:pPr>
        <w:snapToGrid/>
      </w:pPr>
      <w:rPr>
        <w:b/>
        <w:color w:val="DA9796" w:themeColor="accent2" w:themeTint="96"/>
      </w:rPr>
    </w:tblStylePr>
    <w:tblStylePr w:type="firstCol">
      <w:pPr>
        <w:snapToGrid/>
      </w:pPr>
      <w:rPr>
        <w:b/>
        <w:color w:val="DA9796" w:themeColor="accent2" w:themeTint="96"/>
      </w:rPr>
    </w:tblStylePr>
    <w:tblStylePr w:type="lastCol">
      <w:pPr>
        <w:snapToGrid/>
      </w:pPr>
      <w:rPr>
        <w:b/>
        <w:color w:val="DA9796" w:themeColor="accent2" w:themeTint="96"/>
      </w:rPr>
    </w:tblStylePr>
    <w:tblStylePr w:type="band1Vert">
      <w:pPr>
        <w:snapToGrid/>
      </w:pPr>
      <w:tblPr/>
      <w:tcPr>
        <w:shd w:val="clear" w:color="auto" w:fill="F2DCDC" w:themeFill="accent2" w:themeFillTint="32"/>
      </w:tcPr>
    </w:tblStylePr>
    <w:tblStylePr w:type="band2Vert">
      <w:pPr>
        <w:snapToGrid/>
      </w:pPr>
    </w:tblStylePr>
    <w:tblStylePr w:type="band1Horz">
      <w:pPr>
        <w:snapToGrid/>
      </w:pPr>
      <w:rPr>
        <w:rFonts w:ascii="Arial" w:hAnsi="Arial"/>
        <w:color w:val="DA9796" w:themeColor="accent2" w:themeTint="96"/>
        <w:sz w:val="22"/>
      </w:rPr>
      <w:tblPr/>
      <w:tcPr>
        <w:shd w:val="clear" w:color="auto" w:fill="F2DCDC" w:themeFill="accent2" w:themeFillTint="32"/>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31">
    <w:name w:val="Grid Table 6 Colorful - Accent 31"/>
    <w:basedOn w:val="TableNormal"/>
    <w:uiPriority w:val="99"/>
    <w:qFormat/>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b/>
        <w:color w:val="9BBB59" w:themeColor="accent3"/>
      </w:rPr>
      <w:tblPr/>
      <w:tcPr>
        <w:tcBorders>
          <w:bottom w:val="single" w:sz="12" w:space="0" w:color="9ABB59" w:themeColor="accent3" w:themeTint="FE"/>
        </w:tcBorders>
      </w:tcPr>
    </w:tblStylePr>
    <w:tblStylePr w:type="lastRow">
      <w:pPr>
        <w:snapToGrid/>
      </w:pPr>
      <w:rPr>
        <w:b/>
        <w:color w:val="9BBB59" w:themeColor="accent3"/>
      </w:rPr>
    </w:tblStylePr>
    <w:tblStylePr w:type="firstCol">
      <w:pPr>
        <w:snapToGrid/>
      </w:pPr>
      <w:rPr>
        <w:b/>
        <w:color w:val="9BBB59" w:themeColor="accent3"/>
      </w:rPr>
    </w:tblStylePr>
    <w:tblStylePr w:type="lastCol">
      <w:pPr>
        <w:snapToGrid/>
      </w:pPr>
      <w:rPr>
        <w:b/>
        <w:color w:val="9BBB59" w:themeColor="accent3"/>
      </w:rPr>
    </w:tblStylePr>
    <w:tblStylePr w:type="band1Vert">
      <w:pPr>
        <w:snapToGrid/>
      </w:pPr>
      <w:tblPr/>
      <w:tcPr>
        <w:shd w:val="clear" w:color="auto" w:fill="EAF1DC" w:themeFill="accent3" w:themeFillTint="34"/>
      </w:tcPr>
    </w:tblStylePr>
    <w:tblStylePr w:type="band2Vert">
      <w:pPr>
        <w:snapToGrid/>
      </w:pPr>
    </w:tblStylePr>
    <w:tblStylePr w:type="band1Horz">
      <w:pPr>
        <w:snapToGrid/>
      </w:pPr>
      <w:rPr>
        <w:rFonts w:ascii="Arial" w:hAnsi="Arial"/>
        <w:color w:val="9BBB59" w:themeColor="accent3"/>
        <w:sz w:val="22"/>
      </w:rPr>
      <w:tblPr/>
      <w:tcPr>
        <w:shd w:val="clear" w:color="auto" w:fill="EAF1DC" w:themeFill="accent3" w:themeFillTint="34"/>
      </w:tcPr>
    </w:tblStylePr>
    <w:tblStylePr w:type="band2Horz">
      <w:pPr>
        <w:snapToGrid/>
      </w:pPr>
      <w:rPr>
        <w:rFonts w:ascii="Arial" w:hAnsi="Arial"/>
        <w:color w:val="9BBB59" w:themeColor="accent3"/>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41">
    <w:name w:val="Grid Table 6 Colorful - Accent 41"/>
    <w:basedOn w:val="TableNormal"/>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b/>
        <w:color w:val="B2A1C7" w:themeColor="accent4" w:themeTint="99"/>
      </w:rPr>
      <w:tblPr/>
      <w:tcPr>
        <w:tcBorders>
          <w:bottom w:val="single" w:sz="12" w:space="0" w:color="B2A1C6" w:themeColor="accent4" w:themeTint="9A"/>
        </w:tcBorders>
      </w:tcPr>
    </w:tblStylePr>
    <w:tblStylePr w:type="lastRow">
      <w:pPr>
        <w:snapToGrid/>
      </w:pPr>
      <w:rPr>
        <w:b/>
        <w:color w:val="B2A1C7" w:themeColor="accent4" w:themeTint="99"/>
      </w:rPr>
    </w:tblStylePr>
    <w:tblStylePr w:type="firstCol">
      <w:pPr>
        <w:snapToGrid/>
      </w:pPr>
      <w:rPr>
        <w:b/>
        <w:color w:val="B2A1C7" w:themeColor="accent4" w:themeTint="99"/>
      </w:rPr>
    </w:tblStylePr>
    <w:tblStylePr w:type="lastCol">
      <w:pPr>
        <w:snapToGrid/>
      </w:pPr>
      <w:rPr>
        <w:b/>
        <w:color w:val="B2A1C7" w:themeColor="accent4" w:themeTint="99"/>
      </w:rPr>
    </w:tblStylePr>
    <w:tblStylePr w:type="band1Vert">
      <w:pPr>
        <w:snapToGrid/>
      </w:pPr>
      <w:tblPr/>
      <w:tcPr>
        <w:shd w:val="clear" w:color="auto" w:fill="E5DFEC" w:themeFill="accent4" w:themeFillTint="34"/>
      </w:tcPr>
    </w:tblStylePr>
    <w:tblStylePr w:type="band2Vert">
      <w:pPr>
        <w:snapToGrid/>
      </w:pPr>
    </w:tblStylePr>
    <w:tblStylePr w:type="band1Horz">
      <w:pPr>
        <w:snapToGrid/>
      </w:pPr>
      <w:rPr>
        <w:rFonts w:ascii="Arial" w:hAnsi="Arial"/>
        <w:color w:val="B2A1C7" w:themeColor="accent4" w:themeTint="99"/>
        <w:sz w:val="22"/>
      </w:rPr>
      <w:tblPr/>
      <w:tcPr>
        <w:shd w:val="clear" w:color="auto" w:fill="E5DFEC" w:themeFill="accent4" w:themeFillTint="34"/>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51">
    <w:name w:val="Grid Table 6 Colorful - Accent 51"/>
    <w:basedOn w:val="TableNormal"/>
    <w:uiPriority w:val="99"/>
    <w:qFormat/>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pPr>
        <w:snapToGrid/>
      </w:pPr>
      <w:rPr>
        <w:b/>
        <w:color w:val="266678" w:themeColor="accent5" w:themeShade="94"/>
      </w:rPr>
      <w:tblPr/>
      <w:tcPr>
        <w:tcBorders>
          <w:bottom w:val="single" w:sz="12" w:space="0" w:color="4BACC6" w:themeColor="accent5"/>
        </w:tcBorders>
      </w:tcPr>
    </w:tblStylePr>
    <w:tblStylePr w:type="lastRow">
      <w:pPr>
        <w:snapToGrid/>
      </w:pPr>
      <w:rPr>
        <w:b/>
        <w:color w:val="266678" w:themeColor="accent5" w:themeShade="94"/>
      </w:rPr>
    </w:tblStylePr>
    <w:tblStylePr w:type="firstCol">
      <w:pPr>
        <w:snapToGrid/>
      </w:pPr>
      <w:rPr>
        <w:b/>
        <w:color w:val="266678" w:themeColor="accent5" w:themeShade="94"/>
      </w:rPr>
    </w:tblStylePr>
    <w:tblStylePr w:type="lastCol">
      <w:pPr>
        <w:snapToGrid/>
      </w:pPr>
      <w:rPr>
        <w:b/>
        <w:color w:val="266678" w:themeColor="accent5" w:themeShade="94"/>
      </w:rPr>
    </w:tblStylePr>
    <w:tblStylePr w:type="band1Vert">
      <w:pPr>
        <w:snapToGrid/>
      </w:pPr>
      <w:tblPr/>
      <w:tcPr>
        <w:shd w:val="clear" w:color="auto" w:fill="DAEEF3" w:themeFill="accent5" w:themeFillTint="34"/>
      </w:tcPr>
    </w:tblStylePr>
    <w:tblStylePr w:type="band2Vert">
      <w:pPr>
        <w:snapToGrid/>
      </w:pPr>
    </w:tblStylePr>
    <w:tblStylePr w:type="band1Horz">
      <w:pPr>
        <w:snapToGrid/>
      </w:pPr>
      <w:rPr>
        <w:rFonts w:ascii="Arial" w:hAnsi="Arial"/>
        <w:color w:val="266678" w:themeColor="accent5" w:themeShade="94"/>
        <w:sz w:val="22"/>
      </w:rPr>
      <w:tblPr/>
      <w:tcPr>
        <w:shd w:val="clear" w:color="auto" w:fill="DAEEF3" w:themeFill="accent5" w:themeFillTint="34"/>
      </w:tcPr>
    </w:tblStylePr>
    <w:tblStylePr w:type="band2Horz">
      <w:pPr>
        <w:snapToGrid/>
      </w:pPr>
      <w:rPr>
        <w:rFonts w:ascii="Arial" w:hAnsi="Arial"/>
        <w:color w:val="2666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61">
    <w:name w:val="Grid Table 6 Colorful - Accent 61"/>
    <w:basedOn w:val="TableNormal"/>
    <w:uiPriority w:val="99"/>
    <w:qFormat/>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pPr>
        <w:snapToGrid/>
      </w:pPr>
      <w:rPr>
        <w:b/>
        <w:color w:val="266678" w:themeColor="accent5" w:themeShade="94"/>
      </w:rPr>
      <w:tblPr/>
      <w:tcPr>
        <w:tcBorders>
          <w:bottom w:val="single" w:sz="12" w:space="0" w:color="F79646" w:themeColor="accent6"/>
        </w:tcBorders>
      </w:tcPr>
    </w:tblStylePr>
    <w:tblStylePr w:type="lastRow">
      <w:pPr>
        <w:snapToGrid/>
      </w:pPr>
      <w:rPr>
        <w:b/>
        <w:color w:val="266678" w:themeColor="accent5" w:themeShade="94"/>
      </w:rPr>
    </w:tblStylePr>
    <w:tblStylePr w:type="firstCol">
      <w:pPr>
        <w:snapToGrid/>
      </w:pPr>
      <w:rPr>
        <w:b/>
        <w:color w:val="266678" w:themeColor="accent5" w:themeShade="94"/>
      </w:rPr>
    </w:tblStylePr>
    <w:tblStylePr w:type="lastCol">
      <w:pPr>
        <w:snapToGrid/>
      </w:pPr>
      <w:rPr>
        <w:b/>
        <w:color w:val="266678" w:themeColor="accent5" w:themeShade="94"/>
      </w:rPr>
    </w:tblStylePr>
    <w:tblStylePr w:type="band1Vert">
      <w:pPr>
        <w:snapToGrid/>
      </w:pPr>
      <w:tblPr/>
      <w:tcPr>
        <w:shd w:val="clear" w:color="auto" w:fill="FDE9D8" w:themeFill="accent6" w:themeFillTint="34"/>
      </w:tcPr>
    </w:tblStylePr>
    <w:tblStylePr w:type="band2Vert">
      <w:pPr>
        <w:snapToGrid/>
      </w:pPr>
    </w:tblStylePr>
    <w:tblStylePr w:type="band1Horz">
      <w:pPr>
        <w:snapToGrid/>
      </w:pPr>
      <w:rPr>
        <w:rFonts w:ascii="Arial" w:hAnsi="Arial"/>
        <w:color w:val="266678" w:themeColor="accent5" w:themeShade="94"/>
        <w:sz w:val="22"/>
      </w:rPr>
      <w:tblPr/>
      <w:tcPr>
        <w:shd w:val="clear" w:color="auto" w:fill="FDE9D8" w:themeFill="accent6" w:themeFillTint="34"/>
      </w:tcPr>
    </w:tblStylePr>
    <w:tblStylePr w:type="band2Horz">
      <w:pPr>
        <w:snapToGrid/>
      </w:pPr>
      <w:rPr>
        <w:rFonts w:ascii="Arial" w:hAnsi="Arial"/>
        <w:color w:val="2666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11">
    <w:name w:val="Grid Table 7 Colorful - Accent 11"/>
    <w:basedOn w:val="TableNormal"/>
    <w:uiPriority w:val="99"/>
    <w:qFormat/>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pPr>
        <w:snapToGrid/>
      </w:pPr>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auto" w:fill="FFFFFF" w:themeFill="light1"/>
      </w:tcPr>
    </w:tblStylePr>
    <w:tblStylePr w:type="lastRow">
      <w:pPr>
        <w:snapToGrid/>
      </w:pPr>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auto" w:fill="FFFFFF" w:themeFill="light1"/>
      </w:tcPr>
    </w:tblStylePr>
    <w:tblStylePr w:type="firstCol">
      <w:pPr>
        <w:snapToGrid/>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auto" w:fill="FFFFFF"/>
      </w:tcPr>
    </w:tblStylePr>
    <w:tblStylePr w:type="lastCol">
      <w:pPr>
        <w:snapToGrid/>
      </w:pPr>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auto" w:fill="FFFFFF"/>
      </w:tcPr>
    </w:tblStylePr>
    <w:tblStylePr w:type="band1Vert">
      <w:pPr>
        <w:snapToGrid/>
      </w:pPr>
      <w:tblPr/>
      <w:tcPr>
        <w:shd w:val="clear" w:color="auto" w:fill="DAE5F1" w:themeFill="accent1" w:themeFillTint="34"/>
      </w:tcPr>
    </w:tblStylePr>
    <w:tblStylePr w:type="band2Vert">
      <w:pPr>
        <w:snapToGrid/>
      </w:pPr>
    </w:tblStylePr>
    <w:tblStylePr w:type="band1Horz">
      <w:pPr>
        <w:snapToGrid/>
      </w:pPr>
      <w:rPr>
        <w:rFonts w:ascii="Arial" w:hAnsi="Arial"/>
        <w:color w:val="A6BFDD" w:themeColor="accent1" w:themeTint="80"/>
        <w:sz w:val="22"/>
      </w:rPr>
      <w:tblPr/>
      <w:tcPr>
        <w:shd w:val="clear" w:color="auto" w:fill="DAE5F1" w:themeFill="accent1" w:themeFillTint="34"/>
      </w:tcPr>
    </w:tblStylePr>
    <w:tblStylePr w:type="band2Horz">
      <w:pPr>
        <w:snapToGrid/>
      </w:pPr>
      <w:rPr>
        <w:rFonts w:ascii="Arial" w:hAnsi="Arial"/>
        <w:color w:val="A6BFDD" w:themeColor="accen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21">
    <w:name w:val="Grid Table 7 Colorful - Accent 21"/>
    <w:basedOn w:val="TableNormal"/>
    <w:uiPriority w:val="99"/>
    <w:qFormat/>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pPr>
        <w:snapToGrid/>
      </w:pPr>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snapToGrid/>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pPr>
        <w:snapToGrid/>
      </w:pPr>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pPr>
        <w:snapToGrid/>
      </w:pPr>
      <w:tblPr/>
      <w:tcPr>
        <w:shd w:val="clear" w:color="auto" w:fill="F2DCDC" w:themeFill="accent2" w:themeFillTint="32"/>
      </w:tcPr>
    </w:tblStylePr>
    <w:tblStylePr w:type="band2Vert">
      <w:pPr>
        <w:snapToGrid/>
      </w:pPr>
    </w:tblStylePr>
    <w:tblStylePr w:type="band1Horz">
      <w:pPr>
        <w:snapToGrid/>
      </w:pPr>
      <w:rPr>
        <w:rFonts w:ascii="Arial" w:hAnsi="Arial"/>
        <w:color w:val="DA9796" w:themeColor="accent2" w:themeTint="96"/>
        <w:sz w:val="22"/>
      </w:rPr>
      <w:tblPr/>
      <w:tcPr>
        <w:shd w:val="clear" w:color="auto" w:fill="F2DCDC" w:themeFill="accent2" w:themeFillTint="32"/>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31">
    <w:name w:val="Grid Table 7 Colorful - Accent 31"/>
    <w:basedOn w:val="TableNormal"/>
    <w:uiPriority w:val="99"/>
    <w:qFormat/>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rFonts w:ascii="Arial" w:hAnsi="Arial"/>
        <w:b/>
        <w:color w:val="9BBB59" w:themeColor="accent3"/>
        <w:sz w:val="22"/>
      </w:rPr>
      <w:tblPr/>
      <w:tcPr>
        <w:tcBorders>
          <w:top w:val="nil"/>
          <w:left w:val="nil"/>
          <w:bottom w:val="single" w:sz="4" w:space="0" w:color="9ABB59" w:themeColor="accent3" w:themeTint="FE"/>
          <w:right w:val="nil"/>
        </w:tcBorders>
        <w:shd w:val="clear" w:color="auto" w:fill="FFFFFF" w:themeFill="light1"/>
      </w:tcPr>
    </w:tblStylePr>
    <w:tblStylePr w:type="lastRow">
      <w:pPr>
        <w:snapToGrid/>
      </w:pPr>
      <w:rPr>
        <w:rFonts w:ascii="Arial" w:hAnsi="Arial"/>
        <w:b/>
        <w:color w:val="9BBB59" w:themeColor="accent3"/>
        <w:sz w:val="22"/>
      </w:rPr>
      <w:tblPr/>
      <w:tcPr>
        <w:tcBorders>
          <w:top w:val="single" w:sz="4" w:space="0" w:color="9ABB59" w:themeColor="accent3" w:themeTint="FE"/>
          <w:left w:val="nil"/>
          <w:bottom w:val="nil"/>
          <w:right w:val="nil"/>
        </w:tcBorders>
        <w:shd w:val="clear" w:color="auto" w:fill="FFFFFF" w:themeFill="light1"/>
      </w:tcPr>
    </w:tblStylePr>
    <w:tblStylePr w:type="firstCol">
      <w:pPr>
        <w:snapToGrid/>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auto" w:fill="FFFFFF"/>
      </w:tcPr>
    </w:tblStylePr>
    <w:tblStylePr w:type="lastCol">
      <w:pPr>
        <w:snapToGrid/>
      </w:pPr>
      <w:rPr>
        <w:rFonts w:ascii="Arial" w:hAnsi="Arial"/>
        <w:i/>
        <w:color w:val="9BBB59" w:themeColor="accent3"/>
        <w:sz w:val="22"/>
      </w:rPr>
      <w:tblPr/>
      <w:tcPr>
        <w:tcBorders>
          <w:top w:val="nil"/>
          <w:left w:val="single" w:sz="4" w:space="0" w:color="9ABB59" w:themeColor="accent3" w:themeTint="FE"/>
          <w:bottom w:val="nil"/>
          <w:right w:val="nil"/>
        </w:tcBorders>
        <w:shd w:val="clear" w:color="auto" w:fill="FFFFFF"/>
      </w:tcPr>
    </w:tblStylePr>
    <w:tblStylePr w:type="band1Vert">
      <w:pPr>
        <w:snapToGrid/>
      </w:pPr>
      <w:tblPr/>
      <w:tcPr>
        <w:shd w:val="clear" w:color="auto" w:fill="EAF1DC" w:themeFill="accent3" w:themeFillTint="34"/>
      </w:tcPr>
    </w:tblStylePr>
    <w:tblStylePr w:type="band2Vert">
      <w:pPr>
        <w:snapToGrid/>
      </w:pPr>
    </w:tblStylePr>
    <w:tblStylePr w:type="band1Horz">
      <w:pPr>
        <w:snapToGrid/>
      </w:pPr>
      <w:rPr>
        <w:rFonts w:ascii="Arial" w:hAnsi="Arial"/>
        <w:color w:val="9BBB59" w:themeColor="accent3"/>
        <w:sz w:val="22"/>
      </w:rPr>
      <w:tblPr/>
      <w:tcPr>
        <w:shd w:val="clear" w:color="auto" w:fill="EAF1DC" w:themeFill="accent3" w:themeFillTint="34"/>
      </w:tcPr>
    </w:tblStylePr>
    <w:tblStylePr w:type="band2Horz">
      <w:pPr>
        <w:snapToGrid/>
      </w:pPr>
      <w:rPr>
        <w:rFonts w:ascii="Arial" w:hAnsi="Arial"/>
        <w:color w:val="9BBB59" w:themeColor="accent3"/>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41">
    <w:name w:val="Grid Table 7 Colorful - Accent 41"/>
    <w:basedOn w:val="TableNormal"/>
    <w:uiPriority w:val="99"/>
    <w:qFormat/>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pPr>
        <w:snapToGrid/>
      </w:pPr>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snapToGrid/>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pPr>
        <w:snapToGrid/>
      </w:pPr>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pPr>
        <w:snapToGrid/>
      </w:pPr>
      <w:tblPr/>
      <w:tcPr>
        <w:shd w:val="clear" w:color="auto" w:fill="E5DFEC" w:themeFill="accent4" w:themeFillTint="34"/>
      </w:tcPr>
    </w:tblStylePr>
    <w:tblStylePr w:type="band2Vert">
      <w:pPr>
        <w:snapToGrid/>
      </w:pPr>
    </w:tblStylePr>
    <w:tblStylePr w:type="band1Horz">
      <w:pPr>
        <w:snapToGrid/>
      </w:pPr>
      <w:rPr>
        <w:rFonts w:ascii="Arial" w:hAnsi="Arial"/>
        <w:color w:val="B2A1C7" w:themeColor="accent4" w:themeTint="99"/>
        <w:sz w:val="22"/>
      </w:rPr>
      <w:tblPr/>
      <w:tcPr>
        <w:shd w:val="clear" w:color="auto" w:fill="E5DFEC" w:themeFill="accent4" w:themeFillTint="34"/>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51">
    <w:name w:val="Grid Table 7 Colorful - Accent 51"/>
    <w:basedOn w:val="TableNormal"/>
    <w:uiPriority w:val="99"/>
    <w:qFormat/>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pPr>
        <w:snapToGrid/>
      </w:pPr>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auto" w:fill="FFFFFF" w:themeFill="light1"/>
      </w:tcPr>
    </w:tblStylePr>
    <w:tblStylePr w:type="lastRow">
      <w:pPr>
        <w:snapToGrid/>
      </w:pPr>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auto" w:fill="FFFFFF" w:themeFill="light1"/>
      </w:tcPr>
    </w:tblStylePr>
    <w:tblStylePr w:type="firstCol">
      <w:pPr>
        <w:snapToGrid/>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auto" w:fill="FFFFFF"/>
      </w:tcPr>
    </w:tblStylePr>
    <w:tblStylePr w:type="lastCol">
      <w:pPr>
        <w:snapToGrid/>
      </w:pPr>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auto" w:fill="FFFFFF"/>
      </w:tcPr>
    </w:tblStylePr>
    <w:tblStylePr w:type="band1Vert">
      <w:pPr>
        <w:snapToGrid/>
      </w:pPr>
      <w:tblPr/>
      <w:tcPr>
        <w:shd w:val="clear" w:color="auto" w:fill="DAEEF3" w:themeFill="accent5" w:themeFillTint="34"/>
      </w:tcPr>
    </w:tblStylePr>
    <w:tblStylePr w:type="band2Vert">
      <w:pPr>
        <w:snapToGrid/>
      </w:pPr>
    </w:tblStylePr>
    <w:tblStylePr w:type="band1Horz">
      <w:pPr>
        <w:snapToGrid/>
      </w:pPr>
      <w:rPr>
        <w:rFonts w:ascii="Arial" w:hAnsi="Arial"/>
        <w:color w:val="266678" w:themeColor="accent5" w:themeShade="94"/>
        <w:sz w:val="22"/>
      </w:rPr>
      <w:tblPr/>
      <w:tcPr>
        <w:shd w:val="clear" w:color="auto" w:fill="DAEEF3" w:themeFill="accent5" w:themeFillTint="34"/>
      </w:tcPr>
    </w:tblStylePr>
    <w:tblStylePr w:type="band2Horz">
      <w:pPr>
        <w:snapToGrid/>
      </w:pPr>
      <w:rPr>
        <w:rFonts w:ascii="Arial" w:hAnsi="Arial"/>
        <w:color w:val="2666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61">
    <w:name w:val="Grid Table 7 Colorful - Accent 61"/>
    <w:basedOn w:val="TableNormal"/>
    <w:uiPriority w:val="99"/>
    <w:qFormat/>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pPr>
        <w:snapToGrid/>
      </w:pPr>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auto" w:fill="FFFFFF" w:themeFill="light1"/>
      </w:tcPr>
    </w:tblStylePr>
    <w:tblStylePr w:type="lastRow">
      <w:pPr>
        <w:snapToGrid/>
      </w:pPr>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auto" w:fill="FFFFFF" w:themeFill="light1"/>
      </w:tcPr>
    </w:tblStylePr>
    <w:tblStylePr w:type="firstCol">
      <w:pPr>
        <w:snapToGrid/>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auto" w:fill="FFFFFF"/>
      </w:tcPr>
    </w:tblStylePr>
    <w:tblStylePr w:type="lastCol">
      <w:pPr>
        <w:snapToGrid/>
      </w:pPr>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auto" w:fill="FFFFFF"/>
      </w:tcPr>
    </w:tblStylePr>
    <w:tblStylePr w:type="band1Vert">
      <w:pPr>
        <w:snapToGrid/>
      </w:pPr>
      <w:tblPr/>
      <w:tcPr>
        <w:shd w:val="clear" w:color="auto" w:fill="FDE9D8" w:themeFill="accent6" w:themeFillTint="34"/>
      </w:tcPr>
    </w:tblStylePr>
    <w:tblStylePr w:type="band2Vert">
      <w:pPr>
        <w:snapToGrid/>
      </w:pPr>
    </w:tblStylePr>
    <w:tblStylePr w:type="band1Horz">
      <w:pPr>
        <w:snapToGrid/>
      </w:pPr>
      <w:rPr>
        <w:rFonts w:ascii="Arial" w:hAnsi="Arial"/>
        <w:color w:val="B05307" w:themeColor="accent6" w:themeShade="94"/>
        <w:sz w:val="22"/>
      </w:rPr>
      <w:tblPr/>
      <w:tcPr>
        <w:shd w:val="clear" w:color="auto" w:fill="FDE9D8" w:themeFill="accent6" w:themeFillTint="34"/>
      </w:tcPr>
    </w:tblStylePr>
    <w:tblStylePr w:type="band2Horz">
      <w:pPr>
        <w:snapToGrid/>
      </w:pPr>
      <w:rPr>
        <w:rFonts w:ascii="Arial" w:hAnsi="Arial"/>
        <w:color w:val="B05307" w:themeColor="accent6"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11">
    <w:name w:val="List Table 1 Light - Accent 11"/>
    <w:basedOn w:val="TableNormal"/>
    <w:uiPriority w:val="99"/>
    <w:qFormat/>
    <w:tblPr/>
    <w:tblStylePr w:type="firstRow">
      <w:pPr>
        <w:snapToGrid/>
      </w:pPr>
      <w:rPr>
        <w:b/>
        <w:color w:val="404040"/>
      </w:rPr>
      <w:tblPr/>
      <w:tcPr>
        <w:tcBorders>
          <w:top w:val="nil"/>
          <w:left w:val="nil"/>
          <w:bottom w:val="single" w:sz="4" w:space="0" w:color="4F81BD" w:themeColor="accent1"/>
          <w:right w:val="nil"/>
        </w:tcBorders>
      </w:tcPr>
    </w:tblStylePr>
    <w:tblStylePr w:type="lastRow">
      <w:pPr>
        <w:snapToGrid/>
      </w:pPr>
      <w:rPr>
        <w:b/>
        <w:color w:val="404040"/>
      </w:rPr>
      <w:tblPr/>
      <w:tcPr>
        <w:tcBorders>
          <w:top w:val="single" w:sz="4" w:space="0" w:color="4F81BD" w:themeColor="accent1"/>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D2DFEE" w:themeFill="accent1" w:themeFillTint="40"/>
      </w:tcPr>
    </w:tblStylePr>
    <w:tblStylePr w:type="band2Vert">
      <w:pPr>
        <w:snapToGrid/>
      </w:pPr>
    </w:tblStylePr>
    <w:tblStylePr w:type="band1Horz">
      <w:pPr>
        <w:snapToGrid/>
      </w:pPr>
      <w:tbl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21">
    <w:name w:val="List Table 1 Light - Accent 21"/>
    <w:basedOn w:val="TableNormal"/>
    <w:uiPriority w:val="99"/>
    <w:qFormat/>
    <w:tblPr/>
    <w:tblStylePr w:type="firstRow">
      <w:pPr>
        <w:snapToGrid/>
      </w:pPr>
      <w:rPr>
        <w:b/>
        <w:color w:val="404040"/>
      </w:rPr>
      <w:tblPr/>
      <w:tcPr>
        <w:tcBorders>
          <w:top w:val="nil"/>
          <w:left w:val="nil"/>
          <w:bottom w:val="single" w:sz="4" w:space="0" w:color="C0504D" w:themeColor="accent2"/>
          <w:right w:val="nil"/>
        </w:tcBorders>
      </w:tcPr>
    </w:tblStylePr>
    <w:tblStylePr w:type="lastRow">
      <w:pPr>
        <w:snapToGrid/>
      </w:pPr>
      <w:rPr>
        <w:b/>
        <w:color w:val="404040"/>
      </w:rPr>
      <w:tblPr/>
      <w:tcPr>
        <w:tcBorders>
          <w:top w:val="single" w:sz="4" w:space="0" w:color="C0504D" w:themeColor="accent2"/>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EFD2D2" w:themeFill="accent2" w:themeFillTint="40"/>
      </w:tcPr>
    </w:tblStylePr>
    <w:tblStylePr w:type="band2Vert">
      <w:pPr>
        <w:snapToGrid/>
      </w:pPr>
    </w:tblStylePr>
    <w:tblStylePr w:type="band1Horz">
      <w:pPr>
        <w:snapToGrid/>
      </w:pPr>
      <w:tblPr/>
      <w:tcPr>
        <w:shd w:val="clear" w:color="auto" w:fill="EFD2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31">
    <w:name w:val="List Table 1 Light - Accent 31"/>
    <w:basedOn w:val="TableNormal"/>
    <w:uiPriority w:val="99"/>
    <w:qFormat/>
    <w:tblPr/>
    <w:tblStylePr w:type="firstRow">
      <w:pPr>
        <w:snapToGrid/>
      </w:pPr>
      <w:rPr>
        <w:b/>
        <w:color w:val="404040"/>
      </w:rPr>
      <w:tblPr/>
      <w:tcPr>
        <w:tcBorders>
          <w:top w:val="nil"/>
          <w:left w:val="nil"/>
          <w:bottom w:val="single" w:sz="4" w:space="0" w:color="9BBB59" w:themeColor="accent3"/>
          <w:right w:val="nil"/>
        </w:tcBorders>
      </w:tcPr>
    </w:tblStylePr>
    <w:tblStylePr w:type="lastRow">
      <w:pPr>
        <w:snapToGrid/>
      </w:pPr>
      <w:rPr>
        <w:b/>
        <w:color w:val="404040"/>
      </w:rPr>
      <w:tblPr/>
      <w:tcPr>
        <w:tcBorders>
          <w:top w:val="single" w:sz="4" w:space="0" w:color="9BBB59" w:themeColor="accent3"/>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E5EED5" w:themeFill="accent3" w:themeFillTint="40"/>
      </w:tcPr>
    </w:tblStylePr>
    <w:tblStylePr w:type="band2Vert">
      <w:pPr>
        <w:snapToGrid/>
      </w:pPr>
    </w:tblStylePr>
    <w:tblStylePr w:type="band1Horz">
      <w:pPr>
        <w:snapToGrid/>
      </w:pPr>
      <w:tblPr/>
      <w:tcPr>
        <w:shd w:val="clear" w:color="auto" w:fill="E5EE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41">
    <w:name w:val="List Table 1 Light - Accent 41"/>
    <w:basedOn w:val="TableNormal"/>
    <w:uiPriority w:val="99"/>
    <w:qFormat/>
    <w:tblPr/>
    <w:tblStylePr w:type="firstRow">
      <w:pPr>
        <w:snapToGrid/>
      </w:pPr>
      <w:rPr>
        <w:b/>
        <w:color w:val="404040"/>
      </w:rPr>
      <w:tblPr/>
      <w:tcPr>
        <w:tcBorders>
          <w:top w:val="nil"/>
          <w:left w:val="nil"/>
          <w:bottom w:val="single" w:sz="4" w:space="0" w:color="8064A2" w:themeColor="accent4"/>
          <w:right w:val="nil"/>
        </w:tcBorders>
      </w:tcPr>
    </w:tblStylePr>
    <w:tblStylePr w:type="lastRow">
      <w:pPr>
        <w:snapToGrid/>
      </w:pPr>
      <w:rPr>
        <w:b/>
        <w:color w:val="404040"/>
      </w:rPr>
      <w:tblPr/>
      <w:tcPr>
        <w:tcBorders>
          <w:top w:val="single" w:sz="4" w:space="0" w:color="8064A2" w:themeColor="accent4"/>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DFD8E7" w:themeFill="accent4" w:themeFillTint="40"/>
      </w:tcPr>
    </w:tblStylePr>
    <w:tblStylePr w:type="band2Vert">
      <w:pPr>
        <w:snapToGrid/>
      </w:pPr>
    </w:tblStylePr>
    <w:tblStylePr w:type="band1Horz">
      <w:pPr>
        <w:snapToGrid/>
      </w:pPr>
      <w:tbl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51">
    <w:name w:val="List Table 1 Light - Accent 51"/>
    <w:basedOn w:val="TableNormal"/>
    <w:uiPriority w:val="99"/>
    <w:qFormat/>
    <w:tblPr/>
    <w:tblStylePr w:type="firstRow">
      <w:pPr>
        <w:snapToGrid/>
      </w:pPr>
      <w:rPr>
        <w:b/>
        <w:color w:val="404040"/>
      </w:rPr>
      <w:tblPr/>
      <w:tcPr>
        <w:tcBorders>
          <w:top w:val="nil"/>
          <w:left w:val="nil"/>
          <w:bottom w:val="single" w:sz="4" w:space="0" w:color="4BACC6" w:themeColor="accent5"/>
          <w:right w:val="nil"/>
        </w:tcBorders>
      </w:tcPr>
    </w:tblStylePr>
    <w:tblStylePr w:type="lastRow">
      <w:pPr>
        <w:snapToGrid/>
      </w:pPr>
      <w:rPr>
        <w:b/>
        <w:color w:val="404040"/>
      </w:rPr>
      <w:tblPr/>
      <w:tcPr>
        <w:tcBorders>
          <w:top w:val="single" w:sz="4" w:space="0" w:color="4BACC6" w:themeColor="accent5"/>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D1EAF0" w:themeFill="accent5" w:themeFillTint="40"/>
      </w:tcPr>
    </w:tblStylePr>
    <w:tblStylePr w:type="band2Vert">
      <w:pPr>
        <w:snapToGrid/>
      </w:pPr>
    </w:tblStylePr>
    <w:tblStylePr w:type="band1Horz">
      <w:pPr>
        <w:snapToGrid/>
      </w:pPr>
      <w:tbl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61">
    <w:name w:val="List Table 1 Light - Accent 61"/>
    <w:basedOn w:val="TableNormal"/>
    <w:uiPriority w:val="99"/>
    <w:qFormat/>
    <w:tblPr/>
    <w:tblStylePr w:type="firstRow">
      <w:pPr>
        <w:snapToGrid/>
      </w:pPr>
      <w:rPr>
        <w:b/>
        <w:color w:val="404040"/>
      </w:rPr>
      <w:tblPr/>
      <w:tcPr>
        <w:tcBorders>
          <w:top w:val="nil"/>
          <w:left w:val="nil"/>
          <w:bottom w:val="single" w:sz="4" w:space="0" w:color="F79646" w:themeColor="accent6"/>
          <w:right w:val="nil"/>
        </w:tcBorders>
      </w:tcPr>
    </w:tblStylePr>
    <w:tblStylePr w:type="lastRow">
      <w:pPr>
        <w:snapToGrid/>
      </w:pPr>
      <w:rPr>
        <w:b/>
        <w:color w:val="404040"/>
      </w:rPr>
      <w:tblPr/>
      <w:tcPr>
        <w:tcBorders>
          <w:top w:val="single" w:sz="4" w:space="0" w:color="F79646" w:themeColor="accent6"/>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FDE4D0" w:themeFill="accent6" w:themeFillTint="40"/>
      </w:tcPr>
    </w:tblStylePr>
    <w:tblStylePr w:type="band2Vert">
      <w:pPr>
        <w:snapToGrid/>
      </w:pPr>
    </w:tblStylePr>
    <w:tblStylePr w:type="band1Horz">
      <w:pPr>
        <w:snapToGrid/>
      </w:pPr>
      <w:tblPr/>
      <w:tcPr>
        <w:shd w:val="clear" w:color="auto" w:fill="FD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11">
    <w:name w:val="List Table 2 - Accent 11"/>
    <w:basedOn w:val="TableNormal"/>
    <w:uiPriority w:val="99"/>
    <w:qFormat/>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pPr>
        <w:snapToGrid/>
      </w:pPr>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pPr>
        <w:snapToGrid/>
      </w:pPr>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D2DFEE" w:themeFill="accent1" w:themeFillTint="40"/>
      </w:tcPr>
    </w:tblStylePr>
    <w:tblStylePr w:type="band2Vert">
      <w:pPr>
        <w:snapToGrid/>
      </w:pPr>
    </w:tblStylePr>
    <w:tblStylePr w:type="band1Horz">
      <w:pPr>
        <w:snapToGrid/>
      </w:pPr>
      <w:rPr>
        <w:rFonts w:ascii="Arial" w:hAnsi="Arial"/>
        <w:color w:val="404040"/>
        <w:sz w:val="22"/>
      </w:rPr>
      <w:tbl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21">
    <w:name w:val="List Table 2 - Accent 21"/>
    <w:basedOn w:val="TableNormal"/>
    <w:uiPriority w:val="99"/>
    <w:qFormat/>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pPr>
        <w:snapToGrid/>
      </w:pPr>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pPr>
        <w:snapToGrid/>
      </w:pPr>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EFD2D2" w:themeFill="accent2" w:themeFillTint="40"/>
      </w:tcPr>
    </w:tblStylePr>
    <w:tblStylePr w:type="band2Vert">
      <w:pPr>
        <w:snapToGrid/>
      </w:pPr>
    </w:tblStylePr>
    <w:tblStylePr w:type="band1Horz">
      <w:pPr>
        <w:snapToGrid/>
      </w:pPr>
      <w:rPr>
        <w:rFonts w:ascii="Arial" w:hAnsi="Arial"/>
        <w:color w:val="404040"/>
        <w:sz w:val="22"/>
      </w:rPr>
      <w:tblPr/>
      <w:tcPr>
        <w:shd w:val="clear" w:color="auto" w:fill="EFD2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31">
    <w:name w:val="List Table 2 - Accent 31"/>
    <w:basedOn w:val="TableNormal"/>
    <w:uiPriority w:val="99"/>
    <w:qFormat/>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pPr>
        <w:snapToGrid/>
      </w:pPr>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pPr>
        <w:snapToGrid/>
      </w:pPr>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E5EED5" w:themeFill="accent3" w:themeFillTint="40"/>
      </w:tcPr>
    </w:tblStylePr>
    <w:tblStylePr w:type="band2Vert">
      <w:pPr>
        <w:snapToGrid/>
      </w:pPr>
    </w:tblStylePr>
    <w:tblStylePr w:type="band1Horz">
      <w:pPr>
        <w:snapToGrid/>
      </w:pPr>
      <w:rPr>
        <w:rFonts w:ascii="Arial" w:hAnsi="Arial"/>
        <w:color w:val="404040"/>
        <w:sz w:val="22"/>
      </w:rPr>
      <w:tblPr/>
      <w:tcPr>
        <w:shd w:val="clear" w:color="auto" w:fill="E5EE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41">
    <w:name w:val="List Table 2 - Accent 41"/>
    <w:basedOn w:val="TableNormal"/>
    <w:uiPriority w:val="99"/>
    <w:qFormat/>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pPr>
        <w:snapToGrid/>
      </w:pPr>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pPr>
        <w:snapToGrid/>
      </w:pPr>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DFD8E7" w:themeFill="accent4" w:themeFillTint="40"/>
      </w:tcPr>
    </w:tblStylePr>
    <w:tblStylePr w:type="band2Vert">
      <w:pPr>
        <w:snapToGrid/>
      </w:pPr>
    </w:tblStylePr>
    <w:tblStylePr w:type="band1Horz">
      <w:pPr>
        <w:snapToGrid/>
      </w:pPr>
      <w:rPr>
        <w:rFonts w:ascii="Arial" w:hAnsi="Arial"/>
        <w:color w:val="404040"/>
        <w:sz w:val="22"/>
      </w:rPr>
      <w:tbl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51">
    <w:name w:val="List Table 2 - Accent 51"/>
    <w:basedOn w:val="TableNormal"/>
    <w:uiPriority w:val="99"/>
    <w:qFormat/>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pPr>
        <w:snapToGrid/>
      </w:pPr>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pPr>
        <w:snapToGrid/>
      </w:pPr>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D1EAF0" w:themeFill="accent5" w:themeFillTint="40"/>
      </w:tcPr>
    </w:tblStylePr>
    <w:tblStylePr w:type="band2Vert">
      <w:pPr>
        <w:snapToGrid/>
      </w:pPr>
    </w:tblStylePr>
    <w:tblStylePr w:type="band1Horz">
      <w:pPr>
        <w:snapToGrid/>
      </w:pPr>
      <w:rPr>
        <w:rFonts w:ascii="Arial" w:hAnsi="Arial"/>
        <w:color w:val="404040"/>
        <w:sz w:val="22"/>
      </w:rPr>
      <w:tbl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61">
    <w:name w:val="List Table 2 - Accent 61"/>
    <w:basedOn w:val="TableNormal"/>
    <w:uiPriority w:val="99"/>
    <w:qFormat/>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pPr>
        <w:snapToGrid/>
      </w:pPr>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pPr>
        <w:snapToGrid/>
      </w:pPr>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FDE4D0" w:themeFill="accent6" w:themeFillTint="40"/>
      </w:tcPr>
    </w:tblStylePr>
    <w:tblStylePr w:type="band2Vert">
      <w:pPr>
        <w:snapToGrid/>
      </w:pPr>
    </w:tblStylePr>
    <w:tblStylePr w:type="band1Horz">
      <w:pPr>
        <w:snapToGrid/>
      </w:pPr>
      <w:rPr>
        <w:rFonts w:ascii="Arial" w:hAnsi="Arial"/>
        <w:color w:val="404040"/>
        <w:sz w:val="22"/>
      </w:rPr>
      <w:tblPr/>
      <w:tcPr>
        <w:shd w:val="clear" w:color="auto" w:fill="FD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11">
    <w:name w:val="List Table 3 - Accent 11"/>
    <w:basedOn w:val="TableNormal"/>
    <w:uiPriority w:val="99"/>
    <w:qFormat/>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pPr>
        <w:snapToGrid/>
      </w:pPr>
      <w:rPr>
        <w:rFonts w:ascii="Arial" w:hAnsi="Arial"/>
        <w:b/>
        <w:color w:val="FFFFFF"/>
        <w:sz w:val="22"/>
      </w:rPr>
      <w:tblPr/>
      <w:tcPr>
        <w:shd w:val="clear" w:color="auto" w:fill="4F81BD" w:themeFill="accen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4F81BD" w:themeColor="accent1"/>
          <w:right w:val="single" w:sz="4" w:space="0" w:color="4F81BD" w:themeColor="accent1"/>
        </w:tcBorders>
      </w:tcPr>
    </w:tblStylePr>
    <w:tblStylePr w:type="band2Vert">
      <w:pPr>
        <w:snapToGrid/>
      </w:pPr>
    </w:tblStylePr>
    <w:tblStylePr w:type="band1Horz">
      <w:pPr>
        <w:snapToGrid/>
      </w:pPr>
      <w:rPr>
        <w:rFonts w:ascii="Arial" w:hAnsi="Arial"/>
        <w:color w:val="404040"/>
        <w:sz w:val="22"/>
      </w:rPr>
      <w:tblPr/>
      <w:tcPr>
        <w:tcBorders>
          <w:top w:val="single" w:sz="4" w:space="0" w:color="4F81BD" w:themeColor="accent1"/>
          <w:bottom w:val="single" w:sz="4" w:space="0" w:color="4F81BD" w:themeColor="accent1"/>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21">
    <w:name w:val="List Table 3 - Accent 21"/>
    <w:basedOn w:val="TableNormal"/>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pPr>
        <w:snapToGrid/>
      </w:pPr>
      <w:rPr>
        <w:rFonts w:ascii="Arial" w:hAnsi="Arial"/>
        <w:b/>
        <w:color w:val="FFFFFF"/>
        <w:sz w:val="22"/>
      </w:rPr>
      <w:tblPr/>
      <w:tcPr>
        <w:shd w:val="clear" w:color="auto" w:fill="D99695" w:themeFill="accent2" w:themeFillTint="97"/>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2Vert">
      <w:pPr>
        <w:snapToGrid/>
      </w:pPr>
    </w:tblStylePr>
    <w:tblStylePr w:type="band1Horz">
      <w:pPr>
        <w:snapToGrid/>
      </w:pPr>
      <w:rPr>
        <w:rFonts w:ascii="Arial" w:hAnsi="Arial"/>
        <w:color w:val="404040"/>
        <w:sz w:val="22"/>
      </w:rPr>
      <w:tblPr/>
      <w:tcPr>
        <w:tcBorders>
          <w:top w:val="single" w:sz="4" w:space="0" w:color="D99695" w:themeColor="accent2" w:themeTint="97"/>
          <w:bottom w:val="single" w:sz="4" w:space="0" w:color="D99695" w:themeColor="accent2" w:themeTint="9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31">
    <w:name w:val="List Table 3 - Accent 31"/>
    <w:basedOn w:val="TableNormal"/>
    <w:uiPriority w:val="99"/>
    <w:qFormat/>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pPr>
        <w:snapToGrid/>
      </w:pPr>
      <w:rPr>
        <w:rFonts w:ascii="Arial" w:hAnsi="Arial"/>
        <w:b/>
        <w:color w:val="FFFFFF"/>
        <w:sz w:val="22"/>
      </w:rPr>
      <w:tblPr/>
      <w:tcPr>
        <w:shd w:val="clear" w:color="auto" w:fill="C3D69B" w:themeFill="accent3" w:themeFillTint="98"/>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2Vert">
      <w:pPr>
        <w:snapToGrid/>
      </w:pPr>
    </w:tblStylePr>
    <w:tblStylePr w:type="band1Horz">
      <w:pPr>
        <w:snapToGrid/>
      </w:pPr>
      <w:rPr>
        <w:rFonts w:ascii="Arial" w:hAnsi="Arial"/>
        <w:color w:val="404040"/>
        <w:sz w:val="22"/>
      </w:rPr>
      <w:tblPr/>
      <w:tcPr>
        <w:tcBorders>
          <w:top w:val="single" w:sz="4" w:space="0" w:color="C3D69B" w:themeColor="accent3" w:themeTint="98"/>
          <w:bottom w:val="single" w:sz="4" w:space="0" w:color="C3D69B" w:themeColor="accent3" w:themeTint="98"/>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41">
    <w:name w:val="List Table 3 - Accent 41"/>
    <w:basedOn w:val="TableNormal"/>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pPr>
        <w:snapToGrid/>
      </w:pPr>
      <w:rPr>
        <w:rFonts w:ascii="Arial" w:hAnsi="Arial"/>
        <w:b/>
        <w:color w:val="FFFFFF"/>
        <w:sz w:val="22"/>
      </w:rPr>
      <w:tblPr/>
      <w:tcPr>
        <w:shd w:val="clear" w:color="auto" w:fill="B2A1C6" w:themeFill="accent4" w:themeFillTint="9A"/>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2Vert">
      <w:pPr>
        <w:snapToGrid/>
      </w:pPr>
    </w:tblStylePr>
    <w:tblStylePr w:type="band1Horz">
      <w:pPr>
        <w:snapToGrid/>
      </w:pPr>
      <w:rPr>
        <w:rFonts w:ascii="Arial" w:hAnsi="Arial"/>
        <w:color w:val="404040"/>
        <w:sz w:val="22"/>
      </w:rPr>
      <w:tblPr/>
      <w:tcPr>
        <w:tcBorders>
          <w:top w:val="single" w:sz="4" w:space="0" w:color="B2A1C6" w:themeColor="accent4" w:themeTint="9A"/>
          <w:bottom w:val="single" w:sz="4" w:space="0" w:color="B2A1C6" w:themeColor="accent4" w:themeTint="9A"/>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51">
    <w:name w:val="List Table 3 - Accent 51"/>
    <w:basedOn w:val="TableNormal"/>
    <w:uiPriority w:val="99"/>
    <w:qFormat/>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pPr>
        <w:snapToGrid/>
      </w:pPr>
      <w:rPr>
        <w:rFonts w:ascii="Arial" w:hAnsi="Arial"/>
        <w:b/>
        <w:color w:val="FFFFFF"/>
        <w:sz w:val="22"/>
      </w:rPr>
      <w:tblPr/>
      <w:tcPr>
        <w:shd w:val="clear" w:color="auto" w:fill="92CCDC" w:themeFill="accent5" w:themeFillTint="9A"/>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2Vert">
      <w:pPr>
        <w:snapToGrid/>
      </w:pPr>
    </w:tblStylePr>
    <w:tblStylePr w:type="band1Horz">
      <w:pPr>
        <w:snapToGrid/>
      </w:pPr>
      <w:rPr>
        <w:rFonts w:ascii="Arial" w:hAnsi="Arial"/>
        <w:color w:val="404040"/>
        <w:sz w:val="22"/>
      </w:rPr>
      <w:tblPr/>
      <w:tcPr>
        <w:tcBorders>
          <w:top w:val="single" w:sz="4" w:space="0" w:color="92CCDC" w:themeColor="accent5" w:themeTint="9A"/>
          <w:bottom w:val="single" w:sz="4" w:space="0" w:color="92CCDC" w:themeColor="accent5" w:themeTint="9A"/>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61">
    <w:name w:val="List Table 3 - Accent 61"/>
    <w:basedOn w:val="TableNormal"/>
    <w:uiPriority w:val="99"/>
    <w:qFormat/>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pPr>
        <w:snapToGrid/>
      </w:pPr>
      <w:rPr>
        <w:rFonts w:ascii="Arial" w:hAnsi="Arial"/>
        <w:b/>
        <w:color w:val="FFFFFF"/>
        <w:sz w:val="22"/>
      </w:rPr>
      <w:tblPr/>
      <w:tcPr>
        <w:shd w:val="clear" w:color="auto" w:fill="FAC090" w:themeFill="accent6" w:themeFillTint="98"/>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2Vert">
      <w:pPr>
        <w:snapToGrid/>
      </w:pPr>
    </w:tblStylePr>
    <w:tblStylePr w:type="band1Horz">
      <w:pPr>
        <w:snapToGrid/>
      </w:pPr>
      <w:rPr>
        <w:rFonts w:ascii="Arial" w:hAnsi="Arial"/>
        <w:color w:val="404040"/>
        <w:sz w:val="22"/>
      </w:rPr>
      <w:tblPr/>
      <w:tcPr>
        <w:tcBorders>
          <w:top w:val="single" w:sz="4" w:space="0" w:color="FAC090" w:themeColor="accent6" w:themeTint="98"/>
          <w:bottom w:val="single" w:sz="4" w:space="0" w:color="FAC090" w:themeColor="accent6" w:themeTint="98"/>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11">
    <w:name w:val="List Table 4 - Accent 11"/>
    <w:basedOn w:val="TableNormal"/>
    <w:uiPriority w:val="9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pPr>
        <w:snapToGrid/>
      </w:pPr>
      <w:rPr>
        <w:rFonts w:ascii="Arial" w:hAnsi="Arial"/>
        <w:b/>
        <w:color w:val="FFFFFF"/>
        <w:sz w:val="22"/>
      </w:rPr>
      <w:tblPr/>
      <w:tcPr>
        <w:shd w:val="clear" w:color="auto" w:fill="4F81BD" w:themeFill="accen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2DFEE" w:themeFill="accent1" w:themeFillTint="40"/>
      </w:tcPr>
    </w:tblStylePr>
    <w:tblStylePr w:type="band2Vert">
      <w:pPr>
        <w:snapToGrid/>
      </w:pPr>
    </w:tblStylePr>
    <w:tblStylePr w:type="band1Horz">
      <w:pPr>
        <w:snapToGrid/>
      </w:pPr>
      <w:rPr>
        <w:rFonts w:ascii="Arial" w:hAnsi="Arial"/>
        <w:color w:val="404040"/>
        <w:sz w:val="22"/>
      </w:rPr>
      <w:tbl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21">
    <w:name w:val="List Table 4 - Accent 21"/>
    <w:basedOn w:val="TableNormal"/>
    <w:uiPriority w:val="9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pPr>
        <w:snapToGrid/>
      </w:pPr>
      <w:rPr>
        <w:rFonts w:ascii="Arial" w:hAnsi="Arial"/>
        <w:b/>
        <w:color w:val="FFFFFF"/>
        <w:sz w:val="22"/>
      </w:rPr>
      <w:tblPr/>
      <w:tcPr>
        <w:shd w:val="clear" w:color="auto" w:fill="C0504D" w:themeFill="accent2"/>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FD2D2" w:themeFill="accent2" w:themeFillTint="40"/>
      </w:tcPr>
    </w:tblStylePr>
    <w:tblStylePr w:type="band2Vert">
      <w:pPr>
        <w:snapToGrid/>
      </w:pPr>
    </w:tblStylePr>
    <w:tblStylePr w:type="band1Horz">
      <w:pPr>
        <w:snapToGrid/>
      </w:pPr>
      <w:rPr>
        <w:rFonts w:ascii="Arial" w:hAnsi="Arial"/>
        <w:color w:val="404040"/>
        <w:sz w:val="22"/>
      </w:rPr>
      <w:tblPr/>
      <w:tcPr>
        <w:shd w:val="clear" w:color="auto" w:fill="EFD2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31">
    <w:name w:val="List Table 4 - Accent 31"/>
    <w:basedOn w:val="TableNormal"/>
    <w:uiPriority w:val="9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pPr>
        <w:snapToGrid/>
      </w:pPr>
      <w:rPr>
        <w:rFonts w:ascii="Arial" w:hAnsi="Arial"/>
        <w:b/>
        <w:color w:val="FFFFFF"/>
        <w:sz w:val="22"/>
      </w:rPr>
      <w:tblPr/>
      <w:tcPr>
        <w:shd w:val="clear" w:color="auto" w:fill="9BBB59" w:themeFill="accent3"/>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5EED5" w:themeFill="accent3" w:themeFillTint="40"/>
      </w:tcPr>
    </w:tblStylePr>
    <w:tblStylePr w:type="band2Vert">
      <w:pPr>
        <w:snapToGrid/>
      </w:pPr>
    </w:tblStylePr>
    <w:tblStylePr w:type="band1Horz">
      <w:pPr>
        <w:snapToGrid/>
      </w:pPr>
      <w:rPr>
        <w:rFonts w:ascii="Arial" w:hAnsi="Arial"/>
        <w:color w:val="404040"/>
        <w:sz w:val="22"/>
      </w:rPr>
      <w:tblPr/>
      <w:tcPr>
        <w:shd w:val="clear" w:color="auto" w:fill="E5EE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41">
    <w:name w:val="List Table 4 - Accent 41"/>
    <w:basedOn w:val="TableNormal"/>
    <w:uiPriority w:val="9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pPr>
        <w:snapToGrid/>
      </w:pPr>
      <w:rPr>
        <w:rFonts w:ascii="Arial" w:hAnsi="Arial"/>
        <w:b/>
        <w:color w:val="FFFFFF"/>
        <w:sz w:val="22"/>
      </w:rPr>
      <w:tblPr/>
      <w:tcPr>
        <w:shd w:val="clear" w:color="auto" w:fill="8064A2" w:themeFill="accent4"/>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FD8E7" w:themeFill="accent4" w:themeFillTint="40"/>
      </w:tcPr>
    </w:tblStylePr>
    <w:tblStylePr w:type="band2Vert">
      <w:pPr>
        <w:snapToGrid/>
      </w:pPr>
    </w:tblStylePr>
    <w:tblStylePr w:type="band1Horz">
      <w:pPr>
        <w:snapToGrid/>
      </w:pPr>
      <w:rPr>
        <w:rFonts w:ascii="Arial" w:hAnsi="Arial"/>
        <w:color w:val="404040"/>
        <w:sz w:val="22"/>
      </w:rPr>
      <w:tbl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51">
    <w:name w:val="List Table 4 - Accent 51"/>
    <w:basedOn w:val="TableNormal"/>
    <w:uiPriority w:val="9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pPr>
        <w:snapToGrid/>
      </w:pPr>
      <w:rPr>
        <w:rFonts w:ascii="Arial" w:hAnsi="Arial"/>
        <w:b/>
        <w:color w:val="FFFFFF"/>
        <w:sz w:val="22"/>
      </w:rPr>
      <w:tblPr/>
      <w:tcPr>
        <w:shd w:val="clear" w:color="auto" w:fill="4BACC6" w:themeFill="accent5"/>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1EAF0" w:themeFill="accent5" w:themeFillTint="40"/>
      </w:tcPr>
    </w:tblStylePr>
    <w:tblStylePr w:type="band2Vert">
      <w:pPr>
        <w:snapToGrid/>
      </w:pPr>
    </w:tblStylePr>
    <w:tblStylePr w:type="band1Horz">
      <w:pPr>
        <w:snapToGrid/>
      </w:pPr>
      <w:rPr>
        <w:rFonts w:ascii="Arial" w:hAnsi="Arial"/>
        <w:color w:val="404040"/>
        <w:sz w:val="22"/>
      </w:rPr>
      <w:tbl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61">
    <w:name w:val="List Table 4 - Accent 61"/>
    <w:basedOn w:val="TableNormal"/>
    <w:uiPriority w:val="9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pPr>
        <w:snapToGrid/>
      </w:pPr>
      <w:rPr>
        <w:rFonts w:ascii="Arial" w:hAnsi="Arial"/>
        <w:b/>
        <w:color w:val="FFFFFF"/>
        <w:sz w:val="22"/>
      </w:rPr>
      <w:tblPr/>
      <w:tcPr>
        <w:shd w:val="clear" w:color="auto" w:fill="F79646" w:themeFill="accent6"/>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DE4D0" w:themeFill="accent6" w:themeFillTint="40"/>
      </w:tcPr>
    </w:tblStylePr>
    <w:tblStylePr w:type="band2Vert">
      <w:pPr>
        <w:snapToGrid/>
      </w:pPr>
    </w:tblStylePr>
    <w:tblStylePr w:type="band1Horz">
      <w:pPr>
        <w:snapToGrid/>
      </w:pPr>
      <w:rPr>
        <w:rFonts w:ascii="Arial" w:hAnsi="Arial"/>
        <w:color w:val="404040"/>
        <w:sz w:val="22"/>
      </w:rPr>
      <w:tblPr/>
      <w:tcPr>
        <w:shd w:val="clear" w:color="auto" w:fill="FD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11">
    <w:name w:val="List Table 5 Dark - Accent 11"/>
    <w:basedOn w:val="TableNormal"/>
    <w:uiPriority w:val="99"/>
    <w:qFormat/>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pPr>
        <w:snapToGrid/>
      </w:pPr>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pPr>
        <w:snapToGrid/>
      </w:pPr>
      <w:tblPr/>
      <w:tcPr>
        <w:tcBorders>
          <w:left w:val="single" w:sz="4" w:space="0" w:color="FFFFFF" w:themeColor="light1"/>
          <w:right w:val="single" w:sz="32" w:space="0" w:color="4F81BD" w:themeColor="accent1"/>
        </w:tcBorders>
      </w:tcPr>
    </w:tblStylePr>
    <w:tblStylePr w:type="band1Vert">
      <w:pPr>
        <w:snapToGrid/>
      </w:pPr>
      <w:tblPr/>
      <w:tcPr>
        <w:tcBorders>
          <w:left w:val="single" w:sz="4" w:space="0" w:color="FFFFFF" w:themeColor="light1"/>
          <w:right w:val="single" w:sz="4" w:space="0" w:color="FFFFFF" w:themeColor="light1"/>
        </w:tcBorders>
        <w:shd w:val="clear" w:color="auto" w:fill="4F81BD" w:themeFill="accent1"/>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4F81BD" w:themeFill="accent1"/>
      </w:tcPr>
    </w:tblStylePr>
    <w:tblStylePr w:type="band2Horz">
      <w:pPr>
        <w:snapToGrid/>
      </w:pPr>
      <w:tblPr/>
      <w:tcPr>
        <w:tcBorders>
          <w:top w:val="single" w:sz="4" w:space="0" w:color="FFFFFF" w:themeColor="light1"/>
          <w:bottom w:val="single" w:sz="4" w:space="0" w:color="FFFFFF" w:themeColor="light1"/>
        </w:tcBorders>
        <w:shd w:val="clear" w:color="auto" w:fill="4F81BD" w:themeFill="accent1"/>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21">
    <w:name w:val="List Table 5 Dark - Accent 21"/>
    <w:basedOn w:val="TableNormal"/>
    <w:uiPriority w:val="99"/>
    <w:qFormat/>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pPr>
        <w:snapToGrid/>
      </w:pPr>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pPr>
        <w:snapToGrid/>
      </w:pPr>
      <w:tblPr/>
      <w:tcPr>
        <w:tcBorders>
          <w:left w:val="single" w:sz="4" w:space="0" w:color="FFFFFF" w:themeColor="light1"/>
          <w:right w:val="single" w:sz="32" w:space="0" w:color="D99695" w:themeColor="accent2" w:themeTint="97"/>
        </w:tcBorders>
      </w:tcPr>
    </w:tblStylePr>
    <w:tblStylePr w:type="band1Vert">
      <w:pPr>
        <w:snapToGrid/>
      </w:pPr>
      <w:tblPr/>
      <w:tcPr>
        <w:tcBorders>
          <w:left w:val="single" w:sz="4" w:space="0" w:color="FFFFFF" w:themeColor="light1"/>
          <w:right w:val="single" w:sz="4" w:space="0" w:color="FFFFFF" w:themeColor="light1"/>
        </w:tcBorders>
        <w:shd w:val="clear" w:color="auto" w:fill="D99695" w:themeFill="accent2" w:themeFillTint="97"/>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D99695" w:themeFill="accent2" w:themeFillTint="97"/>
      </w:tcPr>
    </w:tblStylePr>
    <w:tblStylePr w:type="band2Horz">
      <w:pPr>
        <w:snapToGrid/>
      </w:pPr>
      <w:tblPr/>
      <w:tcPr>
        <w:tcBorders>
          <w:top w:val="single" w:sz="4" w:space="0" w:color="FFFFFF" w:themeColor="light1"/>
          <w:bottom w:val="single" w:sz="4" w:space="0" w:color="FFFFFF" w:themeColor="light1"/>
        </w:tcBorders>
        <w:shd w:val="clear" w:color="auto" w:fill="D99695" w:themeFill="accent2" w:themeFillTint="97"/>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31">
    <w:name w:val="List Table 5 Dark - Accent 31"/>
    <w:basedOn w:val="TableNormal"/>
    <w:uiPriority w:val="99"/>
    <w:qFormat/>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pPr>
        <w:snapToGrid/>
      </w:pPr>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pPr>
        <w:snapToGrid/>
      </w:pPr>
      <w:tblPr/>
      <w:tcPr>
        <w:tcBorders>
          <w:left w:val="single" w:sz="4" w:space="0" w:color="FFFFFF" w:themeColor="light1"/>
          <w:right w:val="single" w:sz="32" w:space="0" w:color="C3D69B" w:themeColor="accent3" w:themeTint="98"/>
        </w:tcBorders>
      </w:tcPr>
    </w:tblStylePr>
    <w:tblStylePr w:type="band1Vert">
      <w:pPr>
        <w:snapToGrid/>
      </w:pPr>
      <w:tblPr/>
      <w:tcPr>
        <w:tcBorders>
          <w:left w:val="single" w:sz="4" w:space="0" w:color="FFFFFF" w:themeColor="light1"/>
          <w:right w:val="single" w:sz="4" w:space="0" w:color="FFFFFF" w:themeColor="light1"/>
        </w:tcBorders>
        <w:shd w:val="clear" w:color="auto" w:fill="C3D69B" w:themeFill="accent3" w:themeFillTint="98"/>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C3D69B" w:themeFill="accent3" w:themeFillTint="98"/>
      </w:tcPr>
    </w:tblStylePr>
    <w:tblStylePr w:type="band2Horz">
      <w:pPr>
        <w:snapToGrid/>
      </w:pPr>
      <w:tblPr/>
      <w:tcPr>
        <w:tcBorders>
          <w:top w:val="single" w:sz="4" w:space="0" w:color="FFFFFF" w:themeColor="light1"/>
          <w:bottom w:val="single" w:sz="4" w:space="0" w:color="FFFFFF" w:themeColor="light1"/>
        </w:tcBorders>
        <w:shd w:val="clear" w:color="auto" w:fill="C3D69B" w:themeFill="accent3" w:themeFillTint="98"/>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41">
    <w:name w:val="List Table 5 Dark - Accent 41"/>
    <w:basedOn w:val="TableNormal"/>
    <w:uiPriority w:val="99"/>
    <w:qFormat/>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pPr>
        <w:snapToGrid/>
      </w:pPr>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pPr>
        <w:snapToGrid/>
      </w:pPr>
      <w:tblPr/>
      <w:tcPr>
        <w:tcBorders>
          <w:left w:val="single" w:sz="4" w:space="0" w:color="FFFFFF" w:themeColor="light1"/>
          <w:right w:val="single" w:sz="32" w:space="0" w:color="B2A1C6" w:themeColor="accent4" w:themeTint="9A"/>
        </w:tcBorders>
      </w:tcPr>
    </w:tblStylePr>
    <w:tblStylePr w:type="band1Vert">
      <w:pPr>
        <w:snapToGrid/>
      </w:pPr>
      <w:tblPr/>
      <w:tcPr>
        <w:tcBorders>
          <w:left w:val="single" w:sz="4" w:space="0" w:color="FFFFFF" w:themeColor="light1"/>
          <w:right w:val="single" w:sz="4" w:space="0" w:color="FFFFFF" w:themeColor="light1"/>
        </w:tcBorders>
        <w:shd w:val="clear" w:color="auto" w:fill="B2A1C6" w:themeFill="accent4" w:themeFillTint="9A"/>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B2A1C6" w:themeFill="accent4" w:themeFillTint="9A"/>
      </w:tcPr>
    </w:tblStylePr>
    <w:tblStylePr w:type="band2Horz">
      <w:pPr>
        <w:snapToGrid/>
      </w:pPr>
      <w:tblPr/>
      <w:tcPr>
        <w:tcBorders>
          <w:top w:val="single" w:sz="4" w:space="0" w:color="FFFFFF" w:themeColor="light1"/>
          <w:bottom w:val="single" w:sz="4" w:space="0" w:color="FFFFFF" w:themeColor="light1"/>
        </w:tcBorders>
        <w:shd w:val="clear" w:color="auto" w:fill="B2A1C6" w:themeFill="accent4" w:themeFillTint="9A"/>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51">
    <w:name w:val="List Table 5 Dark - Accent 51"/>
    <w:basedOn w:val="TableNormal"/>
    <w:uiPriority w:val="99"/>
    <w:qFormat/>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pPr>
        <w:snapToGrid/>
      </w:pPr>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pPr>
        <w:snapToGrid/>
      </w:pPr>
      <w:tblPr/>
      <w:tcPr>
        <w:tcBorders>
          <w:left w:val="single" w:sz="4" w:space="0" w:color="FFFFFF" w:themeColor="light1"/>
          <w:right w:val="single" w:sz="32" w:space="0" w:color="92CCDC" w:themeColor="accent5" w:themeTint="9A"/>
        </w:tcBorders>
      </w:tcPr>
    </w:tblStylePr>
    <w:tblStylePr w:type="band1Vert">
      <w:pPr>
        <w:snapToGrid/>
      </w:pPr>
      <w:tblPr/>
      <w:tcPr>
        <w:tcBorders>
          <w:left w:val="single" w:sz="4" w:space="0" w:color="FFFFFF" w:themeColor="light1"/>
          <w:right w:val="single" w:sz="4" w:space="0" w:color="FFFFFF" w:themeColor="light1"/>
        </w:tcBorders>
        <w:shd w:val="clear" w:color="auto" w:fill="92CCDC" w:themeFill="accent5" w:themeFillTint="9A"/>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92CCDC" w:themeFill="accent5" w:themeFillTint="9A"/>
      </w:tcPr>
    </w:tblStylePr>
    <w:tblStylePr w:type="band2Horz">
      <w:pPr>
        <w:snapToGrid/>
      </w:pPr>
      <w:tblPr/>
      <w:tcPr>
        <w:tcBorders>
          <w:top w:val="single" w:sz="4" w:space="0" w:color="FFFFFF" w:themeColor="light1"/>
          <w:bottom w:val="single" w:sz="4" w:space="0" w:color="FFFFFF" w:themeColor="light1"/>
        </w:tcBorders>
        <w:shd w:val="clear" w:color="auto" w:fill="92CCDC" w:themeFill="accent5" w:themeFillTint="9A"/>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61">
    <w:name w:val="List Table 5 Dark - Accent 61"/>
    <w:basedOn w:val="TableNormal"/>
    <w:uiPriority w:val="99"/>
    <w:qFormat/>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pPr>
        <w:snapToGrid/>
      </w:pPr>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pPr>
        <w:snapToGrid/>
      </w:pPr>
      <w:tblPr/>
      <w:tcPr>
        <w:tcBorders>
          <w:left w:val="single" w:sz="4" w:space="0" w:color="FFFFFF" w:themeColor="light1"/>
          <w:right w:val="single" w:sz="32" w:space="0" w:color="FAC090" w:themeColor="accent6" w:themeTint="98"/>
        </w:tcBorders>
      </w:tcPr>
    </w:tblStylePr>
    <w:tblStylePr w:type="band1Vert">
      <w:pPr>
        <w:snapToGrid/>
      </w:pPr>
      <w:tblPr/>
      <w:tcPr>
        <w:tcBorders>
          <w:left w:val="single" w:sz="4" w:space="0" w:color="FFFFFF" w:themeColor="light1"/>
          <w:right w:val="single" w:sz="4" w:space="0" w:color="FFFFFF" w:themeColor="light1"/>
        </w:tcBorders>
        <w:shd w:val="clear" w:color="auto" w:fill="FAC090" w:themeFill="accent6" w:themeFillTint="98"/>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FAC090" w:themeFill="accent6" w:themeFillTint="98"/>
      </w:tcPr>
    </w:tblStylePr>
    <w:tblStylePr w:type="band2Horz">
      <w:pPr>
        <w:snapToGrid/>
      </w:pPr>
      <w:tblPr/>
      <w:tcPr>
        <w:tcBorders>
          <w:top w:val="single" w:sz="4" w:space="0" w:color="FFFFFF" w:themeColor="light1"/>
          <w:bottom w:val="single" w:sz="4" w:space="0" w:color="FFFFFF" w:themeColor="light1"/>
        </w:tcBorders>
        <w:shd w:val="clear" w:color="auto" w:fill="FAC090" w:themeFill="accent6" w:themeFillTint="98"/>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11">
    <w:name w:val="List Table 6 Colorful - Accent 11"/>
    <w:basedOn w:val="TableNormal"/>
    <w:uiPriority w:val="99"/>
    <w:qFormat/>
    <w:tblPr>
      <w:tblBorders>
        <w:top w:val="single" w:sz="4" w:space="0" w:color="4F81BD" w:themeColor="accent1"/>
        <w:bottom w:val="single" w:sz="4" w:space="0" w:color="4F81BD" w:themeColor="accent1"/>
      </w:tblBorders>
    </w:tblPr>
    <w:tblStylePr w:type="firstRow">
      <w:pPr>
        <w:snapToGrid/>
      </w:pPr>
      <w:rPr>
        <w:b/>
        <w:color w:val="2A4A70" w:themeColor="accent1" w:themeShade="94"/>
      </w:rPr>
      <w:tblPr/>
      <w:tcPr>
        <w:tcBorders>
          <w:bottom w:val="single" w:sz="4" w:space="0" w:color="4F81BD" w:themeColor="accent1"/>
        </w:tcBorders>
      </w:tcPr>
    </w:tblStylePr>
    <w:tblStylePr w:type="lastRow">
      <w:pPr>
        <w:snapToGrid/>
      </w:pPr>
      <w:rPr>
        <w:b/>
        <w:color w:val="2A4A70" w:themeColor="accent1" w:themeShade="94"/>
      </w:rPr>
      <w:tblPr/>
      <w:tcPr>
        <w:tcBorders>
          <w:top w:val="single" w:sz="4" w:space="0" w:color="4F81BD" w:themeColor="accent1"/>
        </w:tcBorders>
      </w:tcPr>
    </w:tblStylePr>
    <w:tblStylePr w:type="firstCol">
      <w:pPr>
        <w:snapToGrid/>
      </w:pPr>
      <w:rPr>
        <w:b/>
        <w:color w:val="2A4A70" w:themeColor="accent1" w:themeShade="94"/>
      </w:rPr>
    </w:tblStylePr>
    <w:tblStylePr w:type="lastCol">
      <w:pPr>
        <w:snapToGrid/>
      </w:pPr>
      <w:rPr>
        <w:b/>
        <w:color w:val="2A4A70" w:themeColor="accent1" w:themeShade="94"/>
      </w:rPr>
    </w:tblStylePr>
    <w:tblStylePr w:type="band1Vert">
      <w:pPr>
        <w:snapToGrid/>
      </w:pPr>
      <w:tblPr/>
      <w:tcPr>
        <w:shd w:val="clear" w:color="auto" w:fill="D2DFEE" w:themeFill="accent1" w:themeFillTint="40"/>
      </w:tcPr>
    </w:tblStylePr>
    <w:tblStylePr w:type="band2Vert">
      <w:pPr>
        <w:snapToGrid/>
      </w:pPr>
    </w:tblStylePr>
    <w:tblStylePr w:type="band1Horz">
      <w:pPr>
        <w:snapToGrid/>
      </w:pPr>
      <w:rPr>
        <w:rFonts w:ascii="Arial" w:hAnsi="Arial"/>
        <w:color w:val="2A4A70" w:themeColor="accent1" w:themeShade="94"/>
        <w:sz w:val="22"/>
      </w:rPr>
      <w:tblPr/>
      <w:tcPr>
        <w:shd w:val="clear" w:color="auto" w:fill="D2DFEE" w:themeFill="accent1" w:themeFillTint="40"/>
      </w:tcPr>
    </w:tblStylePr>
    <w:tblStylePr w:type="band2Horz">
      <w:pPr>
        <w:snapToGrid/>
      </w:pPr>
      <w:rPr>
        <w:rFonts w:ascii="Arial" w:hAnsi="Arial"/>
        <w:color w:val="2A4A70" w:themeColor="accent1"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21">
    <w:name w:val="List Table 6 Colorful - Accent 21"/>
    <w:basedOn w:val="TableNormal"/>
    <w:uiPriority w:val="99"/>
    <w:qFormat/>
    <w:tblPr>
      <w:tblBorders>
        <w:top w:val="single" w:sz="4" w:space="0" w:color="D99695" w:themeColor="accent2" w:themeTint="97"/>
        <w:bottom w:val="single" w:sz="4" w:space="0" w:color="D99695" w:themeColor="accent2" w:themeTint="97"/>
      </w:tblBorders>
    </w:tblPr>
    <w:tblStylePr w:type="firstRow">
      <w:pPr>
        <w:snapToGrid/>
      </w:pPr>
      <w:rPr>
        <w:b/>
        <w:color w:val="DA9796" w:themeColor="accent2" w:themeTint="96"/>
      </w:rPr>
      <w:tblPr/>
      <w:tcPr>
        <w:tcBorders>
          <w:bottom w:val="single" w:sz="4" w:space="0" w:color="D99695" w:themeColor="accent2" w:themeTint="97"/>
        </w:tcBorders>
      </w:tcPr>
    </w:tblStylePr>
    <w:tblStylePr w:type="lastRow">
      <w:pPr>
        <w:snapToGrid/>
      </w:pPr>
      <w:rPr>
        <w:b/>
        <w:color w:val="DA9796" w:themeColor="accent2" w:themeTint="96"/>
      </w:rPr>
      <w:tblPr/>
      <w:tcPr>
        <w:tcBorders>
          <w:top w:val="single" w:sz="4" w:space="0" w:color="D99695" w:themeColor="accent2" w:themeTint="97"/>
        </w:tcBorders>
      </w:tcPr>
    </w:tblStylePr>
    <w:tblStylePr w:type="firstCol">
      <w:pPr>
        <w:snapToGrid/>
      </w:pPr>
      <w:rPr>
        <w:b/>
        <w:color w:val="DA9796" w:themeColor="accent2" w:themeTint="96"/>
      </w:rPr>
    </w:tblStylePr>
    <w:tblStylePr w:type="lastCol">
      <w:pPr>
        <w:snapToGrid/>
      </w:pPr>
      <w:rPr>
        <w:b/>
        <w:color w:val="DA9796" w:themeColor="accent2" w:themeTint="96"/>
      </w:rPr>
    </w:tblStylePr>
    <w:tblStylePr w:type="band1Vert">
      <w:pPr>
        <w:snapToGrid/>
      </w:pPr>
      <w:tblPr/>
      <w:tcPr>
        <w:shd w:val="clear" w:color="auto" w:fill="EFD2D2" w:themeFill="accent2" w:themeFillTint="40"/>
      </w:tcPr>
    </w:tblStylePr>
    <w:tblStylePr w:type="band2Vert">
      <w:pPr>
        <w:snapToGrid/>
      </w:pPr>
    </w:tblStylePr>
    <w:tblStylePr w:type="band1Horz">
      <w:pPr>
        <w:snapToGrid/>
      </w:pPr>
      <w:rPr>
        <w:rFonts w:ascii="Arial" w:hAnsi="Arial"/>
        <w:color w:val="DA9796" w:themeColor="accent2" w:themeTint="96"/>
        <w:sz w:val="22"/>
      </w:rPr>
      <w:tblPr/>
      <w:tcPr>
        <w:shd w:val="clear" w:color="auto" w:fill="EFD2D2" w:themeFill="accent2" w:themeFillTint="40"/>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31">
    <w:name w:val="List Table 6 Colorful - Accent 31"/>
    <w:basedOn w:val="TableNormal"/>
    <w:uiPriority w:val="99"/>
    <w:qFormat/>
    <w:tblPr>
      <w:tblBorders>
        <w:top w:val="single" w:sz="4" w:space="0" w:color="C3D69B" w:themeColor="accent3" w:themeTint="98"/>
        <w:bottom w:val="single" w:sz="4" w:space="0" w:color="C3D69B" w:themeColor="accent3" w:themeTint="98"/>
      </w:tblBorders>
    </w:tblPr>
    <w:tblStylePr w:type="firstRow">
      <w:pPr>
        <w:snapToGrid/>
      </w:pPr>
      <w:rPr>
        <w:b/>
        <w:color w:val="C2D69B" w:themeColor="accent3" w:themeTint="99"/>
      </w:rPr>
      <w:tblPr/>
      <w:tcPr>
        <w:tcBorders>
          <w:bottom w:val="single" w:sz="4" w:space="0" w:color="C3D69B" w:themeColor="accent3" w:themeTint="98"/>
        </w:tcBorders>
      </w:tcPr>
    </w:tblStylePr>
    <w:tblStylePr w:type="lastRow">
      <w:pPr>
        <w:snapToGrid/>
      </w:pPr>
      <w:rPr>
        <w:b/>
        <w:color w:val="C2D69B" w:themeColor="accent3" w:themeTint="99"/>
      </w:rPr>
      <w:tblPr/>
      <w:tcPr>
        <w:tcBorders>
          <w:top w:val="single" w:sz="4" w:space="0" w:color="C3D69B" w:themeColor="accent3" w:themeTint="98"/>
        </w:tcBorders>
      </w:tcPr>
    </w:tblStylePr>
    <w:tblStylePr w:type="firstCol">
      <w:pPr>
        <w:snapToGrid/>
      </w:pPr>
      <w:rPr>
        <w:b/>
        <w:color w:val="C2D69B" w:themeColor="accent3" w:themeTint="99"/>
      </w:rPr>
    </w:tblStylePr>
    <w:tblStylePr w:type="lastCol">
      <w:pPr>
        <w:snapToGrid/>
      </w:pPr>
      <w:rPr>
        <w:b/>
        <w:color w:val="C2D69B" w:themeColor="accent3" w:themeTint="99"/>
      </w:rPr>
    </w:tblStylePr>
    <w:tblStylePr w:type="band1Vert">
      <w:pPr>
        <w:snapToGrid/>
      </w:pPr>
      <w:tblPr/>
      <w:tcPr>
        <w:shd w:val="clear" w:color="auto" w:fill="E5EED5" w:themeFill="accent3" w:themeFillTint="40"/>
      </w:tcPr>
    </w:tblStylePr>
    <w:tblStylePr w:type="band2Vert">
      <w:pPr>
        <w:snapToGrid/>
      </w:pPr>
    </w:tblStylePr>
    <w:tblStylePr w:type="band1Horz">
      <w:pPr>
        <w:snapToGrid/>
      </w:pPr>
      <w:rPr>
        <w:rFonts w:ascii="Arial" w:hAnsi="Arial"/>
        <w:color w:val="C2D69B" w:themeColor="accent3" w:themeTint="99"/>
        <w:sz w:val="22"/>
      </w:rPr>
      <w:tblPr/>
      <w:tcPr>
        <w:shd w:val="clear" w:color="auto" w:fill="E5EED5" w:themeFill="accent3" w:themeFillTint="40"/>
      </w:tcPr>
    </w:tblStylePr>
    <w:tblStylePr w:type="band2Horz">
      <w:pPr>
        <w:snapToGrid/>
      </w:pPr>
      <w:rPr>
        <w:rFonts w:ascii="Arial" w:hAnsi="Arial"/>
        <w:color w:val="C2D69B" w:themeColor="accent3"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41">
    <w:name w:val="List Table 6 Colorful - Accent 41"/>
    <w:basedOn w:val="TableNormal"/>
    <w:uiPriority w:val="99"/>
    <w:qFormat/>
    <w:tblPr>
      <w:tblBorders>
        <w:top w:val="single" w:sz="4" w:space="0" w:color="B2A1C6" w:themeColor="accent4" w:themeTint="9A"/>
        <w:bottom w:val="single" w:sz="4" w:space="0" w:color="B2A1C6" w:themeColor="accent4" w:themeTint="9A"/>
      </w:tblBorders>
    </w:tblPr>
    <w:tblStylePr w:type="firstRow">
      <w:pPr>
        <w:snapToGrid/>
      </w:pPr>
      <w:rPr>
        <w:b/>
        <w:color w:val="B2A1C7" w:themeColor="accent4" w:themeTint="99"/>
      </w:rPr>
      <w:tblPr/>
      <w:tcPr>
        <w:tcBorders>
          <w:bottom w:val="single" w:sz="4" w:space="0" w:color="B2A1C6" w:themeColor="accent4" w:themeTint="9A"/>
        </w:tcBorders>
      </w:tcPr>
    </w:tblStylePr>
    <w:tblStylePr w:type="lastRow">
      <w:pPr>
        <w:snapToGrid/>
      </w:pPr>
      <w:rPr>
        <w:b/>
        <w:color w:val="B2A1C7" w:themeColor="accent4" w:themeTint="99"/>
      </w:rPr>
      <w:tblPr/>
      <w:tcPr>
        <w:tcBorders>
          <w:top w:val="single" w:sz="4" w:space="0" w:color="B2A1C6" w:themeColor="accent4" w:themeTint="9A"/>
        </w:tcBorders>
      </w:tcPr>
    </w:tblStylePr>
    <w:tblStylePr w:type="firstCol">
      <w:pPr>
        <w:snapToGrid/>
      </w:pPr>
      <w:rPr>
        <w:b/>
        <w:color w:val="B2A1C7" w:themeColor="accent4" w:themeTint="99"/>
      </w:rPr>
    </w:tblStylePr>
    <w:tblStylePr w:type="lastCol">
      <w:pPr>
        <w:snapToGrid/>
      </w:pPr>
      <w:rPr>
        <w:b/>
        <w:color w:val="B2A1C7" w:themeColor="accent4" w:themeTint="99"/>
      </w:rPr>
    </w:tblStylePr>
    <w:tblStylePr w:type="band1Vert">
      <w:pPr>
        <w:snapToGrid/>
      </w:pPr>
      <w:tblPr/>
      <w:tcPr>
        <w:shd w:val="clear" w:color="auto" w:fill="DFD8E7" w:themeFill="accent4" w:themeFillTint="40"/>
      </w:tcPr>
    </w:tblStylePr>
    <w:tblStylePr w:type="band2Vert">
      <w:pPr>
        <w:snapToGrid/>
      </w:pPr>
    </w:tblStylePr>
    <w:tblStylePr w:type="band1Horz">
      <w:pPr>
        <w:snapToGrid/>
      </w:pPr>
      <w:rPr>
        <w:rFonts w:ascii="Arial" w:hAnsi="Arial"/>
        <w:color w:val="B2A1C7" w:themeColor="accent4" w:themeTint="99"/>
        <w:sz w:val="22"/>
      </w:rPr>
      <w:tblPr/>
      <w:tcPr>
        <w:shd w:val="clear" w:color="auto" w:fill="DFD8E7" w:themeFill="accent4" w:themeFillTint="40"/>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51">
    <w:name w:val="List Table 6 Colorful - Accent 51"/>
    <w:basedOn w:val="TableNormal"/>
    <w:uiPriority w:val="99"/>
    <w:qFormat/>
    <w:tblPr>
      <w:tblBorders>
        <w:top w:val="single" w:sz="4" w:space="0" w:color="92CCDC" w:themeColor="accent5" w:themeTint="9A"/>
        <w:bottom w:val="single" w:sz="4" w:space="0" w:color="92CCDC" w:themeColor="accent5" w:themeTint="9A"/>
      </w:tblBorders>
    </w:tblPr>
    <w:tblStylePr w:type="firstRow">
      <w:pPr>
        <w:snapToGrid/>
      </w:pPr>
      <w:rPr>
        <w:b/>
        <w:color w:val="92CDDC" w:themeColor="accent5" w:themeTint="99"/>
      </w:rPr>
      <w:tblPr/>
      <w:tcPr>
        <w:tcBorders>
          <w:bottom w:val="single" w:sz="4" w:space="0" w:color="92CCDC" w:themeColor="accent5" w:themeTint="9A"/>
        </w:tcBorders>
      </w:tcPr>
    </w:tblStylePr>
    <w:tblStylePr w:type="lastRow">
      <w:pPr>
        <w:snapToGrid/>
      </w:pPr>
      <w:rPr>
        <w:b/>
        <w:color w:val="92CDDC" w:themeColor="accent5" w:themeTint="99"/>
      </w:rPr>
      <w:tblPr/>
      <w:tcPr>
        <w:tcBorders>
          <w:top w:val="single" w:sz="4" w:space="0" w:color="92CCDC" w:themeColor="accent5" w:themeTint="9A"/>
        </w:tcBorders>
      </w:tcPr>
    </w:tblStylePr>
    <w:tblStylePr w:type="firstCol">
      <w:pPr>
        <w:snapToGrid/>
      </w:pPr>
      <w:rPr>
        <w:b/>
        <w:color w:val="92CDDC" w:themeColor="accent5" w:themeTint="99"/>
      </w:rPr>
    </w:tblStylePr>
    <w:tblStylePr w:type="lastCol">
      <w:pPr>
        <w:snapToGrid/>
      </w:pPr>
      <w:rPr>
        <w:b/>
        <w:color w:val="92CDDC" w:themeColor="accent5" w:themeTint="99"/>
      </w:rPr>
    </w:tblStylePr>
    <w:tblStylePr w:type="band1Vert">
      <w:pPr>
        <w:snapToGrid/>
      </w:pPr>
      <w:tblPr/>
      <w:tcPr>
        <w:shd w:val="clear" w:color="auto" w:fill="D1EAF0" w:themeFill="accent5" w:themeFillTint="40"/>
      </w:tcPr>
    </w:tblStylePr>
    <w:tblStylePr w:type="band2Vert">
      <w:pPr>
        <w:snapToGrid/>
      </w:pPr>
    </w:tblStylePr>
    <w:tblStylePr w:type="band1Horz">
      <w:pPr>
        <w:snapToGrid/>
      </w:pPr>
      <w:rPr>
        <w:rFonts w:ascii="Arial" w:hAnsi="Arial"/>
        <w:color w:val="92CDDC" w:themeColor="accent5" w:themeTint="99"/>
        <w:sz w:val="22"/>
      </w:rPr>
      <w:tblPr/>
      <w:tcPr>
        <w:shd w:val="clear" w:color="auto" w:fill="D1EAF0" w:themeFill="accent5" w:themeFillTint="40"/>
      </w:tcPr>
    </w:tblStylePr>
    <w:tblStylePr w:type="band2Horz">
      <w:pPr>
        <w:snapToGrid/>
      </w:pPr>
      <w:rPr>
        <w:rFonts w:ascii="Arial" w:hAnsi="Arial"/>
        <w:color w:val="92CDDC" w:themeColor="accent5"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61">
    <w:name w:val="List Table 6 Colorful - Accent 61"/>
    <w:basedOn w:val="TableNormal"/>
    <w:uiPriority w:val="99"/>
    <w:qFormat/>
    <w:tblPr>
      <w:tblBorders>
        <w:top w:val="single" w:sz="4" w:space="0" w:color="FAC090" w:themeColor="accent6" w:themeTint="98"/>
        <w:bottom w:val="single" w:sz="4" w:space="0" w:color="FAC090" w:themeColor="accent6" w:themeTint="98"/>
      </w:tblBorders>
    </w:tblPr>
    <w:tblStylePr w:type="firstRow">
      <w:pPr>
        <w:snapToGrid/>
      </w:pPr>
      <w:rPr>
        <w:b/>
        <w:color w:val="FABF8F" w:themeColor="accent6" w:themeTint="99"/>
      </w:rPr>
      <w:tblPr/>
      <w:tcPr>
        <w:tcBorders>
          <w:bottom w:val="single" w:sz="4" w:space="0" w:color="FAC090" w:themeColor="accent6" w:themeTint="98"/>
        </w:tcBorders>
      </w:tcPr>
    </w:tblStylePr>
    <w:tblStylePr w:type="lastRow">
      <w:pPr>
        <w:snapToGrid/>
      </w:pPr>
      <w:rPr>
        <w:b/>
        <w:color w:val="FABF8F" w:themeColor="accent6" w:themeTint="99"/>
      </w:rPr>
      <w:tblPr/>
      <w:tcPr>
        <w:tcBorders>
          <w:top w:val="single" w:sz="4" w:space="0" w:color="FAC090" w:themeColor="accent6" w:themeTint="98"/>
        </w:tcBorders>
      </w:tcPr>
    </w:tblStylePr>
    <w:tblStylePr w:type="firstCol">
      <w:pPr>
        <w:snapToGrid/>
      </w:pPr>
      <w:rPr>
        <w:b/>
        <w:color w:val="FABF8F" w:themeColor="accent6" w:themeTint="99"/>
      </w:rPr>
    </w:tblStylePr>
    <w:tblStylePr w:type="lastCol">
      <w:pPr>
        <w:snapToGrid/>
      </w:pPr>
      <w:rPr>
        <w:b/>
        <w:color w:val="FABF8F" w:themeColor="accent6" w:themeTint="99"/>
      </w:rPr>
    </w:tblStylePr>
    <w:tblStylePr w:type="band1Vert">
      <w:pPr>
        <w:snapToGrid/>
      </w:pPr>
      <w:tblPr/>
      <w:tcPr>
        <w:shd w:val="clear" w:color="auto" w:fill="FDE4D0" w:themeFill="accent6" w:themeFillTint="40"/>
      </w:tcPr>
    </w:tblStylePr>
    <w:tblStylePr w:type="band2Vert">
      <w:pPr>
        <w:snapToGrid/>
      </w:pPr>
    </w:tblStylePr>
    <w:tblStylePr w:type="band1Horz">
      <w:pPr>
        <w:snapToGrid/>
      </w:pPr>
      <w:rPr>
        <w:rFonts w:ascii="Arial" w:hAnsi="Arial"/>
        <w:color w:val="FABF8F" w:themeColor="accent6" w:themeTint="99"/>
        <w:sz w:val="22"/>
      </w:rPr>
      <w:tblPr/>
      <w:tcPr>
        <w:shd w:val="clear" w:color="auto" w:fill="FDE4D0" w:themeFill="accent6" w:themeFillTint="40"/>
      </w:tcPr>
    </w:tblStylePr>
    <w:tblStylePr w:type="band2Horz">
      <w:pPr>
        <w:snapToGrid/>
      </w:pPr>
      <w:rPr>
        <w:rFonts w:ascii="Arial" w:hAnsi="Arial"/>
        <w:color w:val="FABF8F" w:themeColor="accent6"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11">
    <w:name w:val="List Table 7 Colorful - Accent 11"/>
    <w:basedOn w:val="TableNormal"/>
    <w:uiPriority w:val="99"/>
    <w:qFormat/>
    <w:tblPr>
      <w:tblBorders>
        <w:right w:val="single" w:sz="4" w:space="0" w:color="4F81BD" w:themeColor="accent1"/>
      </w:tblBorders>
    </w:tblPr>
    <w:tblStylePr w:type="firstRow">
      <w:pPr>
        <w:snapToGrid/>
      </w:pPr>
      <w:rPr>
        <w:rFonts w:ascii="Arial" w:hAnsi="Arial"/>
        <w:i/>
        <w:color w:val="2A4A70" w:themeColor="accent1" w:themeShade="94"/>
        <w:sz w:val="22"/>
      </w:rPr>
      <w:tblPr/>
      <w:tcPr>
        <w:tcBorders>
          <w:top w:val="nil"/>
          <w:left w:val="nil"/>
          <w:bottom w:val="single" w:sz="4" w:space="0" w:color="4F81BD" w:themeColor="accent1"/>
          <w:right w:val="nil"/>
        </w:tcBorders>
        <w:shd w:val="clear" w:color="auto" w:fill="FFFFFF" w:themeFill="light1"/>
      </w:tcPr>
    </w:tblStylePr>
    <w:tblStylePr w:type="lastRow">
      <w:pPr>
        <w:snapToGrid/>
      </w:pPr>
      <w:rPr>
        <w:rFonts w:ascii="Arial" w:hAnsi="Arial"/>
        <w:i/>
        <w:color w:val="2A4A70" w:themeColor="accent1" w:themeShade="94"/>
        <w:sz w:val="22"/>
      </w:rPr>
      <w:tblPr/>
      <w:tcPr>
        <w:tcBorders>
          <w:top w:val="single" w:sz="4" w:space="0" w:color="4F81BD" w:themeColor="accent1"/>
          <w:left w:val="nil"/>
          <w:bottom w:val="nil"/>
          <w:right w:val="nil"/>
        </w:tcBorders>
        <w:shd w:val="clear" w:color="auto" w:fill="FFFFFF" w:themeFill="light1"/>
      </w:tcPr>
    </w:tblStylePr>
    <w:tblStylePr w:type="firstCol">
      <w:pPr>
        <w:snapToGrid/>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auto" w:fill="FFFFFF"/>
      </w:tcPr>
    </w:tblStylePr>
    <w:tblStylePr w:type="lastCol">
      <w:pPr>
        <w:snapToGrid/>
      </w:pPr>
      <w:rPr>
        <w:rFonts w:ascii="Arial" w:hAnsi="Arial"/>
        <w:i/>
        <w:color w:val="2A4A70" w:themeColor="accent1" w:themeShade="94"/>
        <w:sz w:val="22"/>
      </w:rPr>
      <w:tblPr/>
      <w:tcPr>
        <w:tcBorders>
          <w:top w:val="nil"/>
          <w:left w:val="single" w:sz="4" w:space="0" w:color="4F81BD" w:themeColor="accent1"/>
          <w:bottom w:val="nil"/>
          <w:right w:val="nil"/>
        </w:tcBorders>
        <w:shd w:val="clear" w:color="auto" w:fill="FFFFFF"/>
      </w:tcPr>
    </w:tblStylePr>
    <w:tblStylePr w:type="band1Vert">
      <w:pPr>
        <w:snapToGrid/>
      </w:pPr>
      <w:tblPr/>
      <w:tcPr>
        <w:shd w:val="clear" w:color="auto" w:fill="D2DFEE" w:themeFill="accent1" w:themeFillTint="40"/>
      </w:tcPr>
    </w:tblStylePr>
    <w:tblStylePr w:type="band2Vert">
      <w:pPr>
        <w:snapToGrid/>
      </w:pPr>
    </w:tblStylePr>
    <w:tblStylePr w:type="band1Horz">
      <w:pPr>
        <w:snapToGrid/>
      </w:pPr>
      <w:rPr>
        <w:rFonts w:ascii="Arial" w:hAnsi="Arial"/>
        <w:color w:val="2A4A70" w:themeColor="accent1" w:themeShade="94"/>
        <w:sz w:val="22"/>
      </w:rPr>
      <w:tblPr/>
      <w:tcPr>
        <w:shd w:val="clear" w:color="auto" w:fill="D2DFEE" w:themeFill="accent1" w:themeFillTint="40"/>
      </w:tcPr>
    </w:tblStylePr>
    <w:tblStylePr w:type="band2Horz">
      <w:pPr>
        <w:snapToGrid/>
      </w:pPr>
      <w:rPr>
        <w:rFonts w:ascii="Arial" w:hAnsi="Arial"/>
        <w:color w:val="2A4A70" w:themeColor="accent1"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21">
    <w:name w:val="List Table 7 Colorful - Accent 21"/>
    <w:basedOn w:val="TableNormal"/>
    <w:uiPriority w:val="99"/>
    <w:qFormat/>
    <w:tblPr>
      <w:tblBorders>
        <w:right w:val="single" w:sz="4" w:space="0" w:color="D99695" w:themeColor="accent2" w:themeTint="97"/>
      </w:tblBorders>
    </w:tblPr>
    <w:tblStylePr w:type="firstRow">
      <w:pPr>
        <w:snapToGrid/>
      </w:pPr>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pPr>
        <w:snapToGrid/>
      </w:pPr>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snapToGrid/>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pPr>
        <w:snapToGrid/>
      </w:pPr>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pPr>
        <w:snapToGrid/>
      </w:pPr>
      <w:tblPr/>
      <w:tcPr>
        <w:shd w:val="clear" w:color="auto" w:fill="EFD2D2" w:themeFill="accent2" w:themeFillTint="40"/>
      </w:tcPr>
    </w:tblStylePr>
    <w:tblStylePr w:type="band2Vert">
      <w:pPr>
        <w:snapToGrid/>
      </w:pPr>
    </w:tblStylePr>
    <w:tblStylePr w:type="band1Horz">
      <w:pPr>
        <w:snapToGrid/>
      </w:pPr>
      <w:rPr>
        <w:rFonts w:ascii="Arial" w:hAnsi="Arial"/>
        <w:color w:val="DA9796" w:themeColor="accent2" w:themeTint="96"/>
        <w:sz w:val="22"/>
      </w:rPr>
      <w:tblPr/>
      <w:tcPr>
        <w:shd w:val="clear" w:color="auto" w:fill="EFD2D2" w:themeFill="accent2" w:themeFillTint="40"/>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31">
    <w:name w:val="List Table 7 Colorful - Accent 31"/>
    <w:basedOn w:val="TableNormal"/>
    <w:uiPriority w:val="99"/>
    <w:qFormat/>
    <w:tblPr>
      <w:tblBorders>
        <w:right w:val="single" w:sz="4" w:space="0" w:color="C3D69B" w:themeColor="accent3" w:themeTint="98"/>
      </w:tblBorders>
    </w:tblPr>
    <w:tblStylePr w:type="firstRow">
      <w:pPr>
        <w:snapToGrid/>
      </w:pPr>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auto" w:fill="FFFFFF" w:themeFill="light1"/>
      </w:tcPr>
    </w:tblStylePr>
    <w:tblStylePr w:type="lastRow">
      <w:pPr>
        <w:snapToGrid/>
      </w:pPr>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auto" w:fill="FFFFFF" w:themeFill="light1"/>
      </w:tcPr>
    </w:tblStylePr>
    <w:tblStylePr w:type="firstCol">
      <w:pPr>
        <w:snapToGrid/>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auto" w:fill="FFFFFF"/>
      </w:tcPr>
    </w:tblStylePr>
    <w:tblStylePr w:type="lastCol">
      <w:pPr>
        <w:snapToGrid/>
      </w:pPr>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auto" w:fill="FFFFFF"/>
      </w:tcPr>
    </w:tblStylePr>
    <w:tblStylePr w:type="band1Vert">
      <w:pPr>
        <w:snapToGrid/>
      </w:pPr>
      <w:tblPr/>
      <w:tcPr>
        <w:shd w:val="clear" w:color="auto" w:fill="E5EED5" w:themeFill="accent3" w:themeFillTint="40"/>
      </w:tcPr>
    </w:tblStylePr>
    <w:tblStylePr w:type="band2Vert">
      <w:pPr>
        <w:snapToGrid/>
      </w:pPr>
    </w:tblStylePr>
    <w:tblStylePr w:type="band1Horz">
      <w:pPr>
        <w:snapToGrid/>
      </w:pPr>
      <w:rPr>
        <w:rFonts w:ascii="Arial" w:hAnsi="Arial"/>
        <w:color w:val="C2D69B" w:themeColor="accent3" w:themeTint="99"/>
        <w:sz w:val="22"/>
      </w:rPr>
      <w:tblPr/>
      <w:tcPr>
        <w:shd w:val="clear" w:color="auto" w:fill="E5EED5" w:themeFill="accent3" w:themeFillTint="40"/>
      </w:tcPr>
    </w:tblStylePr>
    <w:tblStylePr w:type="band2Horz">
      <w:pPr>
        <w:snapToGrid/>
      </w:pPr>
      <w:rPr>
        <w:rFonts w:ascii="Arial" w:hAnsi="Arial"/>
        <w:color w:val="C2D69B" w:themeColor="accent3"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41">
    <w:name w:val="List Table 7 Colorful - Accent 41"/>
    <w:basedOn w:val="TableNormal"/>
    <w:uiPriority w:val="99"/>
    <w:qFormat/>
    <w:tblPr>
      <w:tblBorders>
        <w:right w:val="single" w:sz="4" w:space="0" w:color="B2A1C6" w:themeColor="accent4" w:themeTint="9A"/>
      </w:tblBorders>
    </w:tblPr>
    <w:tblStylePr w:type="firstRow">
      <w:pPr>
        <w:snapToGrid/>
      </w:pPr>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pPr>
        <w:snapToGrid/>
      </w:pPr>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snapToGrid/>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pPr>
        <w:snapToGrid/>
      </w:pPr>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pPr>
        <w:snapToGrid/>
      </w:pPr>
      <w:tblPr/>
      <w:tcPr>
        <w:shd w:val="clear" w:color="auto" w:fill="DFD8E7" w:themeFill="accent4" w:themeFillTint="40"/>
      </w:tcPr>
    </w:tblStylePr>
    <w:tblStylePr w:type="band2Vert">
      <w:pPr>
        <w:snapToGrid/>
      </w:pPr>
    </w:tblStylePr>
    <w:tblStylePr w:type="band1Horz">
      <w:pPr>
        <w:snapToGrid/>
      </w:pPr>
      <w:rPr>
        <w:rFonts w:ascii="Arial" w:hAnsi="Arial"/>
        <w:color w:val="B2A1C7" w:themeColor="accent4" w:themeTint="99"/>
        <w:sz w:val="22"/>
      </w:rPr>
      <w:tblPr/>
      <w:tcPr>
        <w:shd w:val="clear" w:color="auto" w:fill="DFD8E7" w:themeFill="accent4" w:themeFillTint="40"/>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51">
    <w:name w:val="List Table 7 Colorful - Accent 51"/>
    <w:basedOn w:val="TableNormal"/>
    <w:uiPriority w:val="99"/>
    <w:qFormat/>
    <w:tblPr>
      <w:tblBorders>
        <w:right w:val="single" w:sz="4" w:space="0" w:color="92CCDC" w:themeColor="accent5" w:themeTint="9A"/>
      </w:tblBorders>
    </w:tblPr>
    <w:tblStylePr w:type="firstRow">
      <w:pPr>
        <w:snapToGrid/>
      </w:pPr>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auto" w:fill="FFFFFF" w:themeFill="light1"/>
      </w:tcPr>
    </w:tblStylePr>
    <w:tblStylePr w:type="lastRow">
      <w:pPr>
        <w:snapToGrid/>
      </w:pPr>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auto" w:fill="FFFFFF" w:themeFill="light1"/>
      </w:tcPr>
    </w:tblStylePr>
    <w:tblStylePr w:type="firstCol">
      <w:pPr>
        <w:snapToGrid/>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auto" w:fill="FFFFFF"/>
      </w:tcPr>
    </w:tblStylePr>
    <w:tblStylePr w:type="lastCol">
      <w:pPr>
        <w:snapToGrid/>
      </w:pPr>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auto" w:fill="FFFFFF"/>
      </w:tcPr>
    </w:tblStylePr>
    <w:tblStylePr w:type="band1Vert">
      <w:pPr>
        <w:snapToGrid/>
      </w:pPr>
      <w:tblPr/>
      <w:tcPr>
        <w:shd w:val="clear" w:color="auto" w:fill="D1EAF0" w:themeFill="accent5" w:themeFillTint="40"/>
      </w:tcPr>
    </w:tblStylePr>
    <w:tblStylePr w:type="band2Vert">
      <w:pPr>
        <w:snapToGrid/>
      </w:pPr>
    </w:tblStylePr>
    <w:tblStylePr w:type="band1Horz">
      <w:pPr>
        <w:snapToGrid/>
      </w:pPr>
      <w:rPr>
        <w:rFonts w:ascii="Arial" w:hAnsi="Arial"/>
        <w:color w:val="92CDDC" w:themeColor="accent5" w:themeTint="99"/>
        <w:sz w:val="22"/>
      </w:rPr>
      <w:tblPr/>
      <w:tcPr>
        <w:shd w:val="clear" w:color="auto" w:fill="D1EAF0" w:themeFill="accent5" w:themeFillTint="40"/>
      </w:tcPr>
    </w:tblStylePr>
    <w:tblStylePr w:type="band2Horz">
      <w:pPr>
        <w:snapToGrid/>
      </w:pPr>
      <w:rPr>
        <w:rFonts w:ascii="Arial" w:hAnsi="Arial"/>
        <w:color w:val="92CDDC" w:themeColor="accent5"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61">
    <w:name w:val="List Table 7 Colorful - Accent 61"/>
    <w:basedOn w:val="TableNormal"/>
    <w:uiPriority w:val="99"/>
    <w:qFormat/>
    <w:tblPr>
      <w:tblBorders>
        <w:right w:val="single" w:sz="4" w:space="0" w:color="FAC090" w:themeColor="accent6" w:themeTint="98"/>
      </w:tblBorders>
    </w:tblPr>
    <w:tblStylePr w:type="firstRow">
      <w:pPr>
        <w:snapToGrid/>
      </w:pPr>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auto" w:fill="FFFFFF" w:themeFill="light1"/>
      </w:tcPr>
    </w:tblStylePr>
    <w:tblStylePr w:type="lastRow">
      <w:pPr>
        <w:snapToGrid/>
      </w:pPr>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auto" w:fill="FFFFFF" w:themeFill="light1"/>
      </w:tcPr>
    </w:tblStylePr>
    <w:tblStylePr w:type="firstCol">
      <w:pPr>
        <w:snapToGrid/>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auto" w:fill="FFFFFF"/>
      </w:tcPr>
    </w:tblStylePr>
    <w:tblStylePr w:type="lastCol">
      <w:pPr>
        <w:snapToGrid/>
      </w:pPr>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auto" w:fill="FFFFFF"/>
      </w:tcPr>
    </w:tblStylePr>
    <w:tblStylePr w:type="band1Vert">
      <w:pPr>
        <w:snapToGrid/>
      </w:pPr>
      <w:tblPr/>
      <w:tcPr>
        <w:shd w:val="clear" w:color="auto" w:fill="FDE4D0" w:themeFill="accent6" w:themeFillTint="40"/>
      </w:tcPr>
    </w:tblStylePr>
    <w:tblStylePr w:type="band2Vert">
      <w:pPr>
        <w:snapToGrid/>
      </w:pPr>
    </w:tblStylePr>
    <w:tblStylePr w:type="band1Horz">
      <w:pPr>
        <w:snapToGrid/>
      </w:pPr>
      <w:rPr>
        <w:rFonts w:ascii="Arial" w:hAnsi="Arial"/>
        <w:color w:val="FABF8F" w:themeColor="accent6" w:themeTint="99"/>
        <w:sz w:val="22"/>
      </w:rPr>
      <w:tblPr/>
      <w:tcPr>
        <w:shd w:val="clear" w:color="auto" w:fill="FDE4D0" w:themeFill="accent6" w:themeFillTint="40"/>
      </w:tcPr>
    </w:tblStylePr>
    <w:tblStylePr w:type="band2Horz">
      <w:pPr>
        <w:snapToGrid/>
      </w:pPr>
      <w:rPr>
        <w:rFonts w:ascii="Arial" w:hAnsi="Arial"/>
        <w:color w:val="FABF8F" w:themeColor="accent6"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
    <w:name w:val="Lined - Accent"/>
    <w:basedOn w:val="TableNormal"/>
    <w:uiPriority w:val="99"/>
    <w:qFormat/>
    <w:rPr>
      <w:color w:val="404040"/>
    </w:rPr>
    <w:tblPr/>
    <w:tblStylePr w:type="firstRow">
      <w:pPr>
        <w:snapToGrid/>
      </w:pPr>
      <w:rPr>
        <w:rFonts w:ascii="Arial" w:hAnsi="Arial"/>
        <w:color w:val="F2F2F2"/>
        <w:sz w:val="22"/>
      </w:rPr>
      <w:tblPr/>
      <w:tcPr>
        <w:shd w:val="clear" w:color="auto" w:fill="7F7F7F" w:themeFill="text1" w:themeFillTint="80"/>
      </w:tcPr>
    </w:tblStylePr>
    <w:tblStylePr w:type="lastRow">
      <w:pPr>
        <w:snapToGrid/>
      </w:pPr>
      <w:rPr>
        <w:rFonts w:ascii="Arial" w:hAnsi="Arial"/>
        <w:color w:val="F2F2F2"/>
        <w:sz w:val="22"/>
      </w:rPr>
      <w:tblPr/>
      <w:tcPr>
        <w:shd w:val="clear" w:color="auto" w:fill="7F7F7F" w:themeFill="text1" w:themeFillTint="80"/>
      </w:tcPr>
    </w:tblStylePr>
    <w:tblStylePr w:type="firstCol">
      <w:pPr>
        <w:snapToGrid/>
      </w:pPr>
      <w:rPr>
        <w:rFonts w:ascii="Arial" w:hAnsi="Arial"/>
        <w:color w:val="F2F2F2"/>
        <w:sz w:val="22"/>
      </w:rPr>
      <w:tblPr/>
      <w:tcPr>
        <w:shd w:val="clear" w:color="auto" w:fill="7F7F7F" w:themeFill="text1" w:themeFillTint="80"/>
      </w:tcPr>
    </w:tblStylePr>
    <w:tblStylePr w:type="lastCol">
      <w:pPr>
        <w:snapToGrid/>
      </w:pPr>
      <w:rPr>
        <w:rFonts w:ascii="Arial" w:hAnsi="Arial"/>
        <w:color w:val="F2F2F2"/>
        <w:sz w:val="22"/>
      </w:rPr>
      <w:tblPr/>
      <w:tcPr>
        <w:shd w:val="clear" w:color="auto" w:fill="7F7F7F" w:themeFill="text1" w:themeFillTint="80"/>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F2F2" w:themeFill="text1" w:themeFillTint="0D"/>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F2F2" w:themeFill="text1" w:themeFillTint="0D"/>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1">
    <w:name w:val="Lined - Accent 1"/>
    <w:basedOn w:val="TableNormal"/>
    <w:uiPriority w:val="99"/>
    <w:qFormat/>
    <w:rPr>
      <w:color w:val="404040"/>
    </w:rPr>
    <w:tblPr/>
    <w:tblStylePr w:type="firstRow">
      <w:pPr>
        <w:snapToGrid/>
      </w:pPr>
      <w:rPr>
        <w:rFonts w:ascii="Arial" w:hAnsi="Arial"/>
        <w:color w:val="F2F2F2"/>
        <w:sz w:val="22"/>
      </w:rPr>
      <w:tblPr/>
      <w:tcPr>
        <w:shd w:val="clear" w:color="auto" w:fill="5D8AC2" w:themeFill="accent1" w:themeFillTint="EA"/>
      </w:tcPr>
    </w:tblStylePr>
    <w:tblStylePr w:type="lastRow">
      <w:pPr>
        <w:snapToGrid/>
      </w:pPr>
      <w:rPr>
        <w:rFonts w:ascii="Arial" w:hAnsi="Arial"/>
        <w:color w:val="F2F2F2"/>
        <w:sz w:val="22"/>
      </w:rPr>
      <w:tblPr/>
      <w:tcPr>
        <w:shd w:val="clear" w:color="auto" w:fill="5D8AC2" w:themeFill="accent1" w:themeFillTint="EA"/>
      </w:tcPr>
    </w:tblStylePr>
    <w:tblStylePr w:type="firstCol">
      <w:pPr>
        <w:snapToGrid/>
      </w:pPr>
      <w:rPr>
        <w:rFonts w:ascii="Arial" w:hAnsi="Arial"/>
        <w:color w:val="F2F2F2"/>
        <w:sz w:val="22"/>
      </w:rPr>
      <w:tblPr/>
      <w:tcPr>
        <w:shd w:val="clear" w:color="auto" w:fill="5D8AC2" w:themeFill="accent1" w:themeFillTint="EA"/>
      </w:tcPr>
    </w:tblStylePr>
    <w:tblStylePr w:type="lastCol">
      <w:pPr>
        <w:snapToGrid/>
      </w:pPr>
      <w:rPr>
        <w:rFonts w:ascii="Arial" w:hAnsi="Arial"/>
        <w:color w:val="F2F2F2"/>
        <w:sz w:val="22"/>
      </w:rPr>
      <w:tblPr/>
      <w:tcPr>
        <w:shd w:val="clear" w:color="auto" w:fill="5D8AC2" w:themeFill="accent1" w:themeFillTint="E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C7D7EA" w:themeFill="accent1" w:themeFillTint="50"/>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C7D7EA" w:themeFill="accent1" w:themeFillTint="5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2">
    <w:name w:val="Lined - Accent 2"/>
    <w:basedOn w:val="TableNormal"/>
    <w:uiPriority w:val="99"/>
    <w:qFormat/>
    <w:rPr>
      <w:color w:val="404040"/>
    </w:rPr>
    <w:tblPr/>
    <w:tblStylePr w:type="firstRow">
      <w:pPr>
        <w:snapToGrid/>
      </w:pPr>
      <w:rPr>
        <w:rFonts w:ascii="Arial" w:hAnsi="Arial"/>
        <w:color w:val="F2F2F2"/>
        <w:sz w:val="22"/>
      </w:rPr>
      <w:tblPr/>
      <w:tcPr>
        <w:shd w:val="clear" w:color="auto" w:fill="D99695" w:themeFill="accent2" w:themeFillTint="97"/>
      </w:tcPr>
    </w:tblStylePr>
    <w:tblStylePr w:type="lastRow">
      <w:pPr>
        <w:snapToGrid/>
      </w:pPr>
      <w:rPr>
        <w:rFonts w:ascii="Arial" w:hAnsi="Arial"/>
        <w:color w:val="F2F2F2"/>
        <w:sz w:val="22"/>
      </w:rPr>
      <w:tblPr/>
      <w:tcPr>
        <w:shd w:val="clear" w:color="auto" w:fill="D99695" w:themeFill="accent2" w:themeFillTint="97"/>
      </w:tcPr>
    </w:tblStylePr>
    <w:tblStylePr w:type="firstCol">
      <w:pPr>
        <w:snapToGrid/>
      </w:pPr>
      <w:rPr>
        <w:rFonts w:ascii="Arial" w:hAnsi="Arial"/>
        <w:color w:val="F2F2F2"/>
        <w:sz w:val="22"/>
      </w:rPr>
      <w:tblPr/>
      <w:tcPr>
        <w:shd w:val="clear" w:color="auto" w:fill="D99695" w:themeFill="accent2" w:themeFillTint="97"/>
      </w:tcPr>
    </w:tblStylePr>
    <w:tblStylePr w:type="lastCol">
      <w:pPr>
        <w:snapToGrid/>
      </w:pPr>
      <w:rPr>
        <w:rFonts w:ascii="Arial" w:hAnsi="Arial"/>
        <w:color w:val="F2F2F2"/>
        <w:sz w:val="22"/>
      </w:rPr>
      <w:tblPr/>
      <w:tcPr>
        <w:shd w:val="clear" w:color="auto" w:fill="D99695" w:themeFill="accent2" w:themeFillTint="97"/>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DCDC" w:themeFill="accent2" w:themeFillTint="32"/>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DCDC" w:themeFill="accent2" w:themeFillTint="32"/>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3">
    <w:name w:val="Lined - Accent 3"/>
    <w:basedOn w:val="TableNormal"/>
    <w:uiPriority w:val="99"/>
    <w:qFormat/>
    <w:rPr>
      <w:color w:val="404040"/>
    </w:rPr>
    <w:tblPr/>
    <w:tblStylePr w:type="firstRow">
      <w:pPr>
        <w:snapToGrid/>
      </w:pPr>
      <w:rPr>
        <w:rFonts w:ascii="Arial" w:hAnsi="Arial"/>
        <w:color w:val="F2F2F2"/>
        <w:sz w:val="22"/>
      </w:rPr>
      <w:tblPr/>
      <w:tcPr>
        <w:shd w:val="clear" w:color="auto" w:fill="9ABB59" w:themeFill="accent3" w:themeFillTint="FE"/>
      </w:tcPr>
    </w:tblStylePr>
    <w:tblStylePr w:type="lastRow">
      <w:pPr>
        <w:snapToGrid/>
      </w:pPr>
      <w:rPr>
        <w:rFonts w:ascii="Arial" w:hAnsi="Arial"/>
        <w:color w:val="F2F2F2"/>
        <w:sz w:val="22"/>
      </w:rPr>
      <w:tblPr/>
      <w:tcPr>
        <w:shd w:val="clear" w:color="auto" w:fill="9ABB59" w:themeFill="accent3" w:themeFillTint="FE"/>
      </w:tcPr>
    </w:tblStylePr>
    <w:tblStylePr w:type="firstCol">
      <w:pPr>
        <w:snapToGrid/>
      </w:pPr>
      <w:rPr>
        <w:rFonts w:ascii="Arial" w:hAnsi="Arial"/>
        <w:color w:val="F2F2F2"/>
        <w:sz w:val="22"/>
      </w:rPr>
      <w:tblPr/>
      <w:tcPr>
        <w:shd w:val="clear" w:color="auto" w:fill="9ABB59" w:themeFill="accent3" w:themeFillTint="FE"/>
      </w:tcPr>
    </w:tblStylePr>
    <w:tblStylePr w:type="lastCol">
      <w:pPr>
        <w:snapToGrid/>
      </w:pPr>
      <w:rPr>
        <w:rFonts w:ascii="Arial" w:hAnsi="Arial"/>
        <w:color w:val="F2F2F2"/>
        <w:sz w:val="22"/>
      </w:rPr>
      <w:tblPr/>
      <w:tcPr>
        <w:shd w:val="clear" w:color="auto" w:fill="9ABB59" w:themeFill="accent3" w:themeFillTint="FE"/>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AF1DC" w:themeFill="accent3"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AF1DC" w:themeFill="accent3"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4">
    <w:name w:val="Lined - Accent 4"/>
    <w:basedOn w:val="TableNormal"/>
    <w:uiPriority w:val="99"/>
    <w:qFormat/>
    <w:rPr>
      <w:color w:val="404040"/>
    </w:rPr>
    <w:tblPr/>
    <w:tblStylePr w:type="firstRow">
      <w:pPr>
        <w:snapToGrid/>
      </w:pPr>
      <w:rPr>
        <w:rFonts w:ascii="Arial" w:hAnsi="Arial"/>
        <w:color w:val="F2F2F2"/>
        <w:sz w:val="22"/>
      </w:rPr>
      <w:tblPr/>
      <w:tcPr>
        <w:shd w:val="clear" w:color="auto" w:fill="B2A1C6" w:themeFill="accent4" w:themeFillTint="9A"/>
      </w:tcPr>
    </w:tblStylePr>
    <w:tblStylePr w:type="lastRow">
      <w:pPr>
        <w:snapToGrid/>
      </w:pPr>
      <w:rPr>
        <w:rFonts w:ascii="Arial" w:hAnsi="Arial"/>
        <w:color w:val="F2F2F2"/>
        <w:sz w:val="22"/>
      </w:rPr>
      <w:tblPr/>
      <w:tcPr>
        <w:shd w:val="clear" w:color="auto" w:fill="B2A1C6" w:themeFill="accent4" w:themeFillTint="9A"/>
      </w:tcPr>
    </w:tblStylePr>
    <w:tblStylePr w:type="firstCol">
      <w:pPr>
        <w:snapToGrid/>
      </w:pPr>
      <w:rPr>
        <w:rFonts w:ascii="Arial" w:hAnsi="Arial"/>
        <w:color w:val="F2F2F2"/>
        <w:sz w:val="22"/>
      </w:rPr>
      <w:tblPr/>
      <w:tcPr>
        <w:shd w:val="clear" w:color="auto" w:fill="B2A1C6" w:themeFill="accent4" w:themeFillTint="9A"/>
      </w:tcPr>
    </w:tblStylePr>
    <w:tblStylePr w:type="lastCol">
      <w:pPr>
        <w:snapToGrid/>
      </w:pPr>
      <w:rPr>
        <w:rFonts w:ascii="Arial" w:hAnsi="Arial"/>
        <w:color w:val="F2F2F2"/>
        <w:sz w:val="22"/>
      </w:rPr>
      <w:tblPr/>
      <w:tcPr>
        <w:shd w:val="clear" w:color="auto" w:fill="B2A1C6" w:themeFill="accent4" w:themeFillTint="9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5DFEC" w:themeFill="accent4"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5DFEC" w:themeFill="accent4"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5">
    <w:name w:val="Lined - Accent 5"/>
    <w:basedOn w:val="TableNormal"/>
    <w:uiPriority w:val="99"/>
    <w:qFormat/>
    <w:rPr>
      <w:color w:val="404040"/>
    </w:rPr>
    <w:tblPr/>
    <w:tblStylePr w:type="firstRow">
      <w:pPr>
        <w:snapToGrid/>
      </w:pPr>
      <w:rPr>
        <w:rFonts w:ascii="Arial" w:hAnsi="Arial"/>
        <w:color w:val="F2F2F2"/>
        <w:sz w:val="22"/>
      </w:rPr>
      <w:tblPr/>
      <w:tcPr>
        <w:shd w:val="clear" w:color="auto" w:fill="4BACC6" w:themeFill="accent5"/>
      </w:tcPr>
    </w:tblStylePr>
    <w:tblStylePr w:type="lastRow">
      <w:pPr>
        <w:snapToGrid/>
      </w:pPr>
      <w:rPr>
        <w:rFonts w:ascii="Arial" w:hAnsi="Arial"/>
        <w:color w:val="F2F2F2"/>
        <w:sz w:val="22"/>
      </w:rPr>
      <w:tblPr/>
      <w:tcPr>
        <w:shd w:val="clear" w:color="auto" w:fill="4BACC6" w:themeFill="accent5"/>
      </w:tcPr>
    </w:tblStylePr>
    <w:tblStylePr w:type="firstCol">
      <w:pPr>
        <w:snapToGrid/>
      </w:pPr>
      <w:rPr>
        <w:rFonts w:ascii="Arial" w:hAnsi="Arial"/>
        <w:color w:val="F2F2F2"/>
        <w:sz w:val="22"/>
      </w:rPr>
      <w:tblPr/>
      <w:tcPr>
        <w:shd w:val="clear" w:color="auto" w:fill="4BACC6" w:themeFill="accent5"/>
      </w:tcPr>
    </w:tblStylePr>
    <w:tblStylePr w:type="lastCol">
      <w:pPr>
        <w:snapToGrid/>
      </w:pPr>
      <w:rPr>
        <w:rFonts w:ascii="Arial" w:hAnsi="Arial"/>
        <w:color w:val="F2F2F2"/>
        <w:sz w:val="22"/>
      </w:rPr>
      <w:tblPr/>
      <w:tcPr>
        <w:shd w:val="clear" w:color="auto" w:fill="4BACC6" w:themeFill="accent5"/>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DAEEF3" w:themeFill="accent5"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DAEEF3" w:themeFill="accent5"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6">
    <w:name w:val="Lined - Accent 6"/>
    <w:basedOn w:val="TableNormal"/>
    <w:uiPriority w:val="99"/>
    <w:qFormat/>
    <w:rPr>
      <w:color w:val="404040"/>
    </w:rPr>
    <w:tblPr/>
    <w:tblStylePr w:type="firstRow">
      <w:pPr>
        <w:snapToGrid/>
      </w:pPr>
      <w:rPr>
        <w:rFonts w:ascii="Arial" w:hAnsi="Arial"/>
        <w:color w:val="F2F2F2"/>
        <w:sz w:val="22"/>
      </w:rPr>
      <w:tblPr/>
      <w:tcPr>
        <w:shd w:val="clear" w:color="auto" w:fill="F79646" w:themeFill="accent6"/>
      </w:tcPr>
    </w:tblStylePr>
    <w:tblStylePr w:type="lastRow">
      <w:pPr>
        <w:snapToGrid/>
      </w:pPr>
      <w:rPr>
        <w:rFonts w:ascii="Arial" w:hAnsi="Arial"/>
        <w:color w:val="F2F2F2"/>
        <w:sz w:val="22"/>
      </w:rPr>
      <w:tblPr/>
      <w:tcPr>
        <w:shd w:val="clear" w:color="auto" w:fill="F79646" w:themeFill="accent6"/>
      </w:tcPr>
    </w:tblStylePr>
    <w:tblStylePr w:type="firstCol">
      <w:pPr>
        <w:snapToGrid/>
      </w:pPr>
      <w:rPr>
        <w:rFonts w:ascii="Arial" w:hAnsi="Arial"/>
        <w:color w:val="F2F2F2"/>
        <w:sz w:val="22"/>
      </w:rPr>
      <w:tblPr/>
      <w:tcPr>
        <w:shd w:val="clear" w:color="auto" w:fill="F79646" w:themeFill="accent6"/>
      </w:tcPr>
    </w:tblStylePr>
    <w:tblStylePr w:type="lastCol">
      <w:pPr>
        <w:snapToGrid/>
      </w:pPr>
      <w:rPr>
        <w:rFonts w:ascii="Arial" w:hAnsi="Arial"/>
        <w:color w:val="F2F2F2"/>
        <w:sz w:val="22"/>
      </w:rPr>
      <w:tblPr/>
      <w:tcPr>
        <w:shd w:val="clear" w:color="auto" w:fill="F79646" w:themeFill="accent6"/>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DE9D8" w:themeFill="accent6"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DE9D8" w:themeFill="accent6"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
    <w:name w:val="Bordered &amp; Lined - Accent"/>
    <w:basedOn w:val="Table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pPr>
        <w:snapToGrid/>
      </w:pPr>
      <w:rPr>
        <w:rFonts w:ascii="Arial" w:hAnsi="Arial"/>
        <w:color w:val="F2F2F2"/>
        <w:sz w:val="22"/>
      </w:rPr>
      <w:tblPr/>
      <w:tcPr>
        <w:shd w:val="clear" w:color="auto" w:fill="7F7F7F" w:themeFill="text1" w:themeFillTint="80"/>
      </w:tcPr>
    </w:tblStylePr>
    <w:tblStylePr w:type="lastRow">
      <w:pPr>
        <w:snapToGrid/>
      </w:pPr>
      <w:rPr>
        <w:rFonts w:ascii="Arial" w:hAnsi="Arial"/>
        <w:color w:val="F2F2F2"/>
        <w:sz w:val="22"/>
      </w:rPr>
      <w:tblPr/>
      <w:tcPr>
        <w:shd w:val="clear" w:color="auto" w:fill="7F7F7F" w:themeFill="text1" w:themeFillTint="80"/>
      </w:tcPr>
    </w:tblStylePr>
    <w:tblStylePr w:type="firstCol">
      <w:pPr>
        <w:snapToGrid/>
      </w:pPr>
      <w:rPr>
        <w:rFonts w:ascii="Arial" w:hAnsi="Arial"/>
        <w:color w:val="F2F2F2"/>
        <w:sz w:val="22"/>
      </w:rPr>
      <w:tblPr/>
      <w:tcPr>
        <w:shd w:val="clear" w:color="auto" w:fill="7F7F7F" w:themeFill="text1" w:themeFillTint="80"/>
      </w:tcPr>
    </w:tblStylePr>
    <w:tblStylePr w:type="lastCol">
      <w:pPr>
        <w:snapToGrid/>
      </w:pPr>
      <w:rPr>
        <w:rFonts w:ascii="Arial" w:hAnsi="Arial"/>
        <w:color w:val="F2F2F2"/>
        <w:sz w:val="22"/>
      </w:rPr>
      <w:tblPr/>
      <w:tcPr>
        <w:shd w:val="clear" w:color="auto" w:fill="7F7F7F" w:themeFill="text1" w:themeFillTint="80"/>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F2F2" w:themeFill="text1" w:themeFillTint="0D"/>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F2F2" w:themeFill="text1" w:themeFillTint="0D"/>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1">
    <w:name w:val="Bordered &amp; Lined - Accent 1"/>
    <w:basedOn w:val="TableNormal"/>
    <w:uiPriority w:val="99"/>
    <w:qFormat/>
    <w:rPr>
      <w:color w:val="404040"/>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pPr>
        <w:snapToGrid/>
      </w:pPr>
      <w:rPr>
        <w:rFonts w:ascii="Arial" w:hAnsi="Arial"/>
        <w:color w:val="F2F2F2"/>
        <w:sz w:val="22"/>
      </w:rPr>
      <w:tblPr/>
      <w:tcPr>
        <w:shd w:val="clear" w:color="auto" w:fill="5D8AC2" w:themeFill="accent1" w:themeFillTint="EA"/>
      </w:tcPr>
    </w:tblStylePr>
    <w:tblStylePr w:type="lastRow">
      <w:pPr>
        <w:snapToGrid/>
      </w:pPr>
      <w:rPr>
        <w:rFonts w:ascii="Arial" w:hAnsi="Arial"/>
        <w:color w:val="F2F2F2"/>
        <w:sz w:val="22"/>
      </w:rPr>
      <w:tblPr/>
      <w:tcPr>
        <w:shd w:val="clear" w:color="auto" w:fill="5D8AC2" w:themeFill="accent1" w:themeFillTint="EA"/>
      </w:tcPr>
    </w:tblStylePr>
    <w:tblStylePr w:type="firstCol">
      <w:pPr>
        <w:snapToGrid/>
      </w:pPr>
      <w:rPr>
        <w:rFonts w:ascii="Arial" w:hAnsi="Arial"/>
        <w:color w:val="F2F2F2"/>
        <w:sz w:val="22"/>
      </w:rPr>
      <w:tblPr/>
      <w:tcPr>
        <w:shd w:val="clear" w:color="auto" w:fill="5D8AC2" w:themeFill="accent1" w:themeFillTint="EA"/>
      </w:tcPr>
    </w:tblStylePr>
    <w:tblStylePr w:type="lastCol">
      <w:pPr>
        <w:snapToGrid/>
      </w:pPr>
      <w:rPr>
        <w:rFonts w:ascii="Arial" w:hAnsi="Arial"/>
        <w:color w:val="F2F2F2"/>
        <w:sz w:val="22"/>
      </w:rPr>
      <w:tblPr/>
      <w:tcPr>
        <w:shd w:val="clear" w:color="auto" w:fill="5D8AC2" w:themeFill="accent1" w:themeFillTint="E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C7D7EA" w:themeFill="accent1" w:themeFillTint="50"/>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C7D7EA" w:themeFill="accent1" w:themeFillTint="5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2">
    <w:name w:val="Bordered &amp; Lined - Accent 2"/>
    <w:basedOn w:val="TableNormal"/>
    <w:uiPriority w:val="99"/>
    <w:qFormat/>
    <w:rPr>
      <w:color w:val="404040"/>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pPr>
        <w:snapToGrid/>
      </w:pPr>
      <w:rPr>
        <w:rFonts w:ascii="Arial" w:hAnsi="Arial"/>
        <w:color w:val="F2F2F2"/>
        <w:sz w:val="22"/>
      </w:rPr>
      <w:tblPr/>
      <w:tcPr>
        <w:shd w:val="clear" w:color="auto" w:fill="D99695" w:themeFill="accent2" w:themeFillTint="97"/>
      </w:tcPr>
    </w:tblStylePr>
    <w:tblStylePr w:type="lastRow">
      <w:pPr>
        <w:snapToGrid/>
      </w:pPr>
      <w:rPr>
        <w:rFonts w:ascii="Arial" w:hAnsi="Arial"/>
        <w:color w:val="F2F2F2"/>
        <w:sz w:val="22"/>
      </w:rPr>
      <w:tblPr/>
      <w:tcPr>
        <w:shd w:val="clear" w:color="auto" w:fill="D99695" w:themeFill="accent2" w:themeFillTint="97"/>
      </w:tcPr>
    </w:tblStylePr>
    <w:tblStylePr w:type="firstCol">
      <w:pPr>
        <w:snapToGrid/>
      </w:pPr>
      <w:rPr>
        <w:rFonts w:ascii="Arial" w:hAnsi="Arial"/>
        <w:color w:val="F2F2F2"/>
        <w:sz w:val="22"/>
      </w:rPr>
      <w:tblPr/>
      <w:tcPr>
        <w:shd w:val="clear" w:color="auto" w:fill="D99695" w:themeFill="accent2" w:themeFillTint="97"/>
      </w:tcPr>
    </w:tblStylePr>
    <w:tblStylePr w:type="lastCol">
      <w:pPr>
        <w:snapToGrid/>
      </w:pPr>
      <w:rPr>
        <w:rFonts w:ascii="Arial" w:hAnsi="Arial"/>
        <w:color w:val="F2F2F2"/>
        <w:sz w:val="22"/>
      </w:rPr>
      <w:tblPr/>
      <w:tcPr>
        <w:shd w:val="clear" w:color="auto" w:fill="D99695" w:themeFill="accent2" w:themeFillTint="97"/>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DCDC" w:themeFill="accent2" w:themeFillTint="32"/>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DCDC" w:themeFill="accent2" w:themeFillTint="32"/>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3">
    <w:name w:val="Bordered &amp; Lined - Accent 3"/>
    <w:basedOn w:val="TableNormal"/>
    <w:uiPriority w:val="99"/>
    <w:qFormat/>
    <w:rPr>
      <w:color w:val="404040"/>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pPr>
        <w:snapToGrid/>
      </w:pPr>
      <w:rPr>
        <w:rFonts w:ascii="Arial" w:hAnsi="Arial"/>
        <w:color w:val="F2F2F2"/>
        <w:sz w:val="22"/>
      </w:rPr>
      <w:tblPr/>
      <w:tcPr>
        <w:shd w:val="clear" w:color="auto" w:fill="9ABB59" w:themeFill="accent3" w:themeFillTint="FE"/>
      </w:tcPr>
    </w:tblStylePr>
    <w:tblStylePr w:type="lastRow">
      <w:pPr>
        <w:snapToGrid/>
      </w:pPr>
      <w:rPr>
        <w:rFonts w:ascii="Arial" w:hAnsi="Arial"/>
        <w:color w:val="F2F2F2"/>
        <w:sz w:val="22"/>
      </w:rPr>
      <w:tblPr/>
      <w:tcPr>
        <w:shd w:val="clear" w:color="auto" w:fill="9ABB59" w:themeFill="accent3" w:themeFillTint="FE"/>
      </w:tcPr>
    </w:tblStylePr>
    <w:tblStylePr w:type="firstCol">
      <w:pPr>
        <w:snapToGrid/>
      </w:pPr>
      <w:rPr>
        <w:rFonts w:ascii="Arial" w:hAnsi="Arial"/>
        <w:color w:val="F2F2F2"/>
        <w:sz w:val="22"/>
      </w:rPr>
      <w:tblPr/>
      <w:tcPr>
        <w:shd w:val="clear" w:color="auto" w:fill="9ABB59" w:themeFill="accent3" w:themeFillTint="FE"/>
      </w:tcPr>
    </w:tblStylePr>
    <w:tblStylePr w:type="lastCol">
      <w:pPr>
        <w:snapToGrid/>
      </w:pPr>
      <w:rPr>
        <w:rFonts w:ascii="Arial" w:hAnsi="Arial"/>
        <w:color w:val="F2F2F2"/>
        <w:sz w:val="22"/>
      </w:rPr>
      <w:tblPr/>
      <w:tcPr>
        <w:shd w:val="clear" w:color="auto" w:fill="9ABB59" w:themeFill="accent3" w:themeFillTint="FE"/>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AF1DC" w:themeFill="accent3"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AF1DC" w:themeFill="accent3"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4">
    <w:name w:val="Bordered &amp; Lined - Accent 4"/>
    <w:basedOn w:val="TableNormal"/>
    <w:uiPriority w:val="99"/>
    <w:qFormat/>
    <w:rPr>
      <w:color w:val="404040"/>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pPr>
        <w:snapToGrid/>
      </w:pPr>
      <w:rPr>
        <w:rFonts w:ascii="Arial" w:hAnsi="Arial"/>
        <w:color w:val="F2F2F2"/>
        <w:sz w:val="22"/>
      </w:rPr>
      <w:tblPr/>
      <w:tcPr>
        <w:shd w:val="clear" w:color="auto" w:fill="B2A1C6" w:themeFill="accent4" w:themeFillTint="9A"/>
      </w:tcPr>
    </w:tblStylePr>
    <w:tblStylePr w:type="lastRow">
      <w:pPr>
        <w:snapToGrid/>
      </w:pPr>
      <w:rPr>
        <w:rFonts w:ascii="Arial" w:hAnsi="Arial"/>
        <w:color w:val="F2F2F2"/>
        <w:sz w:val="22"/>
      </w:rPr>
      <w:tblPr/>
      <w:tcPr>
        <w:shd w:val="clear" w:color="auto" w:fill="B2A1C6" w:themeFill="accent4" w:themeFillTint="9A"/>
      </w:tcPr>
    </w:tblStylePr>
    <w:tblStylePr w:type="firstCol">
      <w:pPr>
        <w:snapToGrid/>
      </w:pPr>
      <w:rPr>
        <w:rFonts w:ascii="Arial" w:hAnsi="Arial"/>
        <w:color w:val="F2F2F2"/>
        <w:sz w:val="22"/>
      </w:rPr>
      <w:tblPr/>
      <w:tcPr>
        <w:shd w:val="clear" w:color="auto" w:fill="B2A1C6" w:themeFill="accent4" w:themeFillTint="9A"/>
      </w:tcPr>
    </w:tblStylePr>
    <w:tblStylePr w:type="lastCol">
      <w:pPr>
        <w:snapToGrid/>
      </w:pPr>
      <w:rPr>
        <w:rFonts w:ascii="Arial" w:hAnsi="Arial"/>
        <w:color w:val="F2F2F2"/>
        <w:sz w:val="22"/>
      </w:rPr>
      <w:tblPr/>
      <w:tcPr>
        <w:shd w:val="clear" w:color="auto" w:fill="B2A1C6" w:themeFill="accent4" w:themeFillTint="9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5DFEC" w:themeFill="accent4"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5DFEC" w:themeFill="accent4"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5">
    <w:name w:val="Bordered &amp; Lined - Accent 5"/>
    <w:basedOn w:val="TableNormal"/>
    <w:uiPriority w:val="99"/>
    <w:qFormat/>
    <w:rPr>
      <w:color w:val="404040"/>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pPr>
        <w:snapToGrid/>
      </w:pPr>
      <w:rPr>
        <w:rFonts w:ascii="Arial" w:hAnsi="Arial"/>
        <w:color w:val="F2F2F2"/>
        <w:sz w:val="22"/>
      </w:rPr>
      <w:tblPr/>
      <w:tcPr>
        <w:shd w:val="clear" w:color="auto" w:fill="4BACC6" w:themeFill="accent5"/>
      </w:tcPr>
    </w:tblStylePr>
    <w:tblStylePr w:type="lastRow">
      <w:pPr>
        <w:snapToGrid/>
      </w:pPr>
      <w:rPr>
        <w:rFonts w:ascii="Arial" w:hAnsi="Arial"/>
        <w:color w:val="F2F2F2"/>
        <w:sz w:val="22"/>
      </w:rPr>
      <w:tblPr/>
      <w:tcPr>
        <w:shd w:val="clear" w:color="auto" w:fill="4BACC6" w:themeFill="accent5"/>
      </w:tcPr>
    </w:tblStylePr>
    <w:tblStylePr w:type="firstCol">
      <w:pPr>
        <w:snapToGrid/>
      </w:pPr>
      <w:rPr>
        <w:rFonts w:ascii="Arial" w:hAnsi="Arial"/>
        <w:color w:val="F2F2F2"/>
        <w:sz w:val="22"/>
      </w:rPr>
      <w:tblPr/>
      <w:tcPr>
        <w:shd w:val="clear" w:color="auto" w:fill="4BACC6" w:themeFill="accent5"/>
      </w:tcPr>
    </w:tblStylePr>
    <w:tblStylePr w:type="lastCol">
      <w:pPr>
        <w:snapToGrid/>
      </w:pPr>
      <w:rPr>
        <w:rFonts w:ascii="Arial" w:hAnsi="Arial"/>
        <w:color w:val="F2F2F2"/>
        <w:sz w:val="22"/>
      </w:rPr>
      <w:tblPr/>
      <w:tcPr>
        <w:shd w:val="clear" w:color="auto" w:fill="4BACC6" w:themeFill="accent5"/>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DAEEF3" w:themeFill="accent5"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DAEEF3" w:themeFill="accent5"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6">
    <w:name w:val="Bordered &amp; Lined - Accent 6"/>
    <w:basedOn w:val="TableNormal"/>
    <w:uiPriority w:val="99"/>
    <w:qFormat/>
    <w:rPr>
      <w:color w:val="404040"/>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pPr>
        <w:snapToGrid/>
      </w:pPr>
      <w:rPr>
        <w:rFonts w:ascii="Arial" w:hAnsi="Arial"/>
        <w:color w:val="F2F2F2"/>
        <w:sz w:val="22"/>
      </w:rPr>
      <w:tblPr/>
      <w:tcPr>
        <w:shd w:val="clear" w:color="auto" w:fill="F79646" w:themeFill="accent6"/>
      </w:tcPr>
    </w:tblStylePr>
    <w:tblStylePr w:type="lastRow">
      <w:pPr>
        <w:snapToGrid/>
      </w:pPr>
      <w:rPr>
        <w:rFonts w:ascii="Arial" w:hAnsi="Arial"/>
        <w:color w:val="F2F2F2"/>
        <w:sz w:val="22"/>
      </w:rPr>
      <w:tblPr/>
      <w:tcPr>
        <w:shd w:val="clear" w:color="auto" w:fill="F79646" w:themeFill="accent6"/>
      </w:tcPr>
    </w:tblStylePr>
    <w:tblStylePr w:type="firstCol">
      <w:pPr>
        <w:snapToGrid/>
      </w:pPr>
      <w:rPr>
        <w:rFonts w:ascii="Arial" w:hAnsi="Arial"/>
        <w:color w:val="F2F2F2"/>
        <w:sz w:val="22"/>
      </w:rPr>
      <w:tblPr/>
      <w:tcPr>
        <w:shd w:val="clear" w:color="auto" w:fill="F79646" w:themeFill="accent6"/>
      </w:tcPr>
    </w:tblStylePr>
    <w:tblStylePr w:type="lastCol">
      <w:pPr>
        <w:snapToGrid/>
      </w:pPr>
      <w:rPr>
        <w:rFonts w:ascii="Arial" w:hAnsi="Arial"/>
        <w:color w:val="F2F2F2"/>
        <w:sz w:val="22"/>
      </w:rPr>
      <w:tblPr/>
      <w:tcPr>
        <w:shd w:val="clear" w:color="auto" w:fill="F79646" w:themeFill="accent6"/>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DE9D8" w:themeFill="accent6"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DE9D8" w:themeFill="accent6"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
    <w:name w:val="Bordered"/>
    <w:basedOn w:val="TableNormal"/>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pPr>
        <w:snapToGrid/>
      </w:pPr>
      <w:rPr>
        <w:rFonts w:ascii="Arial" w:hAnsi="Arial"/>
        <w:color w:val="404040"/>
        <w:sz w:val="22"/>
      </w:rPr>
      <w:tblPr/>
      <w:tcPr>
        <w:tcBorders>
          <w:bottom w:val="single" w:sz="12" w:space="0" w:color="7F7F7F" w:themeColor="text1" w:themeTint="80"/>
        </w:tcBorders>
      </w:tcPr>
    </w:tblStylePr>
    <w:tblStylePr w:type="lastRow">
      <w:pPr>
        <w:snapToGrid/>
      </w:pPr>
      <w:rPr>
        <w:rFonts w:ascii="Arial" w:hAnsi="Arial"/>
        <w:color w:val="404040"/>
        <w:sz w:val="22"/>
      </w:rPr>
      <w:tblPr/>
      <w:tcPr>
        <w:tcBorders>
          <w:top w:val="single" w:sz="12" w:space="0" w:color="7F7F7F" w:themeColor="text1" w:themeTint="8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7F7F7F" w:themeColor="text1" w:themeTint="80"/>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1">
    <w:name w:val="Bordered - Accent 1"/>
    <w:basedOn w:val="TableNormal"/>
    <w:uiPriority w:val="99"/>
    <w:qFormat/>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pPr>
        <w:snapToGrid/>
      </w:pPr>
      <w:rPr>
        <w:rFonts w:ascii="Arial" w:hAnsi="Arial"/>
        <w:color w:val="404040"/>
        <w:sz w:val="22"/>
      </w:rPr>
      <w:tblPr/>
      <w:tcPr>
        <w:tcBorders>
          <w:bottom w:val="single" w:sz="12" w:space="0" w:color="4F81BD" w:themeColor="accent1"/>
        </w:tcBorders>
      </w:tcPr>
    </w:tblStylePr>
    <w:tblStylePr w:type="lastRow">
      <w:pPr>
        <w:snapToGrid/>
      </w:pPr>
      <w:rPr>
        <w:rFonts w:ascii="Arial" w:hAnsi="Arial"/>
        <w:color w:val="404040"/>
        <w:sz w:val="22"/>
      </w:rPr>
      <w:tblPr/>
      <w:tcPr>
        <w:tcBorders>
          <w:top w:val="single" w:sz="12" w:space="0" w:color="4F81BD" w:themeColor="accent1"/>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4F81BD" w:themeColor="accent1"/>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2">
    <w:name w:val="Bordered - Accent 2"/>
    <w:basedOn w:val="TableNormal"/>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pPr>
        <w:snapToGrid/>
      </w:pPr>
      <w:rPr>
        <w:rFonts w:ascii="Arial" w:hAnsi="Arial"/>
        <w:color w:val="404040"/>
        <w:sz w:val="22"/>
      </w:rPr>
      <w:tblPr/>
      <w:tcPr>
        <w:tcBorders>
          <w:bottom w:val="single" w:sz="12" w:space="0" w:color="D99695" w:themeColor="accent2" w:themeTint="97"/>
        </w:tcBorders>
      </w:tcPr>
    </w:tblStylePr>
    <w:tblStylePr w:type="lastRow">
      <w:pPr>
        <w:snapToGrid/>
      </w:pPr>
      <w:rPr>
        <w:rFonts w:ascii="Arial" w:hAnsi="Arial"/>
        <w:color w:val="404040"/>
        <w:sz w:val="22"/>
      </w:rPr>
      <w:tblPr/>
      <w:tcPr>
        <w:tcBorders>
          <w:top w:val="single" w:sz="12" w:space="0" w:color="D99695" w:themeColor="accent2" w:themeTint="97"/>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D99695" w:themeColor="accent2" w:themeTint="97"/>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3">
    <w:name w:val="Bordered - Accent 3"/>
    <w:basedOn w:val="TableNormal"/>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pPr>
        <w:snapToGrid/>
      </w:pPr>
      <w:rPr>
        <w:rFonts w:ascii="Arial" w:hAnsi="Arial"/>
        <w:color w:val="404040"/>
        <w:sz w:val="22"/>
      </w:rPr>
      <w:tblPr/>
      <w:tcPr>
        <w:tcBorders>
          <w:bottom w:val="single" w:sz="12" w:space="0" w:color="C3D69B" w:themeColor="accent3" w:themeTint="98"/>
        </w:tcBorders>
      </w:tcPr>
    </w:tblStylePr>
    <w:tblStylePr w:type="lastRow">
      <w:pPr>
        <w:snapToGrid/>
      </w:pPr>
      <w:rPr>
        <w:rFonts w:ascii="Arial" w:hAnsi="Arial"/>
        <w:color w:val="404040"/>
        <w:sz w:val="22"/>
      </w:rPr>
      <w:tblPr/>
      <w:tcPr>
        <w:tcBorders>
          <w:top w:val="single" w:sz="12" w:space="0" w:color="C3D69B" w:themeColor="accent3" w:themeTint="98"/>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C3D69B" w:themeColor="accent3" w:themeTint="98"/>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4">
    <w:name w:val="Bordered - Accent 4"/>
    <w:basedOn w:val="TableNormal"/>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pPr>
        <w:snapToGrid/>
      </w:pPr>
      <w:rPr>
        <w:rFonts w:ascii="Arial" w:hAnsi="Arial"/>
        <w:color w:val="404040"/>
        <w:sz w:val="22"/>
      </w:rPr>
      <w:tblPr/>
      <w:tcPr>
        <w:tcBorders>
          <w:bottom w:val="single" w:sz="12" w:space="0" w:color="B2A1C6" w:themeColor="accent4" w:themeTint="9A"/>
        </w:tcBorders>
      </w:tcPr>
    </w:tblStylePr>
    <w:tblStylePr w:type="lastRow">
      <w:pPr>
        <w:snapToGrid/>
      </w:pPr>
      <w:rPr>
        <w:rFonts w:ascii="Arial" w:hAnsi="Arial"/>
        <w:color w:val="404040"/>
        <w:sz w:val="22"/>
      </w:rPr>
      <w:tblPr/>
      <w:tcPr>
        <w:tcBorders>
          <w:top w:val="single" w:sz="12" w:space="0" w:color="B2A1C6" w:themeColor="accent4" w:themeTint="9A"/>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B2A1C6" w:themeColor="accent4" w:themeTint="9A"/>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5">
    <w:name w:val="Bordered - Accent 5"/>
    <w:basedOn w:val="TableNormal"/>
    <w:uiPriority w:val="99"/>
    <w:qFormat/>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pPr>
        <w:snapToGrid/>
      </w:pPr>
      <w:rPr>
        <w:rFonts w:ascii="Arial" w:hAnsi="Arial"/>
        <w:color w:val="404040"/>
        <w:sz w:val="22"/>
      </w:rPr>
      <w:tblPr/>
      <w:tcPr>
        <w:tcBorders>
          <w:bottom w:val="single" w:sz="12" w:space="0" w:color="92CCDC" w:themeColor="accent5" w:themeTint="9A"/>
        </w:tcBorders>
      </w:tcPr>
    </w:tblStylePr>
    <w:tblStylePr w:type="lastRow">
      <w:pPr>
        <w:snapToGrid/>
      </w:pPr>
      <w:rPr>
        <w:rFonts w:ascii="Arial" w:hAnsi="Arial"/>
        <w:color w:val="404040"/>
        <w:sz w:val="22"/>
      </w:rPr>
      <w:tblPr/>
      <w:tcPr>
        <w:tcBorders>
          <w:top w:val="single" w:sz="12" w:space="0" w:color="92CCDC" w:themeColor="accent5" w:themeTint="9A"/>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92CCDC" w:themeColor="accent5" w:themeTint="9A"/>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6">
    <w:name w:val="Bordered - Accent 6"/>
    <w:basedOn w:val="TableNormal"/>
    <w:uiPriority w:val="99"/>
    <w:qFormat/>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pPr>
        <w:snapToGrid/>
      </w:pPr>
      <w:rPr>
        <w:rFonts w:ascii="Arial" w:hAnsi="Arial"/>
        <w:color w:val="404040"/>
        <w:sz w:val="22"/>
      </w:rPr>
      <w:tblPr/>
      <w:tcPr>
        <w:tcBorders>
          <w:bottom w:val="single" w:sz="12" w:space="0" w:color="FAC090" w:themeColor="accent6" w:themeTint="98"/>
        </w:tcBorders>
      </w:tcPr>
    </w:tblStylePr>
    <w:tblStylePr w:type="lastRow">
      <w:pPr>
        <w:snapToGrid/>
      </w:pPr>
      <w:rPr>
        <w:rFonts w:ascii="Arial" w:hAnsi="Arial"/>
        <w:color w:val="404040"/>
        <w:sz w:val="22"/>
      </w:rPr>
      <w:tblPr/>
      <w:tcPr>
        <w:tcBorders>
          <w:top w:val="single" w:sz="12" w:space="0" w:color="FAC090" w:themeColor="accent6" w:themeTint="98"/>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FAC090" w:themeColor="accent6" w:themeTint="98"/>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character" w:customStyle="1" w:styleId="FootnoteTextChar1">
    <w:name w:val="Footnote Text Char1"/>
    <w:link w:val="FootnoteText"/>
    <w:uiPriority w:val="99"/>
    <w:qFormat/>
    <w:rPr>
      <w:sz w:val="18"/>
    </w:rPr>
  </w:style>
  <w:style w:type="paragraph" w:customStyle="1" w:styleId="TOC11">
    <w:name w:val="TOC 标题1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szCs w:val="22"/>
      <w:lang w:eastAsia="en-US" w:bidi="en-US"/>
    </w:rPr>
  </w:style>
  <w:style w:type="paragraph" w:customStyle="1" w:styleId="a1">
    <w:name w:val="正文所"/>
    <w:basedOn w:val="Normal"/>
    <w:qFormat/>
    <w:pPr>
      <w:spacing w:line="360" w:lineRule="auto"/>
      <w:ind w:firstLine="420"/>
    </w:pPr>
    <w:rPr>
      <w:rFonts w:ascii="宋体"/>
      <w:szCs w:val="20"/>
    </w:rPr>
  </w:style>
  <w:style w:type="paragraph" w:customStyle="1" w:styleId="ParaChar">
    <w:name w:val="默认段落字体 Para Char"/>
    <w:basedOn w:val="Normal"/>
    <w:qFormat/>
    <w:pPr>
      <w:tabs>
        <w:tab w:val="left" w:pos="360"/>
      </w:tabs>
      <w:spacing w:before="312" w:after="312" w:line="360" w:lineRule="auto"/>
    </w:pPr>
  </w:style>
  <w:style w:type="paragraph" w:customStyle="1" w:styleId="CharCharCharChar">
    <w:name w:val="Char Char Char Char"/>
    <w:basedOn w:val="Normal"/>
    <w:qFormat/>
    <w:pPr>
      <w:tabs>
        <w:tab w:val="left" w:pos="360"/>
      </w:tabs>
    </w:pPr>
    <w:rPr>
      <w:szCs w:val="20"/>
    </w:rPr>
  </w:style>
  <w:style w:type="character" w:customStyle="1" w:styleId="CommentTextChar">
    <w:name w:val="Comment Text Char"/>
    <w:link w:val="CommentText"/>
    <w:qFormat/>
    <w:rPr>
      <w:rFonts w:eastAsia="宋体"/>
      <w:sz w:val="21"/>
      <w:szCs w:val="24"/>
      <w:lang w:val="en-US" w:eastAsia="zh-CN" w:bidi="ar-SA"/>
    </w:rPr>
  </w:style>
  <w:style w:type="paragraph" w:customStyle="1" w:styleId="CharCharCharCharCharChar1CharCharChar">
    <w:name w:val="Char Char Char Char Char Char1 Char Char Char"/>
    <w:basedOn w:val="Normal"/>
    <w:qFormat/>
    <w:pPr>
      <w:jc w:val="left"/>
    </w:pPr>
    <w:rPr>
      <w:rFonts w:eastAsia="方正仿宋简体"/>
      <w:sz w:val="32"/>
      <w:szCs w:val="20"/>
    </w:rPr>
  </w:style>
  <w:style w:type="character" w:customStyle="1" w:styleId="CharChar1">
    <w:name w:val="Char Char1"/>
    <w:qFormat/>
    <w:rPr>
      <w:rFonts w:ascii="宋体" w:eastAsia="宋体" w:hAnsi="宋体"/>
      <w:sz w:val="21"/>
      <w:szCs w:val="24"/>
      <w:lang w:val="en-US" w:eastAsia="zh-CN" w:bidi="ar-SA"/>
    </w:rPr>
  </w:style>
  <w:style w:type="paragraph" w:customStyle="1" w:styleId="13">
    <w:name w:val="列出段落1"/>
    <w:basedOn w:val="Normal"/>
    <w:uiPriority w:val="34"/>
    <w:qFormat/>
    <w:pPr>
      <w:ind w:firstLine="420"/>
    </w:pPr>
  </w:style>
  <w:style w:type="paragraph" w:customStyle="1" w:styleId="112">
    <w:name w:val="无间隔11"/>
    <w:uiPriority w:val="1"/>
    <w:qFormat/>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jc w:val="both"/>
    </w:pPr>
    <w:rPr>
      <w:rFonts w:ascii="Times New Roman" w:eastAsia="华文宋体" w:hAnsi="Times New Roman" w:cs="Times New Roman"/>
      <w:sz w:val="24"/>
      <w:szCs w:val="24"/>
    </w:rPr>
  </w:style>
  <w:style w:type="character" w:customStyle="1" w:styleId="FooterChar1">
    <w:name w:val="Footer Char1"/>
    <w:basedOn w:val="DefaultParagraphFont"/>
    <w:link w:val="Footer"/>
    <w:uiPriority w:val="99"/>
    <w:qFormat/>
    <w:rPr>
      <w:rFonts w:eastAsia="华文宋体"/>
      <w:sz w:val="18"/>
      <w:szCs w:val="18"/>
    </w:rPr>
  </w:style>
  <w:style w:type="character" w:customStyle="1" w:styleId="a2">
    <w:name w:val="批注文字 字符"/>
    <w:qFormat/>
    <w:rPr>
      <w:sz w:val="21"/>
      <w:szCs w:val="24"/>
    </w:rPr>
  </w:style>
  <w:style w:type="paragraph" w:customStyle="1" w:styleId="Default">
    <w:name w:val="Default"/>
    <w:qFormat/>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pPr>
    <w:rPr>
      <w:rFonts w:ascii="仿宋" w:eastAsia="仿宋" w:hAnsi="Times New Roman" w:cs="仿宋"/>
      <w:color w:val="000000"/>
      <w:sz w:val="24"/>
      <w:szCs w:val="24"/>
    </w:rPr>
  </w:style>
  <w:style w:type="paragraph" w:customStyle="1" w:styleId="14">
    <w:name w:val="修订1"/>
    <w:hidden/>
    <w:uiPriority w:val="99"/>
    <w:semiHidden/>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rFonts w:ascii="Times New Roman" w:eastAsia="华文宋体" w:hAnsi="Times New Roman" w:cs="Times New Roman"/>
      <w:sz w:val="24"/>
      <w:szCs w:val="24"/>
    </w:rPr>
  </w:style>
  <w:style w:type="paragraph" w:customStyle="1" w:styleId="a3">
    <w:name w:val="段"/>
    <w:qFormat/>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200"/>
      <w:jc w:val="both"/>
    </w:pPr>
    <w:rPr>
      <w:rFonts w:ascii="宋体" w:cs="Times New Roman"/>
      <w:sz w:val="21"/>
      <w:szCs w:val="22"/>
    </w:rPr>
  </w:style>
  <w:style w:type="paragraph" w:customStyle="1" w:styleId="2">
    <w:name w:val="修订2"/>
    <w:hidden/>
    <w:uiPriority w:val="99"/>
    <w:semiHidden/>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rFonts w:ascii="Times New Roman" w:eastAsia="华文宋体" w:hAnsi="Times New Roman" w:cs="Times New Roman"/>
      <w:sz w:val="24"/>
      <w:szCs w:val="24"/>
    </w:rPr>
  </w:style>
  <w:style w:type="paragraph" w:customStyle="1" w:styleId="3">
    <w:name w:val="修订3"/>
    <w:hidden/>
    <w:uiPriority w:val="9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rFonts w:ascii="Times New Roman" w:eastAsia="华文宋体" w:hAnsi="Times New Roman" w:cs="Times New Roman"/>
      <w:sz w:val="24"/>
      <w:szCs w:val="24"/>
    </w:rPr>
  </w:style>
  <w:style w:type="paragraph" w:customStyle="1" w:styleId="4">
    <w:name w:val="修订4"/>
    <w:hidden/>
    <w:uiPriority w:val="9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rFonts w:ascii="Times New Roman" w:eastAsia="华文宋体" w:hAnsi="Times New Roman" w:cs="Times New Roman"/>
      <w:sz w:val="24"/>
      <w:szCs w:val="24"/>
    </w:rPr>
  </w:style>
  <w:style w:type="character" w:customStyle="1" w:styleId="font21">
    <w:name w:val="font21"/>
    <w:basedOn w:val="DefaultParagraphFont"/>
    <w:qFormat/>
    <w:rPr>
      <w:rFonts w:ascii="仿宋_GB2312" w:eastAsia="仿宋_GB2312" w:cs="仿宋_GB2312" w:hint="default"/>
      <w:color w:val="000000"/>
      <w:sz w:val="24"/>
      <w:szCs w:val="24"/>
      <w:u w:val="none"/>
    </w:rPr>
  </w:style>
  <w:style w:type="character" w:customStyle="1" w:styleId="Char1">
    <w:name w:val="批注文字 Char1"/>
    <w:uiPriority w:val="99"/>
    <w:qFormat/>
    <w:rPr>
      <w:sz w:val="21"/>
      <w:szCs w:val="24"/>
    </w:rPr>
  </w:style>
  <w:style w:type="character" w:customStyle="1" w:styleId="Heading3Char1">
    <w:name w:val="Heading 3 Char1"/>
    <w:basedOn w:val="DefaultParagraphFont"/>
    <w:link w:val="Heading3"/>
    <w:qFormat/>
    <w:rPr>
      <w:rFonts w:ascii="Times New Roman" w:eastAsia="华文宋体" w:hAnsi="Times New Roman" w:cs="Times New Roman"/>
      <w:b/>
      <w:bCs/>
      <w:sz w:val="32"/>
      <w:szCs w:val="32"/>
    </w:rPr>
  </w:style>
  <w:style w:type="paragraph" w:customStyle="1" w:styleId="20">
    <w:name w:val="列出段落2"/>
    <w:basedOn w:val="Normal"/>
    <w:uiPriority w:val="99"/>
    <w:qFormat/>
    <w:pPr>
      <w:ind w:firstLine="420"/>
    </w:pPr>
  </w:style>
  <w:style w:type="paragraph" w:customStyle="1" w:styleId="5">
    <w:name w:val="修订5"/>
    <w:hidden/>
    <w:uiPriority w:val="99"/>
    <w:semiHidden/>
    <w:rPr>
      <w:rFonts w:ascii="Times New Roman" w:eastAsia="华文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宋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11781</Words>
  <Characters>67157</Characters>
  <Application>Microsoft Office Word</Application>
  <DocSecurity>0</DocSecurity>
  <Lines>559</Lines>
  <Paragraphs>157</Paragraphs>
  <ScaleCrop>false</ScaleCrop>
  <Company>ICBC</Company>
  <LinksUpToDate>false</LinksUpToDate>
  <CharactersWithSpaces>78781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资产管理合同</dc:title>
  <dc:creator>黄绍华</dc:creator>
  <cp:lastModifiedBy>Xinyu Zhou</cp:lastModifiedBy>
  <cp:revision>2</cp:revision>
  <dcterms:created xsi:type="dcterms:W3CDTF">2021-12-16T05:19:00Z</dcterms:created>
  <dcterms:modified xsi:type="dcterms:W3CDTF">2021-12-16T05:19:00Z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C352AF32D25740138F4D614DA98654BE</vt:lpwstr>
  </property>
</Properties>
</file>