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76" w:lineRule="auto"/>
        <w:ind w:left="3" w:leftChars="-295" w:right="964" w:hanging="622" w:hangingChars="258"/>
        <w:jc w:val="left"/>
        <w:rPr>
          <w:rFonts w:ascii="仿宋_GB2312" w:eastAsia="仿宋_GB2312"/>
          <w:b/>
          <w:sz w:val="24"/>
        </w:rPr>
      </w:pPr>
    </w:p>
    <w:p>
      <w:pPr>
        <w:spacing w:line="276" w:lineRule="auto"/>
        <w:ind w:left="3" w:leftChars="-295" w:right="964" w:hanging="622" w:hangingChars="258"/>
        <w:jc w:val="left"/>
        <w:rPr>
          <w:rFonts w:ascii="仿宋_GB2312" w:eastAsia="仿宋_GB2312"/>
          <w:b/>
          <w:sz w:val="24"/>
        </w:rPr>
      </w:pPr>
      <w:r>
        <w:rPr>
          <w:rFonts w:hint="eastAsia" w:ascii="仿宋_GB2312" w:eastAsia="仿宋_GB2312"/>
          <w:b/>
          <w:sz w:val="24"/>
        </w:rPr>
        <w:t>申请日期：2021年11月</w:t>
      </w:r>
      <w:r>
        <w:rPr>
          <w:rFonts w:hint="eastAsia" w:ascii="仿宋_GB2312" w:eastAsia="仿宋_GB2312"/>
          <w:b/>
          <w:sz w:val="24"/>
          <w:lang w:val="en-US" w:eastAsia="zh-CN"/>
        </w:rPr>
        <w:t>11</w:t>
      </w:r>
      <w:r>
        <w:rPr>
          <w:rFonts w:hint="eastAsia" w:ascii="仿宋_GB2312" w:eastAsia="仿宋_GB2312"/>
          <w:b/>
          <w:sz w:val="24"/>
        </w:rPr>
        <w:t xml:space="preserve">日 </w:t>
      </w:r>
    </w:p>
    <w:tbl>
      <w:tblPr>
        <w:tblStyle w:val="5"/>
        <w:tblW w:w="1072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51"/>
        <w:gridCol w:w="2909"/>
        <w:gridCol w:w="2148"/>
        <w:gridCol w:w="32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70" w:hRule="atLeast"/>
          <w:jc w:val="center"/>
        </w:trPr>
        <w:tc>
          <w:tcPr>
            <w:tcW w:w="10720" w:type="dxa"/>
            <w:gridSpan w:val="4"/>
            <w:shd w:val="clear" w:color="auto" w:fill="F2F2F2"/>
            <w:vAlign w:val="center"/>
          </w:tcPr>
          <w:p>
            <w:pPr>
              <w:spacing w:line="276" w:lineRule="auto"/>
              <w:jc w:val="center"/>
              <w:rPr>
                <w:rFonts w:ascii="仿宋_GB2312" w:hAnsi="仿宋_GB2312" w:eastAsia="仿宋_GB2312" w:cs="仿宋_GB2312"/>
                <w:sz w:val="24"/>
              </w:rPr>
            </w:pPr>
            <w:r>
              <w:rPr>
                <w:rFonts w:hint="eastAsia" w:ascii="仿宋_GB2312" w:hAnsi="仿宋_GB2312" w:eastAsia="仿宋_GB2312" w:cs="仿宋_GB2312"/>
                <w:b/>
                <w:bCs/>
                <w:sz w:val="30"/>
                <w:szCs w:val="30"/>
              </w:rPr>
              <w:t>投资申请信息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06" w:hRule="atLeast"/>
          <w:jc w:val="center"/>
        </w:trPr>
        <w:tc>
          <w:tcPr>
            <w:tcW w:w="2451" w:type="dxa"/>
            <w:vAlign w:val="center"/>
          </w:tcPr>
          <w:p>
            <w:pPr>
              <w:spacing w:line="276" w:lineRule="auto"/>
              <w:rPr>
                <w:rFonts w:ascii="仿宋_GB2312" w:hAnsi="仿宋_GB2312" w:eastAsia="仿宋_GB2312" w:cs="仿宋_GB2312"/>
                <w:b/>
                <w:sz w:val="24"/>
              </w:rPr>
            </w:pPr>
            <w:r>
              <w:rPr>
                <w:rFonts w:hint="eastAsia" w:ascii="仿宋_GB2312" w:hAnsi="仿宋_GB2312" w:eastAsia="仿宋_GB2312" w:cs="仿宋_GB2312"/>
                <w:b/>
                <w:sz w:val="24"/>
              </w:rPr>
              <w:t>发起部门</w:t>
            </w:r>
          </w:p>
        </w:tc>
        <w:tc>
          <w:tcPr>
            <w:tcW w:w="2909" w:type="dxa"/>
            <w:vAlign w:val="center"/>
          </w:tcPr>
          <w:p>
            <w:pPr>
              <w:spacing w:line="288" w:lineRule="auto"/>
              <w:rPr>
                <w:rFonts w:ascii="仿宋_GB2312" w:hAnsi="仿宋_GB2312" w:eastAsia="仿宋_GB2312" w:cs="仿宋_GB2312"/>
              </w:rPr>
            </w:pPr>
            <w:r>
              <w:rPr>
                <w:rFonts w:hint="eastAsia" w:ascii="仿宋_GB2312" w:hAnsi="仿宋_GB2312" w:eastAsia="仿宋_GB2312" w:cs="仿宋_GB2312"/>
                <w:sz w:val="24"/>
              </w:rPr>
              <w:t>股票投资部</w:t>
            </w:r>
          </w:p>
        </w:tc>
        <w:tc>
          <w:tcPr>
            <w:tcW w:w="2148" w:type="dxa"/>
            <w:vAlign w:val="center"/>
          </w:tcPr>
          <w:p>
            <w:pPr>
              <w:spacing w:line="288" w:lineRule="auto"/>
              <w:rPr>
                <w:rFonts w:ascii="仿宋_GB2312" w:hAnsi="仿宋_GB2312" w:eastAsia="仿宋_GB2312" w:cs="仿宋_GB2312"/>
                <w:sz w:val="24"/>
              </w:rPr>
            </w:pPr>
            <w:r>
              <w:rPr>
                <w:rFonts w:hint="eastAsia" w:ascii="仿宋_GB2312" w:hAnsi="仿宋_GB2312" w:eastAsia="仿宋_GB2312" w:cs="仿宋_GB2312"/>
                <w:b/>
                <w:sz w:val="24"/>
              </w:rPr>
              <w:t>发起人</w:t>
            </w:r>
          </w:p>
        </w:tc>
        <w:tc>
          <w:tcPr>
            <w:tcW w:w="3212" w:type="dxa"/>
            <w:vAlign w:val="center"/>
          </w:tcPr>
          <w:p>
            <w:pPr>
              <w:spacing w:line="288" w:lineRule="auto"/>
              <w:rPr>
                <w:rFonts w:ascii="仿宋_GB2312" w:hAnsi="仿宋_GB2312" w:eastAsia="仿宋_GB2312" w:cs="仿宋_GB2312"/>
                <w:sz w:val="24"/>
              </w:rPr>
            </w:pPr>
            <w:r>
              <w:rPr>
                <w:rFonts w:hint="eastAsia" w:ascii="仿宋_GB2312" w:hAnsi="仿宋_GB2312" w:eastAsia="仿宋_GB2312" w:cs="仿宋_GB2312"/>
                <w:sz w:val="24"/>
              </w:rPr>
              <w:t>倪晨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6" w:hRule="atLeast"/>
          <w:jc w:val="center"/>
        </w:trPr>
        <w:tc>
          <w:tcPr>
            <w:tcW w:w="2451" w:type="dxa"/>
            <w:vAlign w:val="center"/>
          </w:tcPr>
          <w:p>
            <w:pPr>
              <w:spacing w:line="276" w:lineRule="auto"/>
              <w:rPr>
                <w:rFonts w:ascii="仿宋_GB2312" w:hAnsi="仿宋_GB2312" w:eastAsia="仿宋_GB2312" w:cs="仿宋_GB2312"/>
                <w:b/>
                <w:sz w:val="24"/>
              </w:rPr>
            </w:pPr>
            <w:r>
              <w:rPr>
                <w:rFonts w:hint="eastAsia" w:ascii="仿宋_GB2312" w:hAnsi="仿宋_GB2312" w:eastAsia="仿宋_GB2312" w:cs="仿宋_GB2312"/>
                <w:b/>
                <w:sz w:val="24"/>
              </w:rPr>
              <w:t>标的名称</w:t>
            </w:r>
          </w:p>
        </w:tc>
        <w:tc>
          <w:tcPr>
            <w:tcW w:w="2909" w:type="dxa"/>
            <w:vAlign w:val="center"/>
          </w:tcPr>
          <w:p>
            <w:pPr>
              <w:spacing w:line="288" w:lineRule="auto"/>
              <w:rPr>
                <w:rFonts w:ascii="仿宋_GB2312" w:hAnsi="仿宋_GB2312" w:eastAsia="仿宋_GB2312" w:cs="仿宋_GB2312"/>
                <w:sz w:val="24"/>
              </w:rPr>
            </w:pPr>
            <w:bookmarkStart w:id="0" w:name="_GoBack"/>
            <w:r>
              <w:rPr>
                <w:rFonts w:hint="eastAsia" w:ascii="仿宋_GB2312" w:hAnsi="仿宋_GB2312" w:eastAsia="仿宋_GB2312" w:cs="仿宋_GB2312"/>
                <w:sz w:val="24"/>
              </w:rPr>
              <w:t>中欧丰泓沪港深基金</w:t>
            </w:r>
          </w:p>
          <w:p>
            <w:pPr>
              <w:spacing w:line="288" w:lineRule="auto"/>
              <w:rPr>
                <w:rFonts w:ascii="仿宋_GB2312" w:hAnsi="仿宋_GB2312" w:eastAsia="仿宋_GB2312" w:cs="仿宋_GB2312"/>
                <w:sz w:val="24"/>
              </w:rPr>
            </w:pPr>
            <w:r>
              <w:rPr>
                <w:rFonts w:hint="eastAsia" w:ascii="仿宋_GB2312" w:hAnsi="仿宋_GB2312" w:eastAsia="仿宋_GB2312" w:cs="仿宋_GB2312"/>
                <w:sz w:val="24"/>
              </w:rPr>
              <w:t>A（</w:t>
            </w:r>
            <w:r>
              <w:rPr>
                <w:rFonts w:ascii="仿宋_GB2312" w:hAnsi="仿宋_GB2312" w:eastAsia="仿宋_GB2312" w:cs="仿宋_GB2312"/>
                <w:sz w:val="24"/>
              </w:rPr>
              <w:t>002685</w:t>
            </w:r>
            <w:r>
              <w:rPr>
                <w:rFonts w:hint="eastAsia" w:ascii="仿宋_GB2312" w:hAnsi="仿宋_GB2312" w:eastAsia="仿宋_GB2312" w:cs="仿宋_GB2312"/>
                <w:sz w:val="24"/>
              </w:rPr>
              <w:t>）/</w:t>
            </w:r>
            <w:r>
              <w:rPr>
                <w:rFonts w:ascii="仿宋_GB2312" w:hAnsi="仿宋_GB2312" w:eastAsia="仿宋_GB2312" w:cs="仿宋_GB2312"/>
                <w:sz w:val="24"/>
              </w:rPr>
              <w:t>C(002686)</w:t>
            </w:r>
            <w:bookmarkEnd w:id="0"/>
          </w:p>
        </w:tc>
        <w:tc>
          <w:tcPr>
            <w:tcW w:w="2148" w:type="dxa"/>
            <w:vAlign w:val="center"/>
          </w:tcPr>
          <w:p>
            <w:pPr>
              <w:spacing w:line="288" w:lineRule="auto"/>
              <w:rPr>
                <w:rFonts w:ascii="仿宋_GB2312" w:hAnsi="仿宋_GB2312" w:eastAsia="仿宋_GB2312" w:cs="仿宋_GB2312"/>
                <w:sz w:val="24"/>
              </w:rPr>
            </w:pPr>
            <w:r>
              <w:rPr>
                <w:rFonts w:hint="eastAsia" w:ascii="仿宋_GB2312" w:hAnsi="仿宋_GB2312" w:eastAsia="仿宋_GB2312" w:cs="仿宋_GB2312"/>
                <w:b/>
                <w:sz w:val="24"/>
              </w:rPr>
              <w:t>投资币种及金额</w:t>
            </w:r>
          </w:p>
        </w:tc>
        <w:tc>
          <w:tcPr>
            <w:tcW w:w="3212" w:type="dxa"/>
            <w:vAlign w:val="center"/>
          </w:tcPr>
          <w:p>
            <w:pPr>
              <w:spacing w:line="288" w:lineRule="auto"/>
              <w:rPr>
                <w:rFonts w:ascii="仿宋_GB2312" w:hAnsi="仿宋_GB2312" w:eastAsia="仿宋_GB2312" w:cs="仿宋_GB2312"/>
                <w:sz w:val="24"/>
              </w:rPr>
            </w:pPr>
            <w:r>
              <w:rPr>
                <w:rFonts w:hint="eastAsia" w:ascii="仿宋_GB2312" w:hAnsi="仿宋_GB2312" w:eastAsia="仿宋_GB2312" w:cs="仿宋_GB2312"/>
                <w:sz w:val="24"/>
              </w:rPr>
              <w:t>不超过</w:t>
            </w:r>
            <w:r>
              <w:rPr>
                <w:rFonts w:hint="eastAsia" w:ascii="仿宋_GB2312" w:hAnsi="仿宋_GB2312" w:eastAsia="仿宋_GB2312" w:cs="仿宋_GB2312"/>
                <w:sz w:val="24"/>
                <w:lang w:val="en-US" w:eastAsia="zh-CN"/>
              </w:rPr>
              <w:t>5</w:t>
            </w:r>
            <w:r>
              <w:rPr>
                <w:rFonts w:hint="eastAsia" w:ascii="仿宋_GB2312" w:hAnsi="仿宋_GB2312" w:eastAsia="仿宋_GB2312" w:cs="仿宋_GB2312"/>
                <w:sz w:val="24"/>
              </w:rPr>
              <w:t>亿元人民币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1" w:hRule="atLeast"/>
          <w:jc w:val="center"/>
        </w:trPr>
        <w:tc>
          <w:tcPr>
            <w:tcW w:w="2451" w:type="dxa"/>
            <w:tcBorders>
              <w:top w:val="single" w:color="auto" w:sz="4" w:space="0"/>
              <w:bottom w:val="single" w:color="auto" w:sz="4" w:space="0"/>
            </w:tcBorders>
            <w:vAlign w:val="center"/>
          </w:tcPr>
          <w:p>
            <w:pPr>
              <w:spacing w:line="276" w:lineRule="auto"/>
              <w:rPr>
                <w:rFonts w:ascii="仿宋_GB2312" w:hAnsi="仿宋_GB2312" w:eastAsia="仿宋_GB2312" w:cs="仿宋_GB2312"/>
                <w:b/>
                <w:sz w:val="24"/>
              </w:rPr>
            </w:pPr>
            <w:r>
              <w:rPr>
                <w:rFonts w:hint="eastAsia" w:ascii="仿宋_GB2312" w:hAnsi="仿宋_GB2312" w:eastAsia="仿宋_GB2312" w:cs="仿宋_GB2312"/>
                <w:b/>
                <w:sz w:val="24"/>
              </w:rPr>
              <w:t>业务品种</w:t>
            </w:r>
          </w:p>
        </w:tc>
        <w:tc>
          <w:tcPr>
            <w:tcW w:w="8269" w:type="dxa"/>
            <w:gridSpan w:val="3"/>
            <w:tcBorders>
              <w:top w:val="single" w:color="auto" w:sz="4" w:space="0"/>
              <w:bottom w:val="single" w:color="auto" w:sz="4" w:space="0"/>
            </w:tcBorders>
            <w:vAlign w:val="center"/>
          </w:tcPr>
          <w:p>
            <w:pPr>
              <w:rPr>
                <w:rFonts w:ascii="仿宋_GB2312" w:hAnsi="仿宋_GB2312" w:eastAsia="仿宋_GB2312" w:cs="仿宋_GB2312"/>
                <w:b/>
                <w:sz w:val="24"/>
              </w:rPr>
            </w:pPr>
            <w:r>
              <w:rPr>
                <w:rFonts w:hint="eastAsia" w:ascii="仿宋_GB2312" w:hAnsi="仿宋_GB2312" w:eastAsia="仿宋_GB2312" w:cs="仿宋_GB2312"/>
                <w:bCs/>
                <w:sz w:val="24"/>
              </w:rPr>
              <w:t>C类业务，公募基金投资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jc w:val="center"/>
        </w:trPr>
        <w:tc>
          <w:tcPr>
            <w:tcW w:w="2451" w:type="dxa"/>
            <w:tcBorders>
              <w:top w:val="single" w:color="auto" w:sz="4" w:space="0"/>
              <w:bottom w:val="single" w:color="auto" w:sz="4" w:space="0"/>
            </w:tcBorders>
            <w:vAlign w:val="center"/>
          </w:tcPr>
          <w:p>
            <w:pPr>
              <w:spacing w:line="276" w:lineRule="auto"/>
              <w:rPr>
                <w:rFonts w:ascii="仿宋_GB2312" w:hAnsi="仿宋_GB2312" w:eastAsia="仿宋_GB2312" w:cs="仿宋_GB2312"/>
                <w:b/>
                <w:sz w:val="24"/>
              </w:rPr>
            </w:pPr>
            <w:r>
              <w:rPr>
                <w:rFonts w:hint="eastAsia" w:ascii="仿宋_GB2312" w:hAnsi="仿宋_GB2312" w:eastAsia="仿宋_GB2312" w:cs="仿宋_GB2312"/>
                <w:b/>
                <w:sz w:val="24"/>
              </w:rPr>
              <w:t>如为A、B类业务</w:t>
            </w:r>
          </w:p>
        </w:tc>
        <w:tc>
          <w:tcPr>
            <w:tcW w:w="8269" w:type="dxa"/>
            <w:gridSpan w:val="3"/>
            <w:tcBorders>
              <w:top w:val="single" w:color="auto" w:sz="4" w:space="0"/>
              <w:bottom w:val="single" w:color="auto" w:sz="4" w:space="0"/>
            </w:tcBorders>
            <w:vAlign w:val="center"/>
          </w:tcPr>
          <w:p>
            <w:pPr>
              <w:spacing w:line="276" w:lineRule="auto"/>
              <w:rPr>
                <w:rFonts w:ascii="仿宋_GB2312" w:hAnsi="仿宋_GB2312" w:eastAsia="仿宋_GB2312" w:cs="仿宋_GB2312"/>
                <w:b/>
                <w:sz w:val="24"/>
              </w:rPr>
            </w:pPr>
            <w:r>
              <w:rPr>
                <w:rFonts w:hint="eastAsia" w:ascii="仿宋_GB2312" w:hAnsi="仿宋_GB2312" w:eastAsia="仿宋_GB2312" w:cs="仿宋_GB2312"/>
                <w:bCs/>
                <w:sz w:val="24"/>
              </w:rPr>
              <w:t>说明本次拟申请领用理财专项单一法人客户或集团客户额度，以及本次业务开展后总体单一法人客户限额及集团客户情况。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34" w:hRule="atLeast"/>
          <w:jc w:val="center"/>
        </w:trPr>
        <w:tc>
          <w:tcPr>
            <w:tcW w:w="2451" w:type="dxa"/>
            <w:tcBorders>
              <w:top w:val="single" w:color="auto" w:sz="4" w:space="0"/>
              <w:bottom w:val="single" w:color="auto" w:sz="4" w:space="0"/>
            </w:tcBorders>
            <w:vAlign w:val="center"/>
          </w:tcPr>
          <w:p>
            <w:pPr>
              <w:spacing w:line="276" w:lineRule="auto"/>
              <w:rPr>
                <w:rFonts w:ascii="仿宋_GB2312" w:hAnsi="仿宋_GB2312" w:eastAsia="仿宋_GB2312" w:cs="仿宋_GB2312"/>
                <w:b/>
                <w:sz w:val="24"/>
              </w:rPr>
            </w:pPr>
            <w:r>
              <w:rPr>
                <w:rFonts w:hint="eastAsia" w:ascii="仿宋_GB2312" w:hAnsi="仿宋_GB2312" w:eastAsia="仿宋_GB2312" w:cs="仿宋_GB2312"/>
                <w:b/>
                <w:sz w:val="24"/>
              </w:rPr>
              <w:t>适用审批权限</w:t>
            </w:r>
          </w:p>
        </w:tc>
        <w:tc>
          <w:tcPr>
            <w:tcW w:w="8269" w:type="dxa"/>
            <w:gridSpan w:val="3"/>
            <w:tcBorders>
              <w:top w:val="single" w:color="auto" w:sz="4" w:space="0"/>
              <w:bottom w:val="single" w:color="auto" w:sz="4" w:space="0"/>
            </w:tcBorders>
            <w:vAlign w:val="center"/>
          </w:tcPr>
          <w:p>
            <w:pPr>
              <w:spacing w:line="276" w:lineRule="auto"/>
              <w:rPr>
                <w:rFonts w:ascii="仿宋_GB2312" w:hAnsi="仿宋_GB2312" w:eastAsia="仿宋_GB2312" w:cs="仿宋_GB2312"/>
                <w:b/>
                <w:sz w:val="24"/>
              </w:rPr>
            </w:pPr>
            <w:r>
              <w:rPr>
                <w:rFonts w:hint="eastAsia" w:ascii="仿宋_GB2312" w:hAnsi="仿宋_GB2312" w:eastAsia="仿宋_GB2312" w:cs="仿宋_GB2312"/>
                <w:bCs/>
                <w:sz w:val="24"/>
              </w:rPr>
              <w:t>根据投审办法及授权办法，货币基金80亿元以内的投资审批，公司分管副总经理为有权审批人。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2" w:hRule="atLeast"/>
          <w:jc w:val="center"/>
        </w:trPr>
        <w:tc>
          <w:tcPr>
            <w:tcW w:w="2451" w:type="dxa"/>
            <w:vAlign w:val="center"/>
          </w:tcPr>
          <w:p>
            <w:pPr>
              <w:spacing w:line="276" w:lineRule="auto"/>
              <w:rPr>
                <w:rFonts w:ascii="仿宋_GB2312" w:hAnsi="仿宋_GB2312" w:eastAsia="仿宋_GB2312" w:cs="仿宋_GB2312"/>
                <w:b/>
                <w:sz w:val="24"/>
              </w:rPr>
            </w:pPr>
            <w:r>
              <w:rPr>
                <w:rFonts w:hint="eastAsia" w:ascii="仿宋_GB2312" w:hAnsi="仿宋_GB2312" w:eastAsia="仿宋_GB2312" w:cs="仿宋_GB2312"/>
                <w:b/>
                <w:sz w:val="24"/>
              </w:rPr>
              <w:t>证券代码</w:t>
            </w:r>
          </w:p>
        </w:tc>
        <w:tc>
          <w:tcPr>
            <w:tcW w:w="2909" w:type="dxa"/>
            <w:vAlign w:val="center"/>
          </w:tcPr>
          <w:p>
            <w:pPr>
              <w:rPr>
                <w:rFonts w:ascii="仿宋_GB2312" w:hAnsi="仿宋_GB2312" w:eastAsia="仿宋_GB2312" w:cs="仿宋_GB2312"/>
                <w:sz w:val="24"/>
              </w:rPr>
            </w:pPr>
            <w:r>
              <w:rPr>
                <w:rFonts w:hint="eastAsia" w:ascii="仿宋_GB2312" w:hAnsi="仿宋_GB2312" w:eastAsia="仿宋_GB2312" w:cs="仿宋_GB2312"/>
                <w:sz w:val="24"/>
              </w:rPr>
              <w:t>A（</w:t>
            </w:r>
            <w:r>
              <w:rPr>
                <w:rFonts w:ascii="仿宋_GB2312" w:hAnsi="仿宋_GB2312" w:eastAsia="仿宋_GB2312" w:cs="仿宋_GB2312"/>
                <w:sz w:val="24"/>
              </w:rPr>
              <w:t>002685</w:t>
            </w:r>
            <w:r>
              <w:rPr>
                <w:rFonts w:hint="eastAsia" w:ascii="仿宋_GB2312" w:hAnsi="仿宋_GB2312" w:eastAsia="仿宋_GB2312" w:cs="仿宋_GB2312"/>
                <w:sz w:val="24"/>
              </w:rPr>
              <w:t>）/</w:t>
            </w:r>
            <w:r>
              <w:rPr>
                <w:rFonts w:ascii="仿宋_GB2312" w:hAnsi="仿宋_GB2312" w:eastAsia="仿宋_GB2312" w:cs="仿宋_GB2312"/>
                <w:sz w:val="24"/>
              </w:rPr>
              <w:t>C(002686)</w:t>
            </w:r>
          </w:p>
        </w:tc>
        <w:tc>
          <w:tcPr>
            <w:tcW w:w="2148" w:type="dxa"/>
            <w:vAlign w:val="center"/>
          </w:tcPr>
          <w:p>
            <w:pPr>
              <w:spacing w:line="276" w:lineRule="auto"/>
              <w:rPr>
                <w:rFonts w:ascii="仿宋_GB2312" w:hAnsi="仿宋_GB2312" w:eastAsia="仿宋_GB2312" w:cs="仿宋_GB2312"/>
                <w:b/>
                <w:sz w:val="24"/>
              </w:rPr>
            </w:pPr>
            <w:r>
              <w:rPr>
                <w:rFonts w:hint="eastAsia" w:ascii="仿宋_GB2312" w:hAnsi="仿宋_GB2312" w:eastAsia="仿宋_GB2312" w:cs="仿宋_GB2312"/>
                <w:b/>
                <w:sz w:val="24"/>
              </w:rPr>
              <w:t>证券简称</w:t>
            </w:r>
          </w:p>
        </w:tc>
        <w:tc>
          <w:tcPr>
            <w:tcW w:w="3212" w:type="dxa"/>
            <w:vAlign w:val="center"/>
          </w:tcPr>
          <w:p>
            <w:pPr>
              <w:rPr>
                <w:rFonts w:ascii="仿宋_GB2312" w:hAnsi="仿宋_GB2312" w:eastAsia="仿宋_GB2312" w:cs="仿宋_GB2312"/>
                <w:sz w:val="24"/>
                <w:highlight w:val="yellow"/>
              </w:rPr>
            </w:pPr>
            <w:r>
              <w:rPr>
                <w:rFonts w:hint="eastAsia" w:ascii="仿宋_GB2312" w:hAnsi="仿宋_GB2312" w:eastAsia="仿宋_GB2312" w:cs="仿宋_GB2312"/>
                <w:sz w:val="24"/>
              </w:rPr>
              <w:t>中欧丰泓沪港深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2" w:hRule="atLeast"/>
          <w:jc w:val="center"/>
        </w:trPr>
        <w:tc>
          <w:tcPr>
            <w:tcW w:w="2451" w:type="dxa"/>
            <w:vAlign w:val="center"/>
          </w:tcPr>
          <w:p>
            <w:pPr>
              <w:spacing w:line="276" w:lineRule="auto"/>
              <w:rPr>
                <w:rFonts w:ascii="仿宋_GB2312" w:hAnsi="仿宋_GB2312" w:eastAsia="仿宋_GB2312" w:cs="仿宋_GB2312"/>
                <w:b/>
                <w:sz w:val="24"/>
              </w:rPr>
            </w:pPr>
            <w:r>
              <w:rPr>
                <w:rFonts w:hint="eastAsia" w:ascii="仿宋_GB2312" w:hAnsi="仿宋_GB2312" w:eastAsia="仿宋_GB2312" w:cs="仿宋_GB2312"/>
                <w:b/>
                <w:sz w:val="24"/>
              </w:rPr>
              <w:t>发行人/原始权益人</w:t>
            </w:r>
          </w:p>
        </w:tc>
        <w:tc>
          <w:tcPr>
            <w:tcW w:w="2909" w:type="dxa"/>
            <w:vAlign w:val="center"/>
          </w:tcPr>
          <w:p>
            <w:pPr>
              <w:rPr>
                <w:rFonts w:ascii="仿宋_GB2312" w:hAnsi="仿宋_GB2312" w:eastAsia="仿宋_GB2312" w:cs="仿宋_GB2312"/>
                <w:sz w:val="24"/>
              </w:rPr>
            </w:pPr>
          </w:p>
        </w:tc>
        <w:tc>
          <w:tcPr>
            <w:tcW w:w="2148" w:type="dxa"/>
            <w:vAlign w:val="center"/>
          </w:tcPr>
          <w:p>
            <w:pPr>
              <w:spacing w:line="276" w:lineRule="auto"/>
              <w:rPr>
                <w:rFonts w:ascii="仿宋_GB2312" w:hAnsi="仿宋_GB2312" w:eastAsia="仿宋_GB2312" w:cs="仿宋_GB2312"/>
                <w:b/>
                <w:sz w:val="24"/>
              </w:rPr>
            </w:pPr>
            <w:r>
              <w:rPr>
                <w:rFonts w:hint="eastAsia" w:ascii="仿宋_GB2312" w:hAnsi="仿宋_GB2312" w:eastAsia="仿宋_GB2312" w:cs="仿宋_GB2312"/>
                <w:b/>
                <w:sz w:val="24"/>
              </w:rPr>
              <w:t>管理人</w:t>
            </w:r>
          </w:p>
        </w:tc>
        <w:tc>
          <w:tcPr>
            <w:tcW w:w="3212" w:type="dxa"/>
            <w:vAlign w:val="center"/>
          </w:tcPr>
          <w:p>
            <w:pPr>
              <w:rPr>
                <w:rFonts w:ascii="仿宋_GB2312" w:hAnsi="仿宋_GB2312" w:eastAsia="仿宋_GB2312" w:cs="仿宋_GB2312"/>
                <w:sz w:val="24"/>
              </w:rPr>
            </w:pPr>
            <w:r>
              <w:rPr>
                <w:rFonts w:hint="eastAsia" w:ascii="仿宋" w:hAnsi="仿宋" w:eastAsia="仿宋" w:cs="仿宋"/>
                <w:sz w:val="24"/>
                <w:szCs w:val="24"/>
              </w:rPr>
              <w:t>中欧基金管理有限公司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2" w:hRule="atLeast"/>
          <w:jc w:val="center"/>
        </w:trPr>
        <w:tc>
          <w:tcPr>
            <w:tcW w:w="2451" w:type="dxa"/>
            <w:vAlign w:val="center"/>
          </w:tcPr>
          <w:p>
            <w:pPr>
              <w:spacing w:line="276" w:lineRule="auto"/>
              <w:rPr>
                <w:rFonts w:ascii="仿宋_GB2312" w:hAnsi="仿宋_GB2312" w:eastAsia="仿宋_GB2312" w:cs="仿宋_GB2312"/>
                <w:b/>
                <w:sz w:val="24"/>
              </w:rPr>
            </w:pPr>
            <w:r>
              <w:rPr>
                <w:rFonts w:hint="eastAsia" w:ascii="仿宋_GB2312" w:hAnsi="仿宋_GB2312" w:eastAsia="仿宋_GB2312" w:cs="仿宋_GB2312"/>
                <w:b/>
                <w:sz w:val="24"/>
              </w:rPr>
              <w:t>承担实质风险主体</w:t>
            </w:r>
          </w:p>
        </w:tc>
        <w:tc>
          <w:tcPr>
            <w:tcW w:w="2909" w:type="dxa"/>
            <w:vAlign w:val="center"/>
          </w:tcPr>
          <w:p>
            <w:pPr>
              <w:rPr>
                <w:rFonts w:ascii="仿宋_GB2312" w:hAnsi="仿宋_GB2312" w:eastAsia="仿宋_GB2312" w:cs="仿宋_GB2312"/>
                <w:sz w:val="24"/>
              </w:rPr>
            </w:pPr>
          </w:p>
        </w:tc>
        <w:tc>
          <w:tcPr>
            <w:tcW w:w="2148" w:type="dxa"/>
            <w:vAlign w:val="center"/>
          </w:tcPr>
          <w:p>
            <w:pPr>
              <w:spacing w:line="276" w:lineRule="auto"/>
              <w:rPr>
                <w:rFonts w:ascii="仿宋_GB2312" w:hAnsi="仿宋_GB2312" w:eastAsia="仿宋_GB2312" w:cs="仿宋_GB2312"/>
                <w:b/>
                <w:sz w:val="24"/>
              </w:rPr>
            </w:pPr>
            <w:r>
              <w:rPr>
                <w:rFonts w:hint="eastAsia" w:ascii="仿宋_GB2312" w:hAnsi="仿宋_GB2312" w:eastAsia="仿宋_GB2312" w:cs="仿宋_GB2312"/>
                <w:b/>
                <w:sz w:val="24"/>
              </w:rPr>
              <w:t>有效期</w:t>
            </w:r>
          </w:p>
        </w:tc>
        <w:tc>
          <w:tcPr>
            <w:tcW w:w="3212" w:type="dxa"/>
            <w:vAlign w:val="center"/>
          </w:tcPr>
          <w:p>
            <w:pPr>
              <w:rPr>
                <w:rFonts w:ascii="仿宋_GB2312" w:hAnsi="仿宋_GB2312" w:eastAsia="仿宋_GB2312" w:cs="仿宋_GB2312"/>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42" w:hRule="atLeast"/>
          <w:jc w:val="center"/>
        </w:trPr>
        <w:tc>
          <w:tcPr>
            <w:tcW w:w="10720" w:type="dxa"/>
            <w:gridSpan w:val="4"/>
            <w:vAlign w:val="center"/>
          </w:tcPr>
          <w:p>
            <w:pPr>
              <w:widowControl/>
              <w:spacing w:line="240" w:lineRule="auto"/>
              <w:jc w:val="left"/>
            </w:pPr>
          </w:p>
          <w:p>
            <w:pPr>
              <w:widowControl/>
              <w:spacing w:line="240" w:lineRule="auto"/>
              <w:jc w:val="left"/>
            </w:pPr>
            <w:r>
              <w:rPr>
                <w:rFonts w:hint="eastAsia"/>
              </w:rPr>
              <w:t>一、基金公司情况</w:t>
            </w:r>
          </w:p>
          <w:p>
            <w:pPr>
              <w:widowControl/>
              <w:spacing w:line="240" w:lineRule="auto"/>
              <w:ind w:firstLine="420" w:firstLineChars="200"/>
              <w:jc w:val="left"/>
            </w:pPr>
            <w:r>
              <w:rPr>
                <w:rFonts w:hint="eastAsia"/>
              </w:rPr>
              <w:t>中欧基金管理有限公司（简称中欧基金）正式成立于2006年7月19日，是一家同时拥有国资、外资以及民资背景的合资基金公司，现注册资本金为人民币2.2亿元。在具体业务资质上，中欧基金除了公募基金管理资质外，在资产管理领域已获得特定客户资产管理业务资格及受托管理保险资金资格，在海外业务领域已获得合格境内机构投资管理人（QDII）资格，中欧基金亦具备发行港股通公募基金及养老目标基金的资质。中欧基金率先在基金行业内实行股权改革及策略组制改革，于2014年引入员工持股模式。2021年7月，公司员工持股比例提升至51.7%，进一步加强了核心员工的股权激励，为公司培养和稳定优秀人才发挥了重要作用，并将客户、公司员工与股东的利益深度捆绑，合力打造长期业绩。</w:t>
            </w:r>
          </w:p>
          <w:p>
            <w:pPr>
              <w:widowControl/>
              <w:spacing w:line="240" w:lineRule="auto"/>
              <w:ind w:firstLine="420" w:firstLineChars="200"/>
              <w:jc w:val="left"/>
            </w:pPr>
            <w:r>
              <w:rPr>
                <w:rFonts w:hint="eastAsia"/>
              </w:rPr>
              <w:t>在优异的投资业绩驱动下，公司的主动权益和固收规模均处于行业前列。其中，主动权益基金规模排名行业前列，根据银河证券的数据，截止2021年三季度末，中欧基金主动权益管理规模位列行业第二位。截止20年底的机构持有主动权益公募规模为421亿元，连续六年排名行业第1位。</w:t>
            </w:r>
          </w:p>
          <w:p>
            <w:pPr>
              <w:widowControl/>
              <w:spacing w:line="240" w:lineRule="auto"/>
              <w:ind w:firstLine="420" w:firstLineChars="200"/>
              <w:jc w:val="left"/>
            </w:pPr>
            <w:r>
              <w:rPr>
                <w:rFonts w:hint="eastAsia"/>
              </w:rPr>
              <w:t>中欧基金投研实力雄厚，截至2021年三季度末，公司投研人员数量147人（含风控和交易），超过公司三分之一以上，远超行业平均水平。中欧基金已成立了9个投资策略组，包括5个权益策略组、3个固定收益策略组、1个FOF投资策略组。投资策略组负责人均为行业翘楚，投资风格鲜明且稳定，平均从业年限近16年，旗下管理的产品共获得基金界的最高荣誉“金牛奖”34次、明星基金奖37次，现有产品中有6只获晨星五年五星评级、中欧旗下基金经理曾两次荣获晨星年度基金奖（每个类型的晨星年度基金奖仅颁发给一只产品）。</w:t>
            </w:r>
          </w:p>
          <w:p>
            <w:pPr>
              <w:pStyle w:val="2"/>
              <w:widowControl/>
              <w:spacing w:line="240" w:lineRule="auto"/>
              <w:ind w:left="0" w:leftChars="0"/>
              <w:jc w:val="left"/>
            </w:pPr>
          </w:p>
          <w:p>
            <w:pPr>
              <w:pStyle w:val="2"/>
              <w:widowControl/>
              <w:spacing w:line="240" w:lineRule="auto"/>
              <w:ind w:left="0" w:leftChars="0"/>
              <w:jc w:val="left"/>
            </w:pPr>
            <w:r>
              <w:rPr>
                <w:rFonts w:hint="eastAsia"/>
              </w:rPr>
              <w:t>二、基金基本信息</w:t>
            </w:r>
          </w:p>
          <w:p>
            <w:pPr>
              <w:pStyle w:val="2"/>
              <w:widowControl/>
              <w:spacing w:line="240" w:lineRule="auto"/>
              <w:ind w:left="0" w:leftChars="0"/>
              <w:jc w:val="left"/>
            </w:pPr>
            <w:r>
              <w:rPr>
                <w:rFonts w:hint="eastAsia"/>
              </w:rPr>
              <w:t>1、规模情况：基金经理当前管理总规模为56.06亿元，管理产品1只，即中欧丰泓沪港深基金。</w:t>
            </w:r>
          </w:p>
          <w:tbl>
            <w:tblPr>
              <w:tblStyle w:val="5"/>
              <w:tblW w:w="10081" w:type="dxa"/>
              <w:jc w:val="center"/>
              <w:tblLayout w:type="fixed"/>
              <w:tblCellMar>
                <w:top w:w="0" w:type="dxa"/>
                <w:left w:w="108" w:type="dxa"/>
                <w:bottom w:w="0" w:type="dxa"/>
                <w:right w:w="108" w:type="dxa"/>
              </w:tblCellMar>
            </w:tblPr>
            <w:tblGrid>
              <w:gridCol w:w="1270"/>
              <w:gridCol w:w="1270"/>
              <w:gridCol w:w="1270"/>
              <w:gridCol w:w="1270"/>
              <w:gridCol w:w="1270"/>
              <w:gridCol w:w="1270"/>
              <w:gridCol w:w="1270"/>
              <w:gridCol w:w="1191"/>
            </w:tblGrid>
            <w:tr>
              <w:tblPrEx>
                <w:tblCellMar>
                  <w:top w:w="0" w:type="dxa"/>
                  <w:left w:w="108" w:type="dxa"/>
                  <w:bottom w:w="0" w:type="dxa"/>
                  <w:right w:w="108" w:type="dxa"/>
                </w:tblCellMar>
              </w:tblPrEx>
              <w:trPr>
                <w:trHeight w:val="183" w:hRule="atLeast"/>
                <w:jc w:val="center"/>
              </w:trPr>
              <w:tc>
                <w:tcPr>
                  <w:tcW w:w="10081" w:type="dxa"/>
                  <w:gridSpan w:val="8"/>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spacing w:line="240" w:lineRule="auto"/>
                    <w:jc w:val="center"/>
                  </w:pPr>
                  <w:r>
                    <w:rPr>
                      <w:rFonts w:hint="eastAsia"/>
                    </w:rPr>
                    <w:t>中欧丰泓沪港深基金规模变动情况（亿元）</w:t>
                  </w:r>
                </w:p>
              </w:tc>
            </w:tr>
            <w:tr>
              <w:tblPrEx>
                <w:tblCellMar>
                  <w:top w:w="0" w:type="dxa"/>
                  <w:left w:w="108" w:type="dxa"/>
                  <w:bottom w:w="0" w:type="dxa"/>
                  <w:right w:w="108" w:type="dxa"/>
                </w:tblCellMar>
              </w:tblPrEx>
              <w:trPr>
                <w:trHeight w:val="183" w:hRule="atLeast"/>
                <w:jc w:val="center"/>
              </w:trPr>
              <w:tc>
                <w:tcPr>
                  <w:tcW w:w="1270"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jc w:val="center"/>
                  </w:pPr>
                  <w:r>
                    <w:rPr>
                      <w:rFonts w:hint="eastAsia"/>
                    </w:rPr>
                    <w:t>20210930</w:t>
                  </w:r>
                </w:p>
              </w:tc>
              <w:tc>
                <w:tcPr>
                  <w:tcW w:w="127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pPr>
                  <w:r>
                    <w:rPr>
                      <w:rFonts w:hint="eastAsia"/>
                    </w:rPr>
                    <w:t>20210630</w:t>
                  </w:r>
                </w:p>
              </w:tc>
              <w:tc>
                <w:tcPr>
                  <w:tcW w:w="127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pPr>
                  <w:r>
                    <w:rPr>
                      <w:rFonts w:hint="eastAsia"/>
                    </w:rPr>
                    <w:t>20210331</w:t>
                  </w:r>
                </w:p>
              </w:tc>
              <w:tc>
                <w:tcPr>
                  <w:tcW w:w="127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pPr>
                  <w:r>
                    <w:rPr>
                      <w:rFonts w:hint="eastAsia"/>
                    </w:rPr>
                    <w:t>20201231</w:t>
                  </w:r>
                </w:p>
              </w:tc>
              <w:tc>
                <w:tcPr>
                  <w:tcW w:w="127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pPr>
                  <w:r>
                    <w:rPr>
                      <w:rFonts w:hint="eastAsia"/>
                    </w:rPr>
                    <w:t>20200930</w:t>
                  </w:r>
                </w:p>
              </w:tc>
              <w:tc>
                <w:tcPr>
                  <w:tcW w:w="127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pPr>
                  <w:r>
                    <w:rPr>
                      <w:rFonts w:hint="eastAsia"/>
                    </w:rPr>
                    <w:t>20200630</w:t>
                  </w:r>
                </w:p>
              </w:tc>
              <w:tc>
                <w:tcPr>
                  <w:tcW w:w="127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pPr>
                  <w:r>
                    <w:rPr>
                      <w:rFonts w:hint="eastAsia"/>
                    </w:rPr>
                    <w:t>20200331</w:t>
                  </w:r>
                </w:p>
              </w:tc>
              <w:tc>
                <w:tcPr>
                  <w:tcW w:w="1191"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pPr>
                  <w:r>
                    <w:rPr>
                      <w:rFonts w:hint="eastAsia"/>
                    </w:rPr>
                    <w:t>20191231</w:t>
                  </w:r>
                </w:p>
              </w:tc>
            </w:tr>
            <w:tr>
              <w:tblPrEx>
                <w:tblCellMar>
                  <w:top w:w="0" w:type="dxa"/>
                  <w:left w:w="108" w:type="dxa"/>
                  <w:bottom w:w="0" w:type="dxa"/>
                  <w:right w:w="108" w:type="dxa"/>
                </w:tblCellMar>
              </w:tblPrEx>
              <w:trPr>
                <w:trHeight w:val="183" w:hRule="atLeast"/>
                <w:jc w:val="center"/>
              </w:trPr>
              <w:tc>
                <w:tcPr>
                  <w:tcW w:w="1270" w:type="dxa"/>
                  <w:tcBorders>
                    <w:top w:val="nil"/>
                    <w:left w:val="single" w:color="auto" w:sz="4" w:space="0"/>
                    <w:bottom w:val="single" w:color="auto" w:sz="4" w:space="0"/>
                    <w:right w:val="single" w:color="auto" w:sz="4" w:space="0"/>
                  </w:tcBorders>
                  <w:shd w:val="clear" w:color="auto" w:fill="auto"/>
                  <w:noWrap/>
                </w:tcPr>
                <w:p>
                  <w:pPr>
                    <w:widowControl/>
                    <w:spacing w:line="240" w:lineRule="auto"/>
                    <w:jc w:val="center"/>
                  </w:pPr>
                  <w:r>
                    <w:t>56.06</w:t>
                  </w:r>
                </w:p>
              </w:tc>
              <w:tc>
                <w:tcPr>
                  <w:tcW w:w="1270" w:type="dxa"/>
                  <w:tcBorders>
                    <w:top w:val="nil"/>
                    <w:left w:val="nil"/>
                    <w:bottom w:val="single" w:color="auto" w:sz="4" w:space="0"/>
                    <w:right w:val="single" w:color="auto" w:sz="4" w:space="0"/>
                  </w:tcBorders>
                  <w:shd w:val="clear" w:color="auto" w:fill="auto"/>
                  <w:noWrap/>
                </w:tcPr>
                <w:p>
                  <w:pPr>
                    <w:widowControl/>
                    <w:spacing w:line="240" w:lineRule="auto"/>
                    <w:jc w:val="center"/>
                  </w:pPr>
                  <w:r>
                    <w:t>46.45</w:t>
                  </w:r>
                </w:p>
              </w:tc>
              <w:tc>
                <w:tcPr>
                  <w:tcW w:w="1270" w:type="dxa"/>
                  <w:tcBorders>
                    <w:top w:val="nil"/>
                    <w:left w:val="nil"/>
                    <w:bottom w:val="single" w:color="auto" w:sz="4" w:space="0"/>
                    <w:right w:val="single" w:color="auto" w:sz="4" w:space="0"/>
                  </w:tcBorders>
                  <w:shd w:val="clear" w:color="auto" w:fill="auto"/>
                  <w:noWrap/>
                </w:tcPr>
                <w:p>
                  <w:pPr>
                    <w:widowControl/>
                    <w:spacing w:line="240" w:lineRule="auto"/>
                    <w:jc w:val="center"/>
                  </w:pPr>
                  <w:r>
                    <w:t>29.28</w:t>
                  </w:r>
                </w:p>
              </w:tc>
              <w:tc>
                <w:tcPr>
                  <w:tcW w:w="1270" w:type="dxa"/>
                  <w:tcBorders>
                    <w:top w:val="nil"/>
                    <w:left w:val="nil"/>
                    <w:bottom w:val="single" w:color="auto" w:sz="4" w:space="0"/>
                    <w:right w:val="single" w:color="auto" w:sz="4" w:space="0"/>
                  </w:tcBorders>
                  <w:shd w:val="clear" w:color="auto" w:fill="auto"/>
                  <w:noWrap/>
                </w:tcPr>
                <w:p>
                  <w:pPr>
                    <w:widowControl/>
                    <w:spacing w:line="240" w:lineRule="auto"/>
                    <w:jc w:val="center"/>
                  </w:pPr>
                  <w:r>
                    <w:t>9.42</w:t>
                  </w:r>
                </w:p>
              </w:tc>
              <w:tc>
                <w:tcPr>
                  <w:tcW w:w="1270" w:type="dxa"/>
                  <w:tcBorders>
                    <w:top w:val="nil"/>
                    <w:left w:val="nil"/>
                    <w:bottom w:val="single" w:color="auto" w:sz="4" w:space="0"/>
                    <w:right w:val="single" w:color="auto" w:sz="4" w:space="0"/>
                  </w:tcBorders>
                  <w:shd w:val="clear" w:color="auto" w:fill="auto"/>
                  <w:noWrap/>
                </w:tcPr>
                <w:p>
                  <w:pPr>
                    <w:widowControl/>
                    <w:spacing w:line="240" w:lineRule="auto"/>
                    <w:jc w:val="center"/>
                  </w:pPr>
                  <w:r>
                    <w:t>8.40</w:t>
                  </w:r>
                </w:p>
              </w:tc>
              <w:tc>
                <w:tcPr>
                  <w:tcW w:w="1270" w:type="dxa"/>
                  <w:tcBorders>
                    <w:top w:val="nil"/>
                    <w:left w:val="nil"/>
                    <w:bottom w:val="single" w:color="auto" w:sz="4" w:space="0"/>
                    <w:right w:val="single" w:color="auto" w:sz="4" w:space="0"/>
                  </w:tcBorders>
                  <w:shd w:val="clear" w:color="auto" w:fill="auto"/>
                  <w:noWrap/>
                </w:tcPr>
                <w:p>
                  <w:pPr>
                    <w:widowControl/>
                    <w:spacing w:line="240" w:lineRule="auto"/>
                    <w:jc w:val="center"/>
                  </w:pPr>
                  <w:r>
                    <w:t>8.60</w:t>
                  </w:r>
                </w:p>
              </w:tc>
              <w:tc>
                <w:tcPr>
                  <w:tcW w:w="1270" w:type="dxa"/>
                  <w:tcBorders>
                    <w:top w:val="nil"/>
                    <w:left w:val="nil"/>
                    <w:bottom w:val="single" w:color="auto" w:sz="4" w:space="0"/>
                    <w:right w:val="single" w:color="auto" w:sz="4" w:space="0"/>
                  </w:tcBorders>
                  <w:shd w:val="clear" w:color="auto" w:fill="auto"/>
                  <w:noWrap/>
                </w:tcPr>
                <w:p>
                  <w:pPr>
                    <w:widowControl/>
                    <w:spacing w:line="240" w:lineRule="auto"/>
                    <w:jc w:val="center"/>
                  </w:pPr>
                  <w:r>
                    <w:t>7.69</w:t>
                  </w:r>
                </w:p>
              </w:tc>
              <w:tc>
                <w:tcPr>
                  <w:tcW w:w="1191" w:type="dxa"/>
                  <w:tcBorders>
                    <w:top w:val="nil"/>
                    <w:left w:val="nil"/>
                    <w:bottom w:val="single" w:color="auto" w:sz="4" w:space="0"/>
                    <w:right w:val="single" w:color="auto" w:sz="4" w:space="0"/>
                  </w:tcBorders>
                  <w:shd w:val="clear" w:color="auto" w:fill="auto"/>
                  <w:noWrap/>
                </w:tcPr>
                <w:p>
                  <w:pPr>
                    <w:widowControl/>
                    <w:spacing w:line="240" w:lineRule="auto"/>
                    <w:jc w:val="center"/>
                  </w:pPr>
                  <w:r>
                    <w:t>7.91</w:t>
                  </w:r>
                </w:p>
              </w:tc>
            </w:tr>
          </w:tbl>
          <w:p>
            <w:pPr>
              <w:pStyle w:val="2"/>
              <w:widowControl/>
              <w:spacing w:line="240" w:lineRule="auto"/>
              <w:ind w:left="0" w:leftChars="0"/>
              <w:jc w:val="left"/>
            </w:pPr>
            <w:r>
              <w:rPr>
                <w:rFonts w:hint="eastAsia"/>
              </w:rPr>
              <w:t>2、仓位及集中度情况：金经理整体仓位维持较高，股票仓位85%以上。21年三季报披露前十大重仓股占比60.42%，个股集中度较高，行业比较分散，在传媒、汽车、房地产和金融等行业均有配置。</w:t>
            </w:r>
          </w:p>
          <w:p/>
          <w:tbl>
            <w:tblPr>
              <w:tblStyle w:val="5"/>
              <w:tblW w:w="6727" w:type="dxa"/>
              <w:jc w:val="center"/>
              <w:tblLayout w:type="fixed"/>
              <w:tblCellMar>
                <w:top w:w="0" w:type="dxa"/>
                <w:left w:w="108" w:type="dxa"/>
                <w:bottom w:w="0" w:type="dxa"/>
                <w:right w:w="108" w:type="dxa"/>
              </w:tblCellMar>
            </w:tblPr>
            <w:tblGrid>
              <w:gridCol w:w="3415"/>
              <w:gridCol w:w="3312"/>
            </w:tblGrid>
            <w:tr>
              <w:tblPrEx>
                <w:tblCellMar>
                  <w:top w:w="0" w:type="dxa"/>
                  <w:left w:w="108" w:type="dxa"/>
                  <w:bottom w:w="0" w:type="dxa"/>
                  <w:right w:w="108" w:type="dxa"/>
                </w:tblCellMar>
              </w:tblPrEx>
              <w:trPr>
                <w:trHeight w:val="194" w:hRule="atLeast"/>
                <w:jc w:val="center"/>
              </w:trPr>
              <w:tc>
                <w:tcPr>
                  <w:tcW w:w="6727" w:type="dxa"/>
                  <w:gridSpan w:val="2"/>
                  <w:tcBorders>
                    <w:top w:val="single" w:color="auto" w:sz="4" w:space="0"/>
                    <w:left w:val="single" w:color="auto" w:sz="4" w:space="0"/>
                    <w:bottom w:val="single" w:color="auto" w:sz="4" w:space="0"/>
                    <w:right w:val="single" w:color="auto" w:sz="4" w:space="0"/>
                  </w:tcBorders>
                  <w:shd w:val="clear" w:color="auto" w:fill="auto"/>
                  <w:noWrap/>
                  <w:vAlign w:val="bottom"/>
                </w:tcPr>
                <w:p>
                  <w:pPr>
                    <w:widowControl/>
                    <w:spacing w:line="240" w:lineRule="auto"/>
                    <w:jc w:val="center"/>
                  </w:pPr>
                  <w:r>
                    <w:rPr>
                      <w:rFonts w:hint="eastAsia"/>
                    </w:rPr>
                    <w:t>中欧丰泓沪港深基金21年三季度前十大持股</w:t>
                  </w:r>
                </w:p>
              </w:tc>
            </w:tr>
            <w:tr>
              <w:tblPrEx>
                <w:tblCellMar>
                  <w:top w:w="0" w:type="dxa"/>
                  <w:left w:w="108" w:type="dxa"/>
                  <w:bottom w:w="0" w:type="dxa"/>
                  <w:right w:w="108" w:type="dxa"/>
                </w:tblCellMar>
              </w:tblPrEx>
              <w:trPr>
                <w:trHeight w:val="194" w:hRule="atLeast"/>
                <w:jc w:val="center"/>
              </w:trPr>
              <w:tc>
                <w:tcPr>
                  <w:tcW w:w="3415" w:type="dxa"/>
                  <w:tcBorders>
                    <w:top w:val="single" w:color="auto" w:sz="4" w:space="0"/>
                    <w:left w:val="single" w:color="auto" w:sz="4" w:space="0"/>
                    <w:bottom w:val="single" w:color="auto" w:sz="4" w:space="0"/>
                    <w:right w:val="single" w:color="auto" w:sz="4" w:space="0"/>
                  </w:tcBorders>
                  <w:shd w:val="clear" w:color="auto" w:fill="auto"/>
                  <w:noWrap/>
                  <w:vAlign w:val="bottom"/>
                </w:tcPr>
                <w:p>
                  <w:pPr>
                    <w:widowControl/>
                    <w:spacing w:line="240" w:lineRule="auto"/>
                    <w:jc w:val="center"/>
                  </w:pPr>
                  <w:r>
                    <w:rPr>
                      <w:rFonts w:hint="eastAsia"/>
                    </w:rPr>
                    <w:t>股票名称</w:t>
                  </w:r>
                </w:p>
              </w:tc>
              <w:tc>
                <w:tcPr>
                  <w:tcW w:w="3312" w:type="dxa"/>
                  <w:tcBorders>
                    <w:top w:val="single" w:color="auto" w:sz="4" w:space="0"/>
                    <w:left w:val="nil"/>
                    <w:bottom w:val="single" w:color="auto" w:sz="4" w:space="0"/>
                    <w:right w:val="single" w:color="auto" w:sz="4" w:space="0"/>
                  </w:tcBorders>
                  <w:shd w:val="clear" w:color="auto" w:fill="auto"/>
                  <w:noWrap/>
                  <w:vAlign w:val="bottom"/>
                </w:tcPr>
                <w:p>
                  <w:pPr>
                    <w:widowControl/>
                    <w:spacing w:line="240" w:lineRule="auto"/>
                    <w:jc w:val="center"/>
                  </w:pPr>
                  <w:r>
                    <w:rPr>
                      <w:rFonts w:hint="eastAsia"/>
                    </w:rPr>
                    <w:t>占净资产比例（%）</w:t>
                  </w:r>
                </w:p>
              </w:tc>
            </w:tr>
            <w:tr>
              <w:tblPrEx>
                <w:tblCellMar>
                  <w:top w:w="0" w:type="dxa"/>
                  <w:left w:w="108" w:type="dxa"/>
                  <w:bottom w:w="0" w:type="dxa"/>
                  <w:right w:w="108" w:type="dxa"/>
                </w:tblCellMar>
              </w:tblPrEx>
              <w:trPr>
                <w:trHeight w:val="194" w:hRule="atLeast"/>
                <w:jc w:val="center"/>
              </w:trPr>
              <w:tc>
                <w:tcPr>
                  <w:tcW w:w="3415" w:type="dxa"/>
                  <w:tcBorders>
                    <w:top w:val="nil"/>
                    <w:left w:val="single" w:color="auto" w:sz="4" w:space="0"/>
                    <w:bottom w:val="single" w:color="auto" w:sz="4" w:space="0"/>
                    <w:right w:val="single" w:color="auto" w:sz="4" w:space="0"/>
                  </w:tcBorders>
                  <w:shd w:val="clear" w:color="auto" w:fill="auto"/>
                  <w:noWrap/>
                </w:tcPr>
                <w:p>
                  <w:pPr>
                    <w:widowControl/>
                    <w:spacing w:line="240" w:lineRule="auto"/>
                    <w:jc w:val="center"/>
                  </w:pPr>
                  <w:r>
                    <w:rPr>
                      <w:rFonts w:hint="eastAsia"/>
                    </w:rPr>
                    <w:t>腾讯控股</w:t>
                  </w:r>
                </w:p>
              </w:tc>
              <w:tc>
                <w:tcPr>
                  <w:tcW w:w="3312" w:type="dxa"/>
                  <w:tcBorders>
                    <w:top w:val="nil"/>
                    <w:left w:val="nil"/>
                    <w:bottom w:val="single" w:color="auto" w:sz="4" w:space="0"/>
                    <w:right w:val="single" w:color="auto" w:sz="4" w:space="0"/>
                  </w:tcBorders>
                  <w:shd w:val="clear" w:color="auto" w:fill="auto"/>
                  <w:noWrap/>
                </w:tcPr>
                <w:p>
                  <w:pPr>
                    <w:widowControl/>
                    <w:spacing w:line="240" w:lineRule="auto"/>
                    <w:jc w:val="center"/>
                  </w:pPr>
                  <w:r>
                    <w:t>8.91</w:t>
                  </w:r>
                </w:p>
              </w:tc>
            </w:tr>
            <w:tr>
              <w:tblPrEx>
                <w:tblCellMar>
                  <w:top w:w="0" w:type="dxa"/>
                  <w:left w:w="108" w:type="dxa"/>
                  <w:bottom w:w="0" w:type="dxa"/>
                  <w:right w:w="108" w:type="dxa"/>
                </w:tblCellMar>
              </w:tblPrEx>
              <w:trPr>
                <w:trHeight w:val="194" w:hRule="atLeast"/>
                <w:jc w:val="center"/>
              </w:trPr>
              <w:tc>
                <w:tcPr>
                  <w:tcW w:w="3415" w:type="dxa"/>
                  <w:tcBorders>
                    <w:top w:val="nil"/>
                    <w:left w:val="single" w:color="auto" w:sz="4" w:space="0"/>
                    <w:bottom w:val="single" w:color="auto" w:sz="4" w:space="0"/>
                    <w:right w:val="single" w:color="auto" w:sz="4" w:space="0"/>
                  </w:tcBorders>
                  <w:shd w:val="clear" w:color="auto" w:fill="auto"/>
                  <w:noWrap/>
                </w:tcPr>
                <w:p>
                  <w:pPr>
                    <w:widowControl/>
                    <w:spacing w:line="240" w:lineRule="auto"/>
                    <w:jc w:val="center"/>
                  </w:pPr>
                  <w:r>
                    <w:rPr>
                      <w:rFonts w:hint="eastAsia"/>
                    </w:rPr>
                    <w:t>中升控股</w:t>
                  </w:r>
                </w:p>
              </w:tc>
              <w:tc>
                <w:tcPr>
                  <w:tcW w:w="3312" w:type="dxa"/>
                  <w:tcBorders>
                    <w:top w:val="nil"/>
                    <w:left w:val="nil"/>
                    <w:bottom w:val="single" w:color="auto" w:sz="4" w:space="0"/>
                    <w:right w:val="single" w:color="auto" w:sz="4" w:space="0"/>
                  </w:tcBorders>
                  <w:shd w:val="clear" w:color="auto" w:fill="auto"/>
                  <w:noWrap/>
                </w:tcPr>
                <w:p>
                  <w:pPr>
                    <w:widowControl/>
                    <w:spacing w:line="240" w:lineRule="auto"/>
                    <w:jc w:val="center"/>
                  </w:pPr>
                  <w:r>
                    <w:t>8.76</w:t>
                  </w:r>
                </w:p>
              </w:tc>
            </w:tr>
            <w:tr>
              <w:tblPrEx>
                <w:tblCellMar>
                  <w:top w:w="0" w:type="dxa"/>
                  <w:left w:w="108" w:type="dxa"/>
                  <w:bottom w:w="0" w:type="dxa"/>
                  <w:right w:w="108" w:type="dxa"/>
                </w:tblCellMar>
              </w:tblPrEx>
              <w:trPr>
                <w:trHeight w:val="194" w:hRule="atLeast"/>
                <w:jc w:val="center"/>
              </w:trPr>
              <w:tc>
                <w:tcPr>
                  <w:tcW w:w="3415" w:type="dxa"/>
                  <w:tcBorders>
                    <w:top w:val="nil"/>
                    <w:left w:val="single" w:color="auto" w:sz="4" w:space="0"/>
                    <w:bottom w:val="single" w:color="auto" w:sz="4" w:space="0"/>
                    <w:right w:val="single" w:color="auto" w:sz="4" w:space="0"/>
                  </w:tcBorders>
                  <w:shd w:val="clear" w:color="auto" w:fill="auto"/>
                  <w:noWrap/>
                </w:tcPr>
                <w:p>
                  <w:pPr>
                    <w:widowControl/>
                    <w:spacing w:line="240" w:lineRule="auto"/>
                    <w:jc w:val="center"/>
                  </w:pPr>
                  <w:r>
                    <w:rPr>
                      <w:rFonts w:hint="eastAsia"/>
                    </w:rPr>
                    <w:t>招商银行</w:t>
                  </w:r>
                </w:p>
              </w:tc>
              <w:tc>
                <w:tcPr>
                  <w:tcW w:w="3312" w:type="dxa"/>
                  <w:tcBorders>
                    <w:top w:val="nil"/>
                    <w:left w:val="nil"/>
                    <w:bottom w:val="single" w:color="auto" w:sz="4" w:space="0"/>
                    <w:right w:val="single" w:color="auto" w:sz="4" w:space="0"/>
                  </w:tcBorders>
                  <w:shd w:val="clear" w:color="auto" w:fill="auto"/>
                  <w:noWrap/>
                </w:tcPr>
                <w:p>
                  <w:pPr>
                    <w:widowControl/>
                    <w:spacing w:line="240" w:lineRule="auto"/>
                    <w:jc w:val="center"/>
                  </w:pPr>
                  <w:r>
                    <w:t>7.10</w:t>
                  </w:r>
                </w:p>
              </w:tc>
            </w:tr>
            <w:tr>
              <w:tblPrEx>
                <w:tblCellMar>
                  <w:top w:w="0" w:type="dxa"/>
                  <w:left w:w="108" w:type="dxa"/>
                  <w:bottom w:w="0" w:type="dxa"/>
                  <w:right w:w="108" w:type="dxa"/>
                </w:tblCellMar>
              </w:tblPrEx>
              <w:trPr>
                <w:trHeight w:val="194" w:hRule="atLeast"/>
                <w:jc w:val="center"/>
              </w:trPr>
              <w:tc>
                <w:tcPr>
                  <w:tcW w:w="3415" w:type="dxa"/>
                  <w:tcBorders>
                    <w:top w:val="nil"/>
                    <w:left w:val="single" w:color="auto" w:sz="4" w:space="0"/>
                    <w:bottom w:val="single" w:color="auto" w:sz="4" w:space="0"/>
                    <w:right w:val="single" w:color="auto" w:sz="4" w:space="0"/>
                  </w:tcBorders>
                  <w:shd w:val="clear" w:color="auto" w:fill="auto"/>
                  <w:noWrap/>
                </w:tcPr>
                <w:p>
                  <w:pPr>
                    <w:widowControl/>
                    <w:spacing w:line="240" w:lineRule="auto"/>
                    <w:jc w:val="center"/>
                  </w:pPr>
                  <w:r>
                    <w:rPr>
                      <w:rFonts w:hint="eastAsia"/>
                    </w:rPr>
                    <w:t>中海物业</w:t>
                  </w:r>
                </w:p>
              </w:tc>
              <w:tc>
                <w:tcPr>
                  <w:tcW w:w="3312" w:type="dxa"/>
                  <w:tcBorders>
                    <w:top w:val="nil"/>
                    <w:left w:val="nil"/>
                    <w:bottom w:val="single" w:color="auto" w:sz="4" w:space="0"/>
                    <w:right w:val="single" w:color="auto" w:sz="4" w:space="0"/>
                  </w:tcBorders>
                  <w:shd w:val="clear" w:color="auto" w:fill="auto"/>
                  <w:noWrap/>
                </w:tcPr>
                <w:p>
                  <w:pPr>
                    <w:widowControl/>
                    <w:spacing w:line="240" w:lineRule="auto"/>
                    <w:jc w:val="center"/>
                  </w:pPr>
                  <w:r>
                    <w:t>6.92</w:t>
                  </w:r>
                </w:p>
              </w:tc>
            </w:tr>
            <w:tr>
              <w:tblPrEx>
                <w:tblCellMar>
                  <w:top w:w="0" w:type="dxa"/>
                  <w:left w:w="108" w:type="dxa"/>
                  <w:bottom w:w="0" w:type="dxa"/>
                  <w:right w:w="108" w:type="dxa"/>
                </w:tblCellMar>
              </w:tblPrEx>
              <w:trPr>
                <w:trHeight w:val="230" w:hRule="atLeast"/>
                <w:jc w:val="center"/>
              </w:trPr>
              <w:tc>
                <w:tcPr>
                  <w:tcW w:w="3415" w:type="dxa"/>
                  <w:tcBorders>
                    <w:top w:val="nil"/>
                    <w:left w:val="single" w:color="auto" w:sz="4" w:space="0"/>
                    <w:bottom w:val="single" w:color="auto" w:sz="4" w:space="0"/>
                    <w:right w:val="single" w:color="auto" w:sz="4" w:space="0"/>
                  </w:tcBorders>
                  <w:shd w:val="clear" w:color="auto" w:fill="auto"/>
                  <w:noWrap/>
                </w:tcPr>
                <w:p>
                  <w:pPr>
                    <w:widowControl/>
                    <w:spacing w:line="240" w:lineRule="auto"/>
                    <w:jc w:val="center"/>
                  </w:pPr>
                  <w:r>
                    <w:rPr>
                      <w:rFonts w:hint="eastAsia"/>
                    </w:rPr>
                    <w:t>美东汽车</w:t>
                  </w:r>
                </w:p>
              </w:tc>
              <w:tc>
                <w:tcPr>
                  <w:tcW w:w="3312" w:type="dxa"/>
                  <w:tcBorders>
                    <w:top w:val="nil"/>
                    <w:left w:val="nil"/>
                    <w:bottom w:val="single" w:color="auto" w:sz="4" w:space="0"/>
                    <w:right w:val="single" w:color="auto" w:sz="4" w:space="0"/>
                  </w:tcBorders>
                  <w:shd w:val="clear" w:color="auto" w:fill="auto"/>
                  <w:noWrap/>
                </w:tcPr>
                <w:p>
                  <w:pPr>
                    <w:widowControl/>
                    <w:spacing w:line="240" w:lineRule="auto"/>
                    <w:jc w:val="center"/>
                  </w:pPr>
                  <w:r>
                    <w:t>6.75</w:t>
                  </w:r>
                </w:p>
              </w:tc>
            </w:tr>
            <w:tr>
              <w:tblPrEx>
                <w:tblCellMar>
                  <w:top w:w="0" w:type="dxa"/>
                  <w:left w:w="108" w:type="dxa"/>
                  <w:bottom w:w="0" w:type="dxa"/>
                  <w:right w:w="108" w:type="dxa"/>
                </w:tblCellMar>
              </w:tblPrEx>
              <w:trPr>
                <w:trHeight w:val="194" w:hRule="atLeast"/>
                <w:jc w:val="center"/>
              </w:trPr>
              <w:tc>
                <w:tcPr>
                  <w:tcW w:w="3415" w:type="dxa"/>
                  <w:tcBorders>
                    <w:top w:val="nil"/>
                    <w:left w:val="single" w:color="auto" w:sz="4" w:space="0"/>
                    <w:bottom w:val="single" w:color="auto" w:sz="4" w:space="0"/>
                    <w:right w:val="single" w:color="auto" w:sz="4" w:space="0"/>
                  </w:tcBorders>
                  <w:shd w:val="clear" w:color="auto" w:fill="auto"/>
                  <w:noWrap/>
                </w:tcPr>
                <w:p>
                  <w:pPr>
                    <w:widowControl/>
                    <w:spacing w:line="240" w:lineRule="auto"/>
                    <w:jc w:val="center"/>
                  </w:pPr>
                  <w:r>
                    <w:rPr>
                      <w:rFonts w:hint="eastAsia"/>
                    </w:rPr>
                    <w:t>美团-W</w:t>
                  </w:r>
                </w:p>
              </w:tc>
              <w:tc>
                <w:tcPr>
                  <w:tcW w:w="3312" w:type="dxa"/>
                  <w:tcBorders>
                    <w:top w:val="nil"/>
                    <w:left w:val="nil"/>
                    <w:bottom w:val="single" w:color="auto" w:sz="4" w:space="0"/>
                    <w:right w:val="single" w:color="auto" w:sz="4" w:space="0"/>
                  </w:tcBorders>
                  <w:shd w:val="clear" w:color="auto" w:fill="auto"/>
                  <w:noWrap/>
                </w:tcPr>
                <w:p>
                  <w:pPr>
                    <w:widowControl/>
                    <w:spacing w:line="240" w:lineRule="auto"/>
                    <w:jc w:val="center"/>
                  </w:pPr>
                  <w:r>
                    <w:t>5.17</w:t>
                  </w:r>
                </w:p>
              </w:tc>
            </w:tr>
            <w:tr>
              <w:tblPrEx>
                <w:tblCellMar>
                  <w:top w:w="0" w:type="dxa"/>
                  <w:left w:w="108" w:type="dxa"/>
                  <w:bottom w:w="0" w:type="dxa"/>
                  <w:right w:w="108" w:type="dxa"/>
                </w:tblCellMar>
              </w:tblPrEx>
              <w:trPr>
                <w:trHeight w:val="194" w:hRule="atLeast"/>
                <w:jc w:val="center"/>
              </w:trPr>
              <w:tc>
                <w:tcPr>
                  <w:tcW w:w="3415" w:type="dxa"/>
                  <w:tcBorders>
                    <w:top w:val="nil"/>
                    <w:left w:val="single" w:color="auto" w:sz="4" w:space="0"/>
                    <w:bottom w:val="single" w:color="auto" w:sz="4" w:space="0"/>
                    <w:right w:val="single" w:color="auto" w:sz="4" w:space="0"/>
                  </w:tcBorders>
                  <w:shd w:val="clear" w:color="auto" w:fill="auto"/>
                  <w:noWrap/>
                </w:tcPr>
                <w:p>
                  <w:pPr>
                    <w:widowControl/>
                    <w:spacing w:line="240" w:lineRule="auto"/>
                    <w:jc w:val="center"/>
                  </w:pPr>
                  <w:r>
                    <w:rPr>
                      <w:rFonts w:hint="eastAsia"/>
                    </w:rPr>
                    <w:t>舜宇光学科技</w:t>
                  </w:r>
                </w:p>
              </w:tc>
              <w:tc>
                <w:tcPr>
                  <w:tcW w:w="3312" w:type="dxa"/>
                  <w:tcBorders>
                    <w:top w:val="nil"/>
                    <w:left w:val="nil"/>
                    <w:bottom w:val="single" w:color="auto" w:sz="4" w:space="0"/>
                    <w:right w:val="single" w:color="auto" w:sz="4" w:space="0"/>
                  </w:tcBorders>
                  <w:shd w:val="clear" w:color="auto" w:fill="auto"/>
                  <w:noWrap/>
                </w:tcPr>
                <w:p>
                  <w:pPr>
                    <w:widowControl/>
                    <w:spacing w:line="240" w:lineRule="auto"/>
                    <w:jc w:val="center"/>
                  </w:pPr>
                  <w:r>
                    <w:t>4.81</w:t>
                  </w:r>
                </w:p>
              </w:tc>
            </w:tr>
            <w:tr>
              <w:tblPrEx>
                <w:tblCellMar>
                  <w:top w:w="0" w:type="dxa"/>
                  <w:left w:w="108" w:type="dxa"/>
                  <w:bottom w:w="0" w:type="dxa"/>
                  <w:right w:w="108" w:type="dxa"/>
                </w:tblCellMar>
              </w:tblPrEx>
              <w:trPr>
                <w:trHeight w:val="194" w:hRule="atLeast"/>
                <w:jc w:val="center"/>
              </w:trPr>
              <w:tc>
                <w:tcPr>
                  <w:tcW w:w="3415" w:type="dxa"/>
                  <w:tcBorders>
                    <w:top w:val="nil"/>
                    <w:left w:val="single" w:color="auto" w:sz="4" w:space="0"/>
                    <w:bottom w:val="single" w:color="auto" w:sz="4" w:space="0"/>
                    <w:right w:val="single" w:color="auto" w:sz="4" w:space="0"/>
                  </w:tcBorders>
                  <w:shd w:val="clear" w:color="auto" w:fill="auto"/>
                  <w:noWrap/>
                </w:tcPr>
                <w:p>
                  <w:pPr>
                    <w:widowControl/>
                    <w:spacing w:line="240" w:lineRule="auto"/>
                    <w:jc w:val="center"/>
                  </w:pPr>
                  <w:r>
                    <w:rPr>
                      <w:rFonts w:hint="eastAsia"/>
                    </w:rPr>
                    <w:t>佰仁医疗</w:t>
                  </w:r>
                </w:p>
              </w:tc>
              <w:tc>
                <w:tcPr>
                  <w:tcW w:w="3312" w:type="dxa"/>
                  <w:tcBorders>
                    <w:top w:val="nil"/>
                    <w:left w:val="nil"/>
                    <w:bottom w:val="single" w:color="auto" w:sz="4" w:space="0"/>
                    <w:right w:val="single" w:color="auto" w:sz="4" w:space="0"/>
                  </w:tcBorders>
                  <w:shd w:val="clear" w:color="auto" w:fill="auto"/>
                  <w:noWrap/>
                </w:tcPr>
                <w:p>
                  <w:pPr>
                    <w:widowControl/>
                    <w:spacing w:line="240" w:lineRule="auto"/>
                    <w:jc w:val="center"/>
                  </w:pPr>
                  <w:r>
                    <w:t>4.16</w:t>
                  </w:r>
                </w:p>
              </w:tc>
            </w:tr>
            <w:tr>
              <w:tblPrEx>
                <w:tblCellMar>
                  <w:top w:w="0" w:type="dxa"/>
                  <w:left w:w="108" w:type="dxa"/>
                  <w:bottom w:w="0" w:type="dxa"/>
                  <w:right w:w="108" w:type="dxa"/>
                </w:tblCellMar>
              </w:tblPrEx>
              <w:trPr>
                <w:trHeight w:val="194" w:hRule="atLeast"/>
                <w:jc w:val="center"/>
              </w:trPr>
              <w:tc>
                <w:tcPr>
                  <w:tcW w:w="3415" w:type="dxa"/>
                  <w:tcBorders>
                    <w:top w:val="nil"/>
                    <w:left w:val="single" w:color="auto" w:sz="4" w:space="0"/>
                    <w:bottom w:val="single" w:color="auto" w:sz="4" w:space="0"/>
                    <w:right w:val="single" w:color="auto" w:sz="4" w:space="0"/>
                  </w:tcBorders>
                  <w:shd w:val="clear" w:color="auto" w:fill="auto"/>
                  <w:noWrap/>
                </w:tcPr>
                <w:p>
                  <w:pPr>
                    <w:widowControl/>
                    <w:spacing w:line="240" w:lineRule="auto"/>
                    <w:jc w:val="center"/>
                  </w:pPr>
                  <w:r>
                    <w:rPr>
                      <w:rFonts w:hint="eastAsia"/>
                    </w:rPr>
                    <w:t>立讯精密</w:t>
                  </w:r>
                </w:p>
              </w:tc>
              <w:tc>
                <w:tcPr>
                  <w:tcW w:w="3312" w:type="dxa"/>
                  <w:tcBorders>
                    <w:top w:val="nil"/>
                    <w:left w:val="nil"/>
                    <w:bottom w:val="single" w:color="auto" w:sz="4" w:space="0"/>
                    <w:right w:val="single" w:color="auto" w:sz="4" w:space="0"/>
                  </w:tcBorders>
                  <w:shd w:val="clear" w:color="auto" w:fill="auto"/>
                  <w:noWrap/>
                </w:tcPr>
                <w:p>
                  <w:pPr>
                    <w:widowControl/>
                    <w:spacing w:line="240" w:lineRule="auto"/>
                    <w:jc w:val="center"/>
                  </w:pPr>
                  <w:r>
                    <w:t>4.01</w:t>
                  </w:r>
                </w:p>
              </w:tc>
            </w:tr>
            <w:tr>
              <w:tblPrEx>
                <w:tblCellMar>
                  <w:top w:w="0" w:type="dxa"/>
                  <w:left w:w="108" w:type="dxa"/>
                  <w:bottom w:w="0" w:type="dxa"/>
                  <w:right w:w="108" w:type="dxa"/>
                </w:tblCellMar>
              </w:tblPrEx>
              <w:trPr>
                <w:trHeight w:val="194" w:hRule="atLeast"/>
                <w:jc w:val="center"/>
              </w:trPr>
              <w:tc>
                <w:tcPr>
                  <w:tcW w:w="3415" w:type="dxa"/>
                  <w:tcBorders>
                    <w:top w:val="nil"/>
                    <w:left w:val="single" w:color="auto" w:sz="4" w:space="0"/>
                    <w:bottom w:val="single" w:color="auto" w:sz="4" w:space="0"/>
                    <w:right w:val="single" w:color="auto" w:sz="4" w:space="0"/>
                  </w:tcBorders>
                  <w:shd w:val="clear" w:color="auto" w:fill="auto"/>
                  <w:noWrap/>
                </w:tcPr>
                <w:p>
                  <w:pPr>
                    <w:widowControl/>
                    <w:spacing w:line="240" w:lineRule="auto"/>
                    <w:jc w:val="center"/>
                  </w:pPr>
                  <w:r>
                    <w:rPr>
                      <w:rFonts w:hint="eastAsia"/>
                    </w:rPr>
                    <w:t>华润啤酒</w:t>
                  </w:r>
                </w:p>
              </w:tc>
              <w:tc>
                <w:tcPr>
                  <w:tcW w:w="3312" w:type="dxa"/>
                  <w:tcBorders>
                    <w:top w:val="nil"/>
                    <w:left w:val="nil"/>
                    <w:bottom w:val="single" w:color="auto" w:sz="4" w:space="0"/>
                    <w:right w:val="single" w:color="auto" w:sz="4" w:space="0"/>
                  </w:tcBorders>
                  <w:shd w:val="clear" w:color="auto" w:fill="auto"/>
                  <w:noWrap/>
                </w:tcPr>
                <w:p>
                  <w:pPr>
                    <w:widowControl/>
                    <w:spacing w:line="240" w:lineRule="auto"/>
                    <w:jc w:val="center"/>
                  </w:pPr>
                  <w:r>
                    <w:t>3.84</w:t>
                  </w:r>
                </w:p>
              </w:tc>
            </w:tr>
            <w:tr>
              <w:tblPrEx>
                <w:tblCellMar>
                  <w:top w:w="0" w:type="dxa"/>
                  <w:left w:w="108" w:type="dxa"/>
                  <w:bottom w:w="0" w:type="dxa"/>
                  <w:right w:w="108" w:type="dxa"/>
                </w:tblCellMar>
              </w:tblPrEx>
              <w:trPr>
                <w:trHeight w:val="194" w:hRule="atLeast"/>
                <w:jc w:val="center"/>
              </w:trPr>
              <w:tc>
                <w:tcPr>
                  <w:tcW w:w="3415" w:type="dxa"/>
                  <w:tcBorders>
                    <w:top w:val="nil"/>
                    <w:left w:val="single" w:color="auto" w:sz="4" w:space="0"/>
                    <w:bottom w:val="single" w:color="auto" w:sz="4" w:space="0"/>
                    <w:right w:val="single" w:color="auto" w:sz="4" w:space="0"/>
                  </w:tcBorders>
                  <w:shd w:val="clear" w:color="auto" w:fill="auto"/>
                  <w:noWrap/>
                  <w:vAlign w:val="bottom"/>
                </w:tcPr>
                <w:p>
                  <w:pPr>
                    <w:widowControl/>
                    <w:spacing w:line="240" w:lineRule="auto"/>
                    <w:jc w:val="center"/>
                  </w:pPr>
                  <w:r>
                    <w:rPr>
                      <w:rFonts w:hint="eastAsia"/>
                    </w:rPr>
                    <w:t>前十大重仓股总计</w:t>
                  </w:r>
                </w:p>
              </w:tc>
              <w:tc>
                <w:tcPr>
                  <w:tcW w:w="3312" w:type="dxa"/>
                  <w:tcBorders>
                    <w:top w:val="nil"/>
                    <w:left w:val="nil"/>
                    <w:bottom w:val="single" w:color="auto" w:sz="4" w:space="0"/>
                    <w:right w:val="single" w:color="auto" w:sz="4" w:space="0"/>
                  </w:tcBorders>
                  <w:shd w:val="clear" w:color="auto" w:fill="auto"/>
                  <w:noWrap/>
                  <w:vAlign w:val="bottom"/>
                </w:tcPr>
                <w:p>
                  <w:pPr>
                    <w:widowControl/>
                    <w:spacing w:line="240" w:lineRule="auto"/>
                    <w:jc w:val="center"/>
                  </w:pPr>
                  <w:r>
                    <w:t>60.42</w:t>
                  </w:r>
                </w:p>
              </w:tc>
            </w:tr>
          </w:tbl>
          <w:p>
            <w:pPr>
              <w:widowControl/>
              <w:spacing w:line="240" w:lineRule="auto"/>
              <w:jc w:val="left"/>
            </w:pPr>
            <w:r>
              <w:rPr>
                <w:rFonts w:hint="eastAsia"/>
              </w:rPr>
              <w:t>3、产品费率结构：</w:t>
            </w:r>
          </w:p>
          <w:p>
            <w:pPr>
              <w:pStyle w:val="2"/>
            </w:pPr>
          </w:p>
          <w:tbl>
            <w:tblPr>
              <w:tblStyle w:val="5"/>
              <w:tblW w:w="9567" w:type="dxa"/>
              <w:jc w:val="center"/>
              <w:tblLayout w:type="fixed"/>
              <w:tblCellMar>
                <w:top w:w="0" w:type="dxa"/>
                <w:left w:w="108" w:type="dxa"/>
                <w:bottom w:w="0" w:type="dxa"/>
                <w:right w:w="108" w:type="dxa"/>
              </w:tblCellMar>
            </w:tblPr>
            <w:tblGrid>
              <w:gridCol w:w="1076"/>
              <w:gridCol w:w="1076"/>
              <w:gridCol w:w="1076"/>
              <w:gridCol w:w="2890"/>
              <w:gridCol w:w="3449"/>
            </w:tblGrid>
            <w:tr>
              <w:tblPrEx>
                <w:tblCellMar>
                  <w:top w:w="0" w:type="dxa"/>
                  <w:left w:w="108" w:type="dxa"/>
                  <w:bottom w:w="0" w:type="dxa"/>
                  <w:right w:w="108" w:type="dxa"/>
                </w:tblCellMar>
              </w:tblPrEx>
              <w:trPr>
                <w:trHeight w:val="191" w:hRule="atLeast"/>
                <w:jc w:val="center"/>
              </w:trPr>
              <w:tc>
                <w:tcPr>
                  <w:tcW w:w="107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jc w:val="center"/>
                  </w:pPr>
                  <w:r>
                    <w:rPr>
                      <w:rFonts w:hint="eastAsia"/>
                    </w:rPr>
                    <w:t>基金费率</w:t>
                  </w:r>
                </w:p>
              </w:tc>
              <w:tc>
                <w:tcPr>
                  <w:tcW w:w="1076" w:type="dxa"/>
                  <w:tcBorders>
                    <w:top w:val="single" w:color="auto" w:sz="4" w:space="0"/>
                    <w:left w:val="nil"/>
                    <w:bottom w:val="single" w:color="auto" w:sz="4" w:space="0"/>
                    <w:right w:val="single" w:color="auto" w:sz="4" w:space="0"/>
                  </w:tcBorders>
                  <w:shd w:val="clear" w:color="auto" w:fill="auto"/>
                  <w:vAlign w:val="center"/>
                </w:tcPr>
                <w:p>
                  <w:pPr>
                    <w:widowControl/>
                    <w:spacing w:line="240" w:lineRule="auto"/>
                    <w:jc w:val="center"/>
                  </w:pPr>
                  <w:r>
                    <w:rPr>
                      <w:rFonts w:hint="eastAsia"/>
                    </w:rPr>
                    <w:t>管理费</w:t>
                  </w:r>
                </w:p>
              </w:tc>
              <w:tc>
                <w:tcPr>
                  <w:tcW w:w="1076" w:type="dxa"/>
                  <w:tcBorders>
                    <w:top w:val="single" w:color="auto" w:sz="4" w:space="0"/>
                    <w:left w:val="nil"/>
                    <w:bottom w:val="single" w:color="auto" w:sz="4" w:space="0"/>
                    <w:right w:val="single" w:color="auto" w:sz="4" w:space="0"/>
                  </w:tcBorders>
                  <w:shd w:val="clear" w:color="auto" w:fill="auto"/>
                  <w:vAlign w:val="center"/>
                </w:tcPr>
                <w:p>
                  <w:pPr>
                    <w:widowControl/>
                    <w:spacing w:line="240" w:lineRule="auto"/>
                    <w:jc w:val="center"/>
                  </w:pPr>
                  <w:r>
                    <w:rPr>
                      <w:rFonts w:hint="eastAsia"/>
                    </w:rPr>
                    <w:t>托管费</w:t>
                  </w:r>
                </w:p>
              </w:tc>
              <w:tc>
                <w:tcPr>
                  <w:tcW w:w="2890" w:type="dxa"/>
                  <w:tcBorders>
                    <w:top w:val="single" w:color="auto" w:sz="4" w:space="0"/>
                    <w:left w:val="nil"/>
                    <w:bottom w:val="single" w:color="auto" w:sz="4" w:space="0"/>
                    <w:right w:val="single" w:color="auto" w:sz="4" w:space="0"/>
                  </w:tcBorders>
                  <w:shd w:val="clear" w:color="auto" w:fill="auto"/>
                  <w:vAlign w:val="center"/>
                </w:tcPr>
                <w:p>
                  <w:pPr>
                    <w:widowControl/>
                    <w:spacing w:line="240" w:lineRule="auto"/>
                    <w:jc w:val="center"/>
                  </w:pPr>
                  <w:r>
                    <w:rPr>
                      <w:rFonts w:hint="eastAsia"/>
                    </w:rPr>
                    <w:t>申购费</w:t>
                  </w:r>
                </w:p>
              </w:tc>
              <w:tc>
                <w:tcPr>
                  <w:tcW w:w="3449" w:type="dxa"/>
                  <w:tcBorders>
                    <w:top w:val="single" w:color="auto" w:sz="4" w:space="0"/>
                    <w:left w:val="nil"/>
                    <w:bottom w:val="single" w:color="auto" w:sz="4" w:space="0"/>
                    <w:right w:val="single" w:color="auto" w:sz="4" w:space="0"/>
                  </w:tcBorders>
                  <w:shd w:val="clear" w:color="auto" w:fill="auto"/>
                  <w:vAlign w:val="center"/>
                </w:tcPr>
                <w:p>
                  <w:pPr>
                    <w:widowControl/>
                    <w:spacing w:line="240" w:lineRule="auto"/>
                    <w:jc w:val="center"/>
                  </w:pPr>
                  <w:r>
                    <w:rPr>
                      <w:rFonts w:hint="eastAsia"/>
                    </w:rPr>
                    <w:t>赎回费</w:t>
                  </w:r>
                </w:p>
              </w:tc>
            </w:tr>
            <w:tr>
              <w:trPr>
                <w:trHeight w:val="2613" w:hRule="atLeast"/>
                <w:jc w:val="center"/>
              </w:trPr>
              <w:tc>
                <w:tcPr>
                  <w:tcW w:w="107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jc w:val="center"/>
                  </w:pPr>
                  <w:r>
                    <w:rPr>
                      <w:rFonts w:hint="eastAsia"/>
                    </w:rPr>
                    <w:t>中欧丰泓沪港深A</w:t>
                  </w:r>
                </w:p>
              </w:tc>
              <w:tc>
                <w:tcPr>
                  <w:tcW w:w="1076" w:type="dxa"/>
                  <w:tcBorders>
                    <w:top w:val="single" w:color="auto" w:sz="4" w:space="0"/>
                    <w:left w:val="nil"/>
                    <w:bottom w:val="single" w:color="auto" w:sz="4" w:space="0"/>
                    <w:right w:val="single" w:color="auto" w:sz="4" w:space="0"/>
                  </w:tcBorders>
                  <w:shd w:val="clear" w:color="auto" w:fill="auto"/>
                  <w:vAlign w:val="center"/>
                </w:tcPr>
                <w:p>
                  <w:pPr>
                    <w:widowControl/>
                    <w:spacing w:line="240" w:lineRule="auto"/>
                    <w:jc w:val="center"/>
                  </w:pPr>
                  <w:r>
                    <w:rPr>
                      <w:rFonts w:hint="eastAsia"/>
                    </w:rPr>
                    <w:t>1.50%</w:t>
                  </w:r>
                </w:p>
              </w:tc>
              <w:tc>
                <w:tcPr>
                  <w:tcW w:w="1076" w:type="dxa"/>
                  <w:tcBorders>
                    <w:top w:val="single" w:color="auto" w:sz="4" w:space="0"/>
                    <w:left w:val="nil"/>
                    <w:bottom w:val="single" w:color="auto" w:sz="4" w:space="0"/>
                    <w:right w:val="single" w:color="auto" w:sz="4" w:space="0"/>
                  </w:tcBorders>
                  <w:shd w:val="clear" w:color="auto" w:fill="auto"/>
                  <w:vAlign w:val="center"/>
                </w:tcPr>
                <w:p>
                  <w:pPr>
                    <w:widowControl/>
                    <w:spacing w:line="240" w:lineRule="auto"/>
                    <w:jc w:val="center"/>
                  </w:pPr>
                  <w:r>
                    <w:rPr>
                      <w:rFonts w:hint="eastAsia"/>
                    </w:rPr>
                    <w:t>0.25%</w:t>
                  </w:r>
                </w:p>
              </w:tc>
              <w:tc>
                <w:tcPr>
                  <w:tcW w:w="2890" w:type="dxa"/>
                  <w:tcBorders>
                    <w:top w:val="single" w:color="auto" w:sz="4" w:space="0"/>
                    <w:left w:val="nil"/>
                    <w:bottom w:val="single" w:color="auto" w:sz="4" w:space="0"/>
                    <w:right w:val="single" w:color="auto" w:sz="4" w:space="0"/>
                  </w:tcBorders>
                  <w:shd w:val="clear" w:color="auto" w:fill="auto"/>
                  <w:vAlign w:val="center"/>
                </w:tcPr>
                <w:p>
                  <w:pPr>
                    <w:widowControl/>
                    <w:spacing w:line="240" w:lineRule="auto"/>
                    <w:jc w:val="center"/>
                  </w:pPr>
                  <w:r>
                    <w:rPr>
                      <w:rFonts w:hint="eastAsia"/>
                    </w:rPr>
                    <w:t>普通投资群体</w:t>
                  </w:r>
                </w:p>
                <w:p>
                  <w:pPr>
                    <w:widowControl/>
                    <w:spacing w:line="240" w:lineRule="auto"/>
                    <w:jc w:val="center"/>
                  </w:pPr>
                  <w:r>
                    <w:rPr>
                      <w:rFonts w:hint="eastAsia"/>
                    </w:rPr>
                    <w:t>500万元以上 1000元/笔</w:t>
                  </w:r>
                </w:p>
                <w:p>
                  <w:pPr>
                    <w:widowControl/>
                    <w:spacing w:line="240" w:lineRule="auto"/>
                    <w:jc w:val="center"/>
                  </w:pPr>
                  <w:r>
                    <w:rPr>
                      <w:rFonts w:hint="eastAsia"/>
                    </w:rPr>
                    <w:t>100万元以下 1.5%</w:t>
                  </w:r>
                </w:p>
                <w:p>
                  <w:pPr>
                    <w:widowControl/>
                    <w:spacing w:line="240" w:lineRule="auto"/>
                    <w:jc w:val="center"/>
                  </w:pPr>
                  <w:r>
                    <w:rPr>
                      <w:rFonts w:hint="eastAsia"/>
                    </w:rPr>
                    <w:t>100~500万元 1%</w:t>
                  </w:r>
                </w:p>
                <w:p>
                  <w:pPr>
                    <w:widowControl/>
                    <w:spacing w:line="240" w:lineRule="auto"/>
                    <w:jc w:val="center"/>
                  </w:pPr>
                  <w:r>
                    <w:rPr>
                      <w:rFonts w:hint="eastAsia"/>
                    </w:rPr>
                    <w:t>社保,养老金,企业年金：</w:t>
                  </w:r>
                </w:p>
                <w:p>
                  <w:pPr>
                    <w:widowControl/>
                    <w:spacing w:line="240" w:lineRule="auto"/>
                    <w:jc w:val="center"/>
                  </w:pPr>
                  <w:r>
                    <w:rPr>
                      <w:rFonts w:hint="eastAsia"/>
                    </w:rPr>
                    <w:t>100万元以下 0.45%</w:t>
                  </w:r>
                </w:p>
                <w:p>
                  <w:pPr>
                    <w:widowControl/>
                    <w:spacing w:line="240" w:lineRule="auto"/>
                    <w:jc w:val="center"/>
                  </w:pPr>
                  <w:r>
                    <w:rPr>
                      <w:rFonts w:hint="eastAsia"/>
                    </w:rPr>
                    <w:t>100~500万元 0.3%</w:t>
                  </w:r>
                </w:p>
                <w:p>
                  <w:pPr>
                    <w:widowControl/>
                    <w:spacing w:line="240" w:lineRule="auto"/>
                    <w:jc w:val="center"/>
                  </w:pPr>
                  <w:r>
                    <w:rPr>
                      <w:rFonts w:hint="eastAsia"/>
                    </w:rPr>
                    <w:t>500万元以上 1000元/笔</w:t>
                  </w:r>
                </w:p>
              </w:tc>
              <w:tc>
                <w:tcPr>
                  <w:tcW w:w="3449" w:type="dxa"/>
                  <w:tcBorders>
                    <w:top w:val="single" w:color="auto" w:sz="4" w:space="0"/>
                    <w:left w:val="nil"/>
                    <w:bottom w:val="single" w:color="auto" w:sz="4" w:space="0"/>
                    <w:right w:val="single" w:color="auto" w:sz="4" w:space="0"/>
                  </w:tcBorders>
                  <w:shd w:val="clear" w:color="auto" w:fill="auto"/>
                  <w:vAlign w:val="center"/>
                </w:tcPr>
                <w:p>
                  <w:pPr>
                    <w:widowControl/>
                    <w:spacing w:line="240" w:lineRule="auto"/>
                    <w:jc w:val="center"/>
                  </w:pPr>
                  <w:r>
                    <w:rPr>
                      <w:rFonts w:hint="eastAsia"/>
                    </w:rPr>
                    <w:t>普通投资群体:7日以下 1.5%;</w:t>
                  </w:r>
                </w:p>
                <w:p>
                  <w:pPr>
                    <w:widowControl/>
                    <w:spacing w:line="240" w:lineRule="auto"/>
                    <w:jc w:val="center"/>
                  </w:pPr>
                  <w:r>
                    <w:rPr>
                      <w:rFonts w:hint="eastAsia"/>
                    </w:rPr>
                    <w:t>普通投资群体:7~30日 0.75%;</w:t>
                  </w:r>
                </w:p>
                <w:p>
                  <w:pPr>
                    <w:widowControl/>
                    <w:spacing w:line="240" w:lineRule="auto"/>
                    <w:jc w:val="center"/>
                  </w:pPr>
                  <w:r>
                    <w:rPr>
                      <w:rFonts w:hint="eastAsia"/>
                    </w:rPr>
                    <w:t>普通投资群体:30~365日 0.5%;</w:t>
                  </w:r>
                </w:p>
                <w:p>
                  <w:pPr>
                    <w:widowControl/>
                    <w:spacing w:line="240" w:lineRule="auto"/>
                    <w:jc w:val="center"/>
                  </w:pPr>
                  <w:r>
                    <w:rPr>
                      <w:rFonts w:hint="eastAsia"/>
                    </w:rPr>
                    <w:t>普通投资群体:365~730日 0.25%;</w:t>
                  </w:r>
                </w:p>
                <w:p>
                  <w:pPr>
                    <w:widowControl/>
                    <w:spacing w:line="240" w:lineRule="auto"/>
                    <w:jc w:val="center"/>
                  </w:pPr>
                  <w:r>
                    <w:rPr>
                      <w:rFonts w:hint="eastAsia"/>
                    </w:rPr>
                    <w:t>普通投资群体:730日以上 0%</w:t>
                  </w:r>
                </w:p>
              </w:tc>
            </w:tr>
            <w:tr>
              <w:tblPrEx>
                <w:tblCellMar>
                  <w:top w:w="0" w:type="dxa"/>
                  <w:left w:w="108" w:type="dxa"/>
                  <w:bottom w:w="0" w:type="dxa"/>
                  <w:right w:w="108" w:type="dxa"/>
                </w:tblCellMar>
              </w:tblPrEx>
              <w:trPr>
                <w:trHeight w:val="2613" w:hRule="atLeast"/>
                <w:jc w:val="center"/>
              </w:trPr>
              <w:tc>
                <w:tcPr>
                  <w:tcW w:w="107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jc w:val="center"/>
                  </w:pPr>
                  <w:r>
                    <w:rPr>
                      <w:rFonts w:hint="eastAsia"/>
                    </w:rPr>
                    <w:t>中欧丰泓沪港深</w:t>
                  </w:r>
                  <w:r>
                    <w:t>C</w:t>
                  </w:r>
                </w:p>
              </w:tc>
              <w:tc>
                <w:tcPr>
                  <w:tcW w:w="1076" w:type="dxa"/>
                  <w:tcBorders>
                    <w:top w:val="single" w:color="auto" w:sz="4" w:space="0"/>
                    <w:left w:val="nil"/>
                    <w:bottom w:val="single" w:color="auto" w:sz="4" w:space="0"/>
                    <w:right w:val="single" w:color="auto" w:sz="4" w:space="0"/>
                  </w:tcBorders>
                  <w:shd w:val="clear" w:color="auto" w:fill="auto"/>
                  <w:vAlign w:val="center"/>
                </w:tcPr>
                <w:p>
                  <w:pPr>
                    <w:widowControl/>
                    <w:spacing w:line="240" w:lineRule="auto"/>
                    <w:jc w:val="center"/>
                  </w:pPr>
                  <w:r>
                    <w:rPr>
                      <w:rFonts w:hint="eastAsia"/>
                    </w:rPr>
                    <w:t>1.50%</w:t>
                  </w:r>
                </w:p>
              </w:tc>
              <w:tc>
                <w:tcPr>
                  <w:tcW w:w="1076" w:type="dxa"/>
                  <w:tcBorders>
                    <w:top w:val="single" w:color="auto" w:sz="4" w:space="0"/>
                    <w:left w:val="nil"/>
                    <w:bottom w:val="single" w:color="auto" w:sz="4" w:space="0"/>
                    <w:right w:val="single" w:color="auto" w:sz="4" w:space="0"/>
                  </w:tcBorders>
                  <w:shd w:val="clear" w:color="auto" w:fill="auto"/>
                  <w:vAlign w:val="center"/>
                </w:tcPr>
                <w:p>
                  <w:pPr>
                    <w:widowControl/>
                    <w:spacing w:line="240" w:lineRule="auto"/>
                    <w:jc w:val="center"/>
                  </w:pPr>
                  <w:r>
                    <w:rPr>
                      <w:rFonts w:hint="eastAsia"/>
                    </w:rPr>
                    <w:t>0.25%</w:t>
                  </w:r>
                </w:p>
              </w:tc>
              <w:tc>
                <w:tcPr>
                  <w:tcW w:w="2890" w:type="dxa"/>
                  <w:tcBorders>
                    <w:top w:val="single" w:color="auto" w:sz="4" w:space="0"/>
                    <w:left w:val="nil"/>
                    <w:bottom w:val="single" w:color="auto" w:sz="4" w:space="0"/>
                    <w:right w:val="single" w:color="auto" w:sz="4" w:space="0"/>
                  </w:tcBorders>
                  <w:shd w:val="clear" w:color="auto" w:fill="auto"/>
                  <w:vAlign w:val="center"/>
                </w:tcPr>
                <w:p>
                  <w:pPr>
                    <w:widowControl/>
                    <w:spacing w:line="240" w:lineRule="auto"/>
                    <w:jc w:val="center"/>
                  </w:pPr>
                  <w:r>
                    <w:rPr>
                      <w:rFonts w:hint="eastAsia"/>
                    </w:rPr>
                    <w:t>0%</w:t>
                  </w:r>
                </w:p>
              </w:tc>
              <w:tc>
                <w:tcPr>
                  <w:tcW w:w="3449" w:type="dxa"/>
                  <w:tcBorders>
                    <w:top w:val="single" w:color="auto" w:sz="4" w:space="0"/>
                    <w:left w:val="nil"/>
                    <w:bottom w:val="single" w:color="auto" w:sz="4" w:space="0"/>
                    <w:right w:val="single" w:color="auto" w:sz="4" w:space="0"/>
                  </w:tcBorders>
                  <w:shd w:val="clear" w:color="auto" w:fill="auto"/>
                  <w:vAlign w:val="center"/>
                </w:tcPr>
                <w:p>
                  <w:pPr>
                    <w:widowControl/>
                    <w:spacing w:line="240" w:lineRule="auto"/>
                    <w:jc w:val="center"/>
                  </w:pPr>
                  <w:r>
                    <w:rPr>
                      <w:rFonts w:hint="eastAsia"/>
                    </w:rPr>
                    <w:t>普通投资群体：7日以下1.50%；</w:t>
                  </w:r>
                </w:p>
                <w:p>
                  <w:pPr>
                    <w:widowControl/>
                    <w:spacing w:line="240" w:lineRule="auto"/>
                    <w:jc w:val="center"/>
                  </w:pPr>
                  <w:r>
                    <w:rPr>
                      <w:rFonts w:hint="eastAsia"/>
                    </w:rPr>
                    <w:t>普通投资群体：7~30日0.</w:t>
                  </w:r>
                  <w:r>
                    <w:t>7</w:t>
                  </w:r>
                  <w:r>
                    <w:rPr>
                      <w:rFonts w:hint="eastAsia"/>
                    </w:rPr>
                    <w:t>5%；</w:t>
                  </w:r>
                </w:p>
                <w:p>
                  <w:pPr>
                    <w:widowControl/>
                    <w:spacing w:line="240" w:lineRule="auto"/>
                    <w:jc w:val="center"/>
                  </w:pPr>
                  <w:r>
                    <w:rPr>
                      <w:rFonts w:hint="eastAsia"/>
                    </w:rPr>
                    <w:t>普通投资群体：30~365日0.</w:t>
                  </w:r>
                  <w:r>
                    <w:t>5</w:t>
                  </w:r>
                  <w:r>
                    <w:rPr>
                      <w:rFonts w:hint="eastAsia"/>
                    </w:rPr>
                    <w:t>%</w:t>
                  </w:r>
                </w:p>
                <w:p>
                  <w:pPr>
                    <w:widowControl/>
                    <w:spacing w:line="240" w:lineRule="auto"/>
                    <w:jc w:val="center"/>
                  </w:pPr>
                  <w:r>
                    <w:rPr>
                      <w:rFonts w:hint="eastAsia"/>
                    </w:rPr>
                    <w:t>普通投资群体：365~730日 0.25%;</w:t>
                  </w:r>
                </w:p>
                <w:p>
                  <w:pPr>
                    <w:pStyle w:val="2"/>
                  </w:pPr>
                  <w:r>
                    <w:rPr>
                      <w:rFonts w:hint="eastAsia"/>
                    </w:rPr>
                    <w:t>普通投资群体:730日以上 0%</w:t>
                  </w:r>
                </w:p>
                <w:p>
                  <w:pPr>
                    <w:pStyle w:val="2"/>
                  </w:pPr>
                </w:p>
              </w:tc>
            </w:tr>
          </w:tbl>
          <w:p>
            <w:pPr>
              <w:widowControl/>
              <w:spacing w:line="240" w:lineRule="auto"/>
              <w:jc w:val="left"/>
            </w:pPr>
            <w:r>
              <w:rPr>
                <w:rFonts w:hint="eastAsia"/>
              </w:rPr>
              <w:t>4、产品持有人结构：2021年半年报显示，机构投资者占比73.67%，机构投资者占比自管理不断攀升，广泛受到机构投资者认可。</w:t>
            </w:r>
          </w:p>
          <w:p>
            <w:pPr>
              <w:pStyle w:val="2"/>
            </w:pPr>
          </w:p>
          <w:p>
            <w:pPr>
              <w:widowControl/>
              <w:spacing w:line="240" w:lineRule="auto"/>
              <w:jc w:val="left"/>
            </w:pPr>
            <w:r>
              <w:rPr>
                <w:rFonts w:hint="eastAsia"/>
              </w:rPr>
              <w:t>三、投资经理及策略情况</w:t>
            </w:r>
          </w:p>
          <w:p>
            <w:pPr>
              <w:widowControl/>
              <w:spacing w:line="240" w:lineRule="auto"/>
              <w:jc w:val="left"/>
            </w:pPr>
            <w:r>
              <w:rPr>
                <w:rFonts w:hint="eastAsia"/>
              </w:rPr>
              <w:t>1、基金经理：中欧丰泓沪港深基金（002685）基金经理罗佳明，香港大学物理系学士和应用物理系硕士。证券从业经验近11年，历任毕马威会计师事务所审计，德勤财务咨询服务有限公司并购交易服务顾问，野村国际香港有限公司房地产行业研究员，汇丰银行房地产行业研究员，银河国际资产管理（香港）有限公司基金经理，2018年4月加入中欧基金管理有限公司，历任研究员、投资经理，现任基金经理。</w:t>
            </w:r>
          </w:p>
          <w:p>
            <w:pPr>
              <w:widowControl/>
              <w:spacing w:line="240" w:lineRule="auto"/>
              <w:ind w:firstLine="420" w:firstLineChars="200"/>
              <w:jc w:val="left"/>
            </w:pPr>
            <w:r>
              <w:rPr>
                <w:rFonts w:hint="eastAsia"/>
              </w:rPr>
              <w:t>罗佳明先生为价值投资风格，以左侧交易为主，持股相对集中，换手率相对较低，持股期较长。公司选择时重点考虑杰出（诚实，勤奋，有出色能力）的管理层，简单易懂的生意模式，持续获利的能力，稳定的现金流，核心竞争力具备与众不同的特征，并充分考虑投资风险。对于公司的选择较为严苛，相较于便宜的价格更在意公司的质量，只选择最优秀的公司长期持有，换手率100%左右。持仓上较为偏好大盘蓝筹，关注更具备核心竞争力的龙头或细分龙头公司。从组合特征上，ROE一般都在20%以上，追求确定性高的成长，看重持续的获利能力，持仓个股盈利质量高。</w:t>
            </w:r>
          </w:p>
          <w:p>
            <w:pPr>
              <w:widowControl/>
              <w:spacing w:line="240" w:lineRule="auto"/>
              <w:jc w:val="left"/>
            </w:pPr>
            <w:r>
              <w:rPr>
                <w:rFonts w:hint="eastAsia"/>
              </w:rPr>
              <w:t>2、基金经理业绩情况：代表产品中欧丰泓沪港深基金自罗佳明于2019/7/2管理至今累计收益率82.72%，同类排名652/1901（wind，截至2021/10/31）,超越沪深300、恒生指数收益分别为58.00%、93.81%，超额收益显著。截至2021/10/22，中欧丰泓沪港深基金自管理以来在同类主动管理港股基金中排名第二; 今年以来（2021/1/1-2021/10/22）收益率13.82%，排名同期主动管理港股基金中第一。</w:t>
            </w:r>
          </w:p>
          <w:p>
            <w:pPr>
              <w:pStyle w:val="2"/>
            </w:pPr>
          </w:p>
          <w:tbl>
            <w:tblPr>
              <w:tblStyle w:val="5"/>
              <w:tblW w:w="0" w:type="auto"/>
              <w:jc w:val="center"/>
              <w:tblLayout w:type="fixed"/>
              <w:tblCellMar>
                <w:top w:w="0" w:type="dxa"/>
                <w:left w:w="108" w:type="dxa"/>
                <w:bottom w:w="0" w:type="dxa"/>
                <w:right w:w="108" w:type="dxa"/>
              </w:tblCellMar>
            </w:tblPr>
            <w:tblGrid>
              <w:gridCol w:w="2314"/>
              <w:gridCol w:w="1179"/>
              <w:gridCol w:w="1297"/>
              <w:gridCol w:w="1179"/>
              <w:gridCol w:w="1181"/>
            </w:tblGrid>
            <w:tr>
              <w:trPr>
                <w:trHeight w:val="353" w:hRule="atLeast"/>
                <w:jc w:val="center"/>
              </w:trPr>
              <w:tc>
                <w:tcPr>
                  <w:tcW w:w="7150" w:type="dxa"/>
                  <w:gridSpan w:val="5"/>
                  <w:tcBorders>
                    <w:top w:val="single" w:color="auto" w:sz="4" w:space="0"/>
                    <w:left w:val="single" w:color="auto" w:sz="4" w:space="0"/>
                    <w:bottom w:val="single" w:color="auto" w:sz="4" w:space="0"/>
                    <w:right w:val="single" w:color="auto" w:sz="4" w:space="0"/>
                  </w:tcBorders>
                  <w:shd w:val="clear" w:color="auto" w:fill="auto"/>
                  <w:noWrap/>
                  <w:vAlign w:val="bottom"/>
                </w:tcPr>
                <w:p>
                  <w:pPr>
                    <w:widowControl/>
                    <w:spacing w:line="240" w:lineRule="auto"/>
                    <w:jc w:val="center"/>
                  </w:pPr>
                  <w:r>
                    <w:rPr>
                      <w:rFonts w:hint="eastAsia"/>
                    </w:rPr>
                    <w:t>罗佳明管理基金业绩情况（%）</w:t>
                  </w:r>
                </w:p>
              </w:tc>
            </w:tr>
            <w:tr>
              <w:tblPrEx>
                <w:tblCellMar>
                  <w:top w:w="0" w:type="dxa"/>
                  <w:left w:w="108" w:type="dxa"/>
                  <w:bottom w:w="0" w:type="dxa"/>
                  <w:right w:w="108" w:type="dxa"/>
                </w:tblCellMar>
              </w:tblPrEx>
              <w:trPr>
                <w:trHeight w:val="353" w:hRule="atLeast"/>
                <w:jc w:val="center"/>
              </w:trPr>
              <w:tc>
                <w:tcPr>
                  <w:tcW w:w="2314" w:type="dxa"/>
                  <w:tcBorders>
                    <w:top w:val="nil"/>
                    <w:left w:val="single" w:color="auto" w:sz="4" w:space="0"/>
                    <w:bottom w:val="single" w:color="auto" w:sz="4" w:space="0"/>
                    <w:right w:val="single" w:color="auto" w:sz="4" w:space="0"/>
                  </w:tcBorders>
                  <w:shd w:val="clear" w:color="auto" w:fill="auto"/>
                  <w:noWrap/>
                  <w:vAlign w:val="bottom"/>
                </w:tcPr>
                <w:p>
                  <w:pPr>
                    <w:widowControl/>
                    <w:spacing w:line="240" w:lineRule="auto"/>
                    <w:jc w:val="left"/>
                  </w:pPr>
                  <w:r>
                    <w:rPr>
                      <w:rFonts w:hint="eastAsia"/>
                    </w:rPr>
                    <w:t>年份</w:t>
                  </w:r>
                </w:p>
              </w:tc>
              <w:tc>
                <w:tcPr>
                  <w:tcW w:w="1179" w:type="dxa"/>
                  <w:tcBorders>
                    <w:top w:val="nil"/>
                    <w:left w:val="nil"/>
                    <w:bottom w:val="single" w:color="auto" w:sz="4" w:space="0"/>
                    <w:right w:val="single" w:color="auto" w:sz="4" w:space="0"/>
                  </w:tcBorders>
                  <w:shd w:val="clear" w:color="auto" w:fill="auto"/>
                  <w:noWrap/>
                  <w:vAlign w:val="bottom"/>
                </w:tcPr>
                <w:p>
                  <w:pPr>
                    <w:widowControl/>
                    <w:spacing w:line="240" w:lineRule="auto"/>
                    <w:jc w:val="right"/>
                  </w:pPr>
                  <w:r>
                    <w:rPr>
                      <w:rFonts w:hint="eastAsia"/>
                    </w:rPr>
                    <w:t>2021</w:t>
                  </w:r>
                </w:p>
              </w:tc>
              <w:tc>
                <w:tcPr>
                  <w:tcW w:w="1297" w:type="dxa"/>
                  <w:tcBorders>
                    <w:top w:val="nil"/>
                    <w:left w:val="nil"/>
                    <w:bottom w:val="single" w:color="auto" w:sz="4" w:space="0"/>
                    <w:right w:val="single" w:color="auto" w:sz="4" w:space="0"/>
                  </w:tcBorders>
                  <w:shd w:val="clear" w:color="auto" w:fill="auto"/>
                  <w:noWrap/>
                  <w:vAlign w:val="bottom"/>
                </w:tcPr>
                <w:p>
                  <w:pPr>
                    <w:widowControl/>
                    <w:spacing w:line="240" w:lineRule="auto"/>
                    <w:jc w:val="right"/>
                  </w:pPr>
                  <w:r>
                    <w:rPr>
                      <w:rFonts w:hint="eastAsia"/>
                    </w:rPr>
                    <w:t>2020</w:t>
                  </w:r>
                </w:p>
              </w:tc>
              <w:tc>
                <w:tcPr>
                  <w:tcW w:w="1179" w:type="dxa"/>
                  <w:tcBorders>
                    <w:top w:val="nil"/>
                    <w:left w:val="nil"/>
                    <w:bottom w:val="single" w:color="auto" w:sz="4" w:space="0"/>
                    <w:right w:val="single" w:color="auto" w:sz="4" w:space="0"/>
                  </w:tcBorders>
                  <w:shd w:val="clear" w:color="auto" w:fill="auto"/>
                  <w:noWrap/>
                  <w:vAlign w:val="bottom"/>
                </w:tcPr>
                <w:p>
                  <w:pPr>
                    <w:widowControl/>
                    <w:spacing w:line="240" w:lineRule="auto"/>
                    <w:jc w:val="right"/>
                  </w:pPr>
                  <w:r>
                    <w:rPr>
                      <w:rFonts w:hint="eastAsia"/>
                    </w:rPr>
                    <w:t>2019</w:t>
                  </w:r>
                </w:p>
              </w:tc>
              <w:tc>
                <w:tcPr>
                  <w:tcW w:w="1181" w:type="dxa"/>
                  <w:tcBorders>
                    <w:top w:val="nil"/>
                    <w:left w:val="nil"/>
                    <w:bottom w:val="single" w:color="auto" w:sz="4" w:space="0"/>
                    <w:right w:val="single" w:color="auto" w:sz="4" w:space="0"/>
                  </w:tcBorders>
                  <w:shd w:val="clear" w:color="auto" w:fill="auto"/>
                  <w:noWrap/>
                  <w:vAlign w:val="bottom"/>
                </w:tcPr>
                <w:p>
                  <w:pPr>
                    <w:widowControl/>
                    <w:spacing w:line="240" w:lineRule="auto"/>
                    <w:jc w:val="left"/>
                  </w:pPr>
                  <w:r>
                    <w:rPr>
                      <w:rFonts w:hint="eastAsia"/>
                    </w:rPr>
                    <w:t>管理以来</w:t>
                  </w:r>
                </w:p>
              </w:tc>
            </w:tr>
            <w:tr>
              <w:tblPrEx>
                <w:tblCellMar>
                  <w:top w:w="0" w:type="dxa"/>
                  <w:left w:w="108" w:type="dxa"/>
                  <w:bottom w:w="0" w:type="dxa"/>
                  <w:right w:w="108" w:type="dxa"/>
                </w:tblCellMar>
              </w:tblPrEx>
              <w:trPr>
                <w:trHeight w:val="353" w:hRule="atLeast"/>
                <w:jc w:val="center"/>
              </w:trPr>
              <w:tc>
                <w:tcPr>
                  <w:tcW w:w="2314" w:type="dxa"/>
                  <w:tcBorders>
                    <w:top w:val="nil"/>
                    <w:left w:val="single" w:color="auto" w:sz="4" w:space="0"/>
                    <w:bottom w:val="single" w:color="auto" w:sz="4" w:space="0"/>
                    <w:right w:val="single" w:color="auto" w:sz="4" w:space="0"/>
                  </w:tcBorders>
                  <w:shd w:val="clear" w:color="auto" w:fill="auto"/>
                  <w:noWrap/>
                  <w:vAlign w:val="bottom"/>
                </w:tcPr>
                <w:p>
                  <w:pPr>
                    <w:widowControl/>
                    <w:spacing w:line="240" w:lineRule="auto"/>
                    <w:jc w:val="left"/>
                  </w:pPr>
                  <w:r>
                    <w:rPr>
                      <w:rFonts w:hint="eastAsia"/>
                    </w:rPr>
                    <w:t>中欧丰泓沪港深A</w:t>
                  </w:r>
                </w:p>
              </w:tc>
              <w:tc>
                <w:tcPr>
                  <w:tcW w:w="1179" w:type="dxa"/>
                  <w:tcBorders>
                    <w:top w:val="nil"/>
                    <w:left w:val="nil"/>
                    <w:bottom w:val="single" w:color="auto" w:sz="4" w:space="0"/>
                    <w:right w:val="single" w:color="auto" w:sz="4" w:space="0"/>
                  </w:tcBorders>
                  <w:shd w:val="clear" w:color="auto" w:fill="auto"/>
                  <w:noWrap/>
                  <w:vAlign w:val="bottom"/>
                </w:tcPr>
                <w:p>
                  <w:pPr>
                    <w:widowControl/>
                    <w:spacing w:line="240" w:lineRule="auto"/>
                    <w:jc w:val="right"/>
                  </w:pPr>
                  <w:r>
                    <w:rPr>
                      <w:rFonts w:hint="eastAsia"/>
                    </w:rPr>
                    <w:t>11.02%</w:t>
                  </w:r>
                </w:p>
              </w:tc>
              <w:tc>
                <w:tcPr>
                  <w:tcW w:w="1297" w:type="dxa"/>
                  <w:tcBorders>
                    <w:top w:val="nil"/>
                    <w:left w:val="nil"/>
                    <w:bottom w:val="single" w:color="auto" w:sz="4" w:space="0"/>
                    <w:right w:val="single" w:color="auto" w:sz="4" w:space="0"/>
                  </w:tcBorders>
                  <w:shd w:val="clear" w:color="auto" w:fill="auto"/>
                  <w:noWrap/>
                  <w:vAlign w:val="bottom"/>
                </w:tcPr>
                <w:p>
                  <w:pPr>
                    <w:widowControl/>
                    <w:spacing w:line="240" w:lineRule="auto"/>
                    <w:jc w:val="right"/>
                  </w:pPr>
                  <w:r>
                    <w:rPr>
                      <w:rFonts w:hint="eastAsia"/>
                    </w:rPr>
                    <w:t>35.86%</w:t>
                  </w:r>
                </w:p>
              </w:tc>
              <w:tc>
                <w:tcPr>
                  <w:tcW w:w="1179" w:type="dxa"/>
                  <w:tcBorders>
                    <w:top w:val="nil"/>
                    <w:left w:val="nil"/>
                    <w:bottom w:val="single" w:color="auto" w:sz="4" w:space="0"/>
                    <w:right w:val="single" w:color="auto" w:sz="4" w:space="0"/>
                  </w:tcBorders>
                  <w:shd w:val="clear" w:color="auto" w:fill="auto"/>
                  <w:noWrap/>
                  <w:vAlign w:val="bottom"/>
                </w:tcPr>
                <w:p>
                  <w:pPr>
                    <w:widowControl/>
                    <w:spacing w:line="240" w:lineRule="auto"/>
                    <w:jc w:val="right"/>
                  </w:pPr>
                  <w:r>
                    <w:rPr>
                      <w:rFonts w:hint="eastAsia"/>
                    </w:rPr>
                    <w:t>21.15%</w:t>
                  </w:r>
                </w:p>
              </w:tc>
              <w:tc>
                <w:tcPr>
                  <w:tcW w:w="1181" w:type="dxa"/>
                  <w:tcBorders>
                    <w:top w:val="nil"/>
                    <w:left w:val="nil"/>
                    <w:bottom w:val="single" w:color="auto" w:sz="4" w:space="0"/>
                    <w:right w:val="single" w:color="auto" w:sz="4" w:space="0"/>
                  </w:tcBorders>
                  <w:shd w:val="clear" w:color="auto" w:fill="auto"/>
                  <w:noWrap/>
                  <w:vAlign w:val="bottom"/>
                </w:tcPr>
                <w:p>
                  <w:pPr>
                    <w:widowControl/>
                    <w:spacing w:line="240" w:lineRule="auto"/>
                    <w:jc w:val="right"/>
                  </w:pPr>
                  <w:r>
                    <w:rPr>
                      <w:rFonts w:hint="eastAsia"/>
                    </w:rPr>
                    <w:t>82.72%</w:t>
                  </w:r>
                </w:p>
              </w:tc>
            </w:tr>
            <w:tr>
              <w:tblPrEx>
                <w:tblCellMar>
                  <w:top w:w="0" w:type="dxa"/>
                  <w:left w:w="108" w:type="dxa"/>
                  <w:bottom w:w="0" w:type="dxa"/>
                  <w:right w:w="108" w:type="dxa"/>
                </w:tblCellMar>
              </w:tblPrEx>
              <w:trPr>
                <w:trHeight w:val="353" w:hRule="atLeast"/>
                <w:jc w:val="center"/>
              </w:trPr>
              <w:tc>
                <w:tcPr>
                  <w:tcW w:w="2314" w:type="dxa"/>
                  <w:tcBorders>
                    <w:top w:val="nil"/>
                    <w:left w:val="single" w:color="auto" w:sz="4" w:space="0"/>
                    <w:bottom w:val="single" w:color="auto" w:sz="4" w:space="0"/>
                    <w:right w:val="single" w:color="auto" w:sz="4" w:space="0"/>
                  </w:tcBorders>
                  <w:shd w:val="clear" w:color="auto" w:fill="auto"/>
                  <w:noWrap/>
                  <w:vAlign w:val="bottom"/>
                </w:tcPr>
                <w:p>
                  <w:pPr>
                    <w:widowControl/>
                    <w:spacing w:line="240" w:lineRule="auto"/>
                    <w:jc w:val="left"/>
                  </w:pPr>
                  <w:r>
                    <w:rPr>
                      <w:rFonts w:hint="eastAsia"/>
                    </w:rPr>
                    <w:t>沪深300</w:t>
                  </w:r>
                </w:p>
              </w:tc>
              <w:tc>
                <w:tcPr>
                  <w:tcW w:w="1179" w:type="dxa"/>
                  <w:tcBorders>
                    <w:top w:val="nil"/>
                    <w:left w:val="nil"/>
                    <w:bottom w:val="single" w:color="auto" w:sz="4" w:space="0"/>
                    <w:right w:val="single" w:color="auto" w:sz="4" w:space="0"/>
                  </w:tcBorders>
                  <w:shd w:val="clear" w:color="auto" w:fill="auto"/>
                  <w:noWrap/>
                  <w:vAlign w:val="bottom"/>
                </w:tcPr>
                <w:p>
                  <w:pPr>
                    <w:widowControl/>
                    <w:spacing w:line="240" w:lineRule="auto"/>
                    <w:jc w:val="right"/>
                  </w:pPr>
                  <w:r>
                    <w:rPr>
                      <w:rFonts w:hint="eastAsia"/>
                    </w:rPr>
                    <w:t>-5.81%</w:t>
                  </w:r>
                </w:p>
              </w:tc>
              <w:tc>
                <w:tcPr>
                  <w:tcW w:w="1297" w:type="dxa"/>
                  <w:tcBorders>
                    <w:top w:val="nil"/>
                    <w:left w:val="nil"/>
                    <w:bottom w:val="single" w:color="auto" w:sz="4" w:space="0"/>
                    <w:right w:val="single" w:color="auto" w:sz="4" w:space="0"/>
                  </w:tcBorders>
                  <w:shd w:val="clear" w:color="auto" w:fill="auto"/>
                  <w:noWrap/>
                  <w:vAlign w:val="bottom"/>
                </w:tcPr>
                <w:p>
                  <w:pPr>
                    <w:widowControl/>
                    <w:spacing w:line="240" w:lineRule="auto"/>
                    <w:jc w:val="right"/>
                  </w:pPr>
                  <w:r>
                    <w:rPr>
                      <w:rFonts w:hint="eastAsia"/>
                    </w:rPr>
                    <w:t>27.21%</w:t>
                  </w:r>
                </w:p>
              </w:tc>
              <w:tc>
                <w:tcPr>
                  <w:tcW w:w="1179" w:type="dxa"/>
                  <w:tcBorders>
                    <w:top w:val="nil"/>
                    <w:left w:val="nil"/>
                    <w:bottom w:val="single" w:color="auto" w:sz="4" w:space="0"/>
                    <w:right w:val="single" w:color="auto" w:sz="4" w:space="0"/>
                  </w:tcBorders>
                  <w:shd w:val="clear" w:color="auto" w:fill="auto"/>
                  <w:noWrap/>
                  <w:vAlign w:val="bottom"/>
                </w:tcPr>
                <w:p>
                  <w:pPr>
                    <w:widowControl/>
                    <w:spacing w:line="240" w:lineRule="auto"/>
                    <w:jc w:val="right"/>
                  </w:pPr>
                  <w:r>
                    <w:rPr>
                      <w:rFonts w:hint="eastAsia"/>
                    </w:rPr>
                    <w:t>4.08%</w:t>
                  </w:r>
                </w:p>
              </w:tc>
              <w:tc>
                <w:tcPr>
                  <w:tcW w:w="1181" w:type="dxa"/>
                  <w:tcBorders>
                    <w:top w:val="nil"/>
                    <w:left w:val="nil"/>
                    <w:bottom w:val="single" w:color="auto" w:sz="4" w:space="0"/>
                    <w:right w:val="single" w:color="auto" w:sz="4" w:space="0"/>
                  </w:tcBorders>
                  <w:shd w:val="clear" w:color="auto" w:fill="auto"/>
                  <w:noWrap/>
                  <w:vAlign w:val="bottom"/>
                </w:tcPr>
                <w:p>
                  <w:pPr>
                    <w:widowControl/>
                    <w:spacing w:line="240" w:lineRule="auto"/>
                    <w:jc w:val="right"/>
                  </w:pPr>
                  <w:r>
                    <w:rPr>
                      <w:rFonts w:hint="eastAsia"/>
                    </w:rPr>
                    <w:t>24.72%</w:t>
                  </w:r>
                </w:p>
              </w:tc>
            </w:tr>
            <w:tr>
              <w:tblPrEx>
                <w:tblCellMar>
                  <w:top w:w="0" w:type="dxa"/>
                  <w:left w:w="108" w:type="dxa"/>
                  <w:bottom w:w="0" w:type="dxa"/>
                  <w:right w:w="108" w:type="dxa"/>
                </w:tblCellMar>
              </w:tblPrEx>
              <w:trPr>
                <w:trHeight w:val="353" w:hRule="atLeast"/>
                <w:jc w:val="center"/>
              </w:trPr>
              <w:tc>
                <w:tcPr>
                  <w:tcW w:w="2314" w:type="dxa"/>
                  <w:tcBorders>
                    <w:top w:val="nil"/>
                    <w:left w:val="single" w:color="auto" w:sz="4" w:space="0"/>
                    <w:bottom w:val="single" w:color="auto" w:sz="4" w:space="0"/>
                    <w:right w:val="single" w:color="auto" w:sz="4" w:space="0"/>
                  </w:tcBorders>
                  <w:shd w:val="clear" w:color="auto" w:fill="auto"/>
                  <w:noWrap/>
                  <w:vAlign w:val="bottom"/>
                </w:tcPr>
                <w:p>
                  <w:pPr>
                    <w:widowControl/>
                    <w:spacing w:line="240" w:lineRule="auto"/>
                    <w:jc w:val="left"/>
                  </w:pPr>
                  <w:r>
                    <w:rPr>
                      <w:rFonts w:hint="eastAsia"/>
                    </w:rPr>
                    <w:t>恒生指数</w:t>
                  </w:r>
                </w:p>
              </w:tc>
              <w:tc>
                <w:tcPr>
                  <w:tcW w:w="1179" w:type="dxa"/>
                  <w:tcBorders>
                    <w:top w:val="nil"/>
                    <w:left w:val="nil"/>
                    <w:bottom w:val="single" w:color="auto" w:sz="4" w:space="0"/>
                    <w:right w:val="single" w:color="auto" w:sz="4" w:space="0"/>
                  </w:tcBorders>
                  <w:shd w:val="clear" w:color="auto" w:fill="auto"/>
                  <w:noWrap/>
                  <w:vAlign w:val="bottom"/>
                </w:tcPr>
                <w:p>
                  <w:pPr>
                    <w:widowControl/>
                    <w:spacing w:line="240" w:lineRule="auto"/>
                    <w:jc w:val="right"/>
                  </w:pPr>
                  <w:r>
                    <w:rPr>
                      <w:rFonts w:hint="eastAsia"/>
                    </w:rPr>
                    <w:t>-6.81%</w:t>
                  </w:r>
                </w:p>
              </w:tc>
              <w:tc>
                <w:tcPr>
                  <w:tcW w:w="1297" w:type="dxa"/>
                  <w:tcBorders>
                    <w:top w:val="nil"/>
                    <w:left w:val="nil"/>
                    <w:bottom w:val="single" w:color="auto" w:sz="4" w:space="0"/>
                    <w:right w:val="single" w:color="auto" w:sz="4" w:space="0"/>
                  </w:tcBorders>
                  <w:shd w:val="clear" w:color="auto" w:fill="auto"/>
                  <w:noWrap/>
                  <w:vAlign w:val="bottom"/>
                </w:tcPr>
                <w:p>
                  <w:pPr>
                    <w:widowControl/>
                    <w:spacing w:line="240" w:lineRule="auto"/>
                    <w:jc w:val="right"/>
                  </w:pPr>
                  <w:r>
                    <w:rPr>
                      <w:rFonts w:hint="eastAsia"/>
                    </w:rPr>
                    <w:t>-3.40%</w:t>
                  </w:r>
                </w:p>
              </w:tc>
              <w:tc>
                <w:tcPr>
                  <w:tcW w:w="1179" w:type="dxa"/>
                  <w:tcBorders>
                    <w:top w:val="nil"/>
                    <w:left w:val="nil"/>
                    <w:bottom w:val="single" w:color="auto" w:sz="4" w:space="0"/>
                    <w:right w:val="single" w:color="auto" w:sz="4" w:space="0"/>
                  </w:tcBorders>
                  <w:shd w:val="clear" w:color="auto" w:fill="auto"/>
                  <w:noWrap/>
                  <w:vAlign w:val="bottom"/>
                </w:tcPr>
                <w:p>
                  <w:pPr>
                    <w:widowControl/>
                    <w:spacing w:line="240" w:lineRule="auto"/>
                    <w:jc w:val="right"/>
                  </w:pPr>
                  <w:r>
                    <w:rPr>
                      <w:rFonts w:hint="eastAsia"/>
                    </w:rPr>
                    <w:t>-1.24%</w:t>
                  </w:r>
                </w:p>
              </w:tc>
              <w:tc>
                <w:tcPr>
                  <w:tcW w:w="1181" w:type="dxa"/>
                  <w:tcBorders>
                    <w:top w:val="nil"/>
                    <w:left w:val="nil"/>
                    <w:bottom w:val="single" w:color="auto" w:sz="4" w:space="0"/>
                    <w:right w:val="single" w:color="auto" w:sz="4" w:space="0"/>
                  </w:tcBorders>
                  <w:shd w:val="clear" w:color="auto" w:fill="auto"/>
                  <w:noWrap/>
                  <w:vAlign w:val="bottom"/>
                </w:tcPr>
                <w:p>
                  <w:pPr>
                    <w:widowControl/>
                    <w:spacing w:line="240" w:lineRule="auto"/>
                    <w:jc w:val="right"/>
                  </w:pPr>
                  <w:r>
                    <w:rPr>
                      <w:rFonts w:hint="eastAsia"/>
                    </w:rPr>
                    <w:t>-11.09%</w:t>
                  </w:r>
                </w:p>
              </w:tc>
            </w:tr>
            <w:tr>
              <w:tblPrEx>
                <w:tblCellMar>
                  <w:top w:w="0" w:type="dxa"/>
                  <w:left w:w="108" w:type="dxa"/>
                  <w:bottom w:w="0" w:type="dxa"/>
                  <w:right w:w="108" w:type="dxa"/>
                </w:tblCellMar>
              </w:tblPrEx>
              <w:trPr>
                <w:trHeight w:val="353" w:hRule="atLeast"/>
                <w:jc w:val="center"/>
              </w:trPr>
              <w:tc>
                <w:tcPr>
                  <w:tcW w:w="2314" w:type="dxa"/>
                  <w:tcBorders>
                    <w:top w:val="nil"/>
                    <w:left w:val="single" w:color="auto" w:sz="4" w:space="0"/>
                    <w:bottom w:val="single" w:color="auto" w:sz="4" w:space="0"/>
                    <w:right w:val="single" w:color="auto" w:sz="4" w:space="0"/>
                  </w:tcBorders>
                  <w:shd w:val="clear" w:color="auto" w:fill="auto"/>
                  <w:noWrap/>
                  <w:vAlign w:val="bottom"/>
                </w:tcPr>
                <w:p>
                  <w:pPr>
                    <w:widowControl/>
                    <w:spacing w:line="240" w:lineRule="auto"/>
                    <w:jc w:val="left"/>
                  </w:pPr>
                  <w:r>
                    <w:rPr>
                      <w:rFonts w:hint="eastAsia"/>
                    </w:rPr>
                    <w:t>超越沪深300收益</w:t>
                  </w:r>
                </w:p>
              </w:tc>
              <w:tc>
                <w:tcPr>
                  <w:tcW w:w="1179" w:type="dxa"/>
                  <w:tcBorders>
                    <w:top w:val="nil"/>
                    <w:left w:val="nil"/>
                    <w:bottom w:val="single" w:color="auto" w:sz="4" w:space="0"/>
                    <w:right w:val="single" w:color="auto" w:sz="4" w:space="0"/>
                  </w:tcBorders>
                  <w:shd w:val="clear" w:color="auto" w:fill="auto"/>
                  <w:noWrap/>
                  <w:vAlign w:val="bottom"/>
                </w:tcPr>
                <w:p>
                  <w:pPr>
                    <w:widowControl/>
                    <w:spacing w:line="240" w:lineRule="auto"/>
                    <w:jc w:val="right"/>
                  </w:pPr>
                  <w:r>
                    <w:rPr>
                      <w:rFonts w:hint="eastAsia"/>
                    </w:rPr>
                    <w:t>16.82%</w:t>
                  </w:r>
                </w:p>
              </w:tc>
              <w:tc>
                <w:tcPr>
                  <w:tcW w:w="1297" w:type="dxa"/>
                  <w:tcBorders>
                    <w:top w:val="nil"/>
                    <w:left w:val="nil"/>
                    <w:bottom w:val="single" w:color="auto" w:sz="4" w:space="0"/>
                    <w:right w:val="single" w:color="auto" w:sz="4" w:space="0"/>
                  </w:tcBorders>
                  <w:shd w:val="clear" w:color="auto" w:fill="auto"/>
                  <w:noWrap/>
                  <w:vAlign w:val="bottom"/>
                </w:tcPr>
                <w:p>
                  <w:pPr>
                    <w:widowControl/>
                    <w:spacing w:line="240" w:lineRule="auto"/>
                    <w:jc w:val="right"/>
                  </w:pPr>
                  <w:r>
                    <w:rPr>
                      <w:rFonts w:hint="eastAsia"/>
                    </w:rPr>
                    <w:t>8.65%</w:t>
                  </w:r>
                </w:p>
              </w:tc>
              <w:tc>
                <w:tcPr>
                  <w:tcW w:w="1179" w:type="dxa"/>
                  <w:tcBorders>
                    <w:top w:val="nil"/>
                    <w:left w:val="nil"/>
                    <w:bottom w:val="single" w:color="auto" w:sz="4" w:space="0"/>
                    <w:right w:val="single" w:color="auto" w:sz="4" w:space="0"/>
                  </w:tcBorders>
                  <w:shd w:val="clear" w:color="auto" w:fill="auto"/>
                  <w:noWrap/>
                  <w:vAlign w:val="bottom"/>
                </w:tcPr>
                <w:p>
                  <w:pPr>
                    <w:widowControl/>
                    <w:spacing w:line="240" w:lineRule="auto"/>
                    <w:jc w:val="right"/>
                  </w:pPr>
                  <w:r>
                    <w:rPr>
                      <w:rFonts w:hint="eastAsia"/>
                    </w:rPr>
                    <w:t>17.06%</w:t>
                  </w:r>
                </w:p>
              </w:tc>
              <w:tc>
                <w:tcPr>
                  <w:tcW w:w="1181" w:type="dxa"/>
                  <w:tcBorders>
                    <w:top w:val="nil"/>
                    <w:left w:val="nil"/>
                    <w:bottom w:val="single" w:color="auto" w:sz="4" w:space="0"/>
                    <w:right w:val="single" w:color="auto" w:sz="4" w:space="0"/>
                  </w:tcBorders>
                  <w:shd w:val="clear" w:color="auto" w:fill="auto"/>
                  <w:noWrap/>
                  <w:vAlign w:val="bottom"/>
                </w:tcPr>
                <w:p>
                  <w:pPr>
                    <w:widowControl/>
                    <w:spacing w:line="240" w:lineRule="auto"/>
                    <w:jc w:val="right"/>
                  </w:pPr>
                  <w:r>
                    <w:rPr>
                      <w:rFonts w:hint="eastAsia"/>
                    </w:rPr>
                    <w:t>58.00%</w:t>
                  </w:r>
                </w:p>
              </w:tc>
            </w:tr>
            <w:tr>
              <w:tblPrEx>
                <w:tblCellMar>
                  <w:top w:w="0" w:type="dxa"/>
                  <w:left w:w="108" w:type="dxa"/>
                  <w:bottom w:w="0" w:type="dxa"/>
                  <w:right w:w="108" w:type="dxa"/>
                </w:tblCellMar>
              </w:tblPrEx>
              <w:trPr>
                <w:trHeight w:val="353" w:hRule="atLeast"/>
                <w:jc w:val="center"/>
              </w:trPr>
              <w:tc>
                <w:tcPr>
                  <w:tcW w:w="2314" w:type="dxa"/>
                  <w:tcBorders>
                    <w:top w:val="nil"/>
                    <w:left w:val="single" w:color="auto" w:sz="4" w:space="0"/>
                    <w:bottom w:val="single" w:color="auto" w:sz="4" w:space="0"/>
                    <w:right w:val="single" w:color="auto" w:sz="4" w:space="0"/>
                  </w:tcBorders>
                  <w:shd w:val="clear" w:color="auto" w:fill="auto"/>
                  <w:noWrap/>
                  <w:vAlign w:val="bottom"/>
                </w:tcPr>
                <w:p>
                  <w:pPr>
                    <w:widowControl/>
                    <w:spacing w:line="240" w:lineRule="auto"/>
                    <w:jc w:val="left"/>
                  </w:pPr>
                  <w:r>
                    <w:rPr>
                      <w:rFonts w:hint="eastAsia"/>
                    </w:rPr>
                    <w:t>超越恒生指数收益</w:t>
                  </w:r>
                </w:p>
              </w:tc>
              <w:tc>
                <w:tcPr>
                  <w:tcW w:w="1179" w:type="dxa"/>
                  <w:tcBorders>
                    <w:top w:val="nil"/>
                    <w:left w:val="nil"/>
                    <w:bottom w:val="single" w:color="auto" w:sz="4" w:space="0"/>
                    <w:right w:val="single" w:color="auto" w:sz="4" w:space="0"/>
                  </w:tcBorders>
                  <w:shd w:val="clear" w:color="auto" w:fill="auto"/>
                  <w:noWrap/>
                  <w:vAlign w:val="bottom"/>
                </w:tcPr>
                <w:p>
                  <w:pPr>
                    <w:widowControl/>
                    <w:spacing w:line="240" w:lineRule="auto"/>
                    <w:jc w:val="right"/>
                  </w:pPr>
                  <w:r>
                    <w:rPr>
                      <w:rFonts w:hint="eastAsia"/>
                    </w:rPr>
                    <w:t>17.82%</w:t>
                  </w:r>
                </w:p>
              </w:tc>
              <w:tc>
                <w:tcPr>
                  <w:tcW w:w="1297" w:type="dxa"/>
                  <w:tcBorders>
                    <w:top w:val="nil"/>
                    <w:left w:val="nil"/>
                    <w:bottom w:val="single" w:color="auto" w:sz="4" w:space="0"/>
                    <w:right w:val="single" w:color="auto" w:sz="4" w:space="0"/>
                  </w:tcBorders>
                  <w:shd w:val="clear" w:color="auto" w:fill="auto"/>
                  <w:noWrap/>
                  <w:vAlign w:val="bottom"/>
                </w:tcPr>
                <w:p>
                  <w:pPr>
                    <w:widowControl/>
                    <w:spacing w:line="240" w:lineRule="auto"/>
                    <w:jc w:val="right"/>
                  </w:pPr>
                  <w:r>
                    <w:rPr>
                      <w:rFonts w:hint="eastAsia"/>
                    </w:rPr>
                    <w:t>39.26%</w:t>
                  </w:r>
                </w:p>
              </w:tc>
              <w:tc>
                <w:tcPr>
                  <w:tcW w:w="1179" w:type="dxa"/>
                  <w:tcBorders>
                    <w:top w:val="nil"/>
                    <w:left w:val="nil"/>
                    <w:bottom w:val="single" w:color="auto" w:sz="4" w:space="0"/>
                    <w:right w:val="single" w:color="auto" w:sz="4" w:space="0"/>
                  </w:tcBorders>
                  <w:shd w:val="clear" w:color="auto" w:fill="auto"/>
                  <w:noWrap/>
                  <w:vAlign w:val="bottom"/>
                </w:tcPr>
                <w:p>
                  <w:pPr>
                    <w:widowControl/>
                    <w:spacing w:line="240" w:lineRule="auto"/>
                    <w:jc w:val="right"/>
                  </w:pPr>
                  <w:r>
                    <w:rPr>
                      <w:rFonts w:hint="eastAsia"/>
                    </w:rPr>
                    <w:t>22.38%</w:t>
                  </w:r>
                </w:p>
              </w:tc>
              <w:tc>
                <w:tcPr>
                  <w:tcW w:w="1181" w:type="dxa"/>
                  <w:tcBorders>
                    <w:top w:val="nil"/>
                    <w:left w:val="nil"/>
                    <w:bottom w:val="single" w:color="auto" w:sz="4" w:space="0"/>
                    <w:right w:val="single" w:color="auto" w:sz="4" w:space="0"/>
                  </w:tcBorders>
                  <w:shd w:val="clear" w:color="auto" w:fill="auto"/>
                  <w:noWrap/>
                  <w:vAlign w:val="bottom"/>
                </w:tcPr>
                <w:p>
                  <w:pPr>
                    <w:widowControl/>
                    <w:spacing w:line="240" w:lineRule="auto"/>
                    <w:jc w:val="right"/>
                  </w:pPr>
                  <w:r>
                    <w:rPr>
                      <w:rFonts w:hint="eastAsia"/>
                    </w:rPr>
                    <w:t>93.81%</w:t>
                  </w:r>
                </w:p>
              </w:tc>
            </w:tr>
            <w:tr>
              <w:tblPrEx>
                <w:tblCellMar>
                  <w:top w:w="0" w:type="dxa"/>
                  <w:left w:w="108" w:type="dxa"/>
                  <w:bottom w:w="0" w:type="dxa"/>
                  <w:right w:w="108" w:type="dxa"/>
                </w:tblCellMar>
              </w:tblPrEx>
              <w:trPr>
                <w:trHeight w:val="353" w:hRule="atLeast"/>
                <w:jc w:val="center"/>
              </w:trPr>
              <w:tc>
                <w:tcPr>
                  <w:tcW w:w="2314" w:type="dxa"/>
                  <w:tcBorders>
                    <w:top w:val="nil"/>
                    <w:left w:val="single" w:color="auto" w:sz="4" w:space="0"/>
                    <w:bottom w:val="single" w:color="auto" w:sz="4" w:space="0"/>
                    <w:right w:val="single" w:color="auto" w:sz="4" w:space="0"/>
                  </w:tcBorders>
                  <w:shd w:val="clear" w:color="auto" w:fill="auto"/>
                  <w:noWrap/>
                  <w:vAlign w:val="bottom"/>
                </w:tcPr>
                <w:p>
                  <w:pPr>
                    <w:widowControl/>
                    <w:spacing w:line="240" w:lineRule="auto"/>
                    <w:jc w:val="left"/>
                  </w:pPr>
                  <w:r>
                    <w:rPr>
                      <w:rFonts w:hint="eastAsia"/>
                    </w:rPr>
                    <w:t>同类排名</w:t>
                  </w:r>
                </w:p>
              </w:tc>
              <w:tc>
                <w:tcPr>
                  <w:tcW w:w="1179" w:type="dxa"/>
                  <w:tcBorders>
                    <w:top w:val="nil"/>
                    <w:left w:val="nil"/>
                    <w:bottom w:val="single" w:color="auto" w:sz="4" w:space="0"/>
                    <w:right w:val="single" w:color="auto" w:sz="4" w:space="0"/>
                  </w:tcBorders>
                  <w:shd w:val="clear" w:color="auto" w:fill="auto"/>
                  <w:noWrap/>
                  <w:vAlign w:val="bottom"/>
                </w:tcPr>
                <w:p>
                  <w:pPr>
                    <w:widowControl/>
                    <w:spacing w:line="240" w:lineRule="auto"/>
                    <w:jc w:val="left"/>
                  </w:pPr>
                  <w:r>
                    <w:rPr>
                      <w:rFonts w:hint="eastAsia"/>
                    </w:rPr>
                    <w:t>567/2065</w:t>
                  </w:r>
                </w:p>
              </w:tc>
              <w:tc>
                <w:tcPr>
                  <w:tcW w:w="1297" w:type="dxa"/>
                  <w:tcBorders>
                    <w:top w:val="nil"/>
                    <w:left w:val="nil"/>
                    <w:bottom w:val="single" w:color="auto" w:sz="4" w:space="0"/>
                    <w:right w:val="single" w:color="auto" w:sz="4" w:space="0"/>
                  </w:tcBorders>
                  <w:shd w:val="clear" w:color="auto" w:fill="auto"/>
                  <w:noWrap/>
                  <w:vAlign w:val="bottom"/>
                </w:tcPr>
                <w:p>
                  <w:pPr>
                    <w:widowControl/>
                    <w:spacing w:line="240" w:lineRule="auto"/>
                    <w:jc w:val="left"/>
                  </w:pPr>
                  <w:r>
                    <w:rPr>
                      <w:rFonts w:hint="eastAsia"/>
                    </w:rPr>
                    <w:t>1022/1948</w:t>
                  </w:r>
                </w:p>
              </w:tc>
              <w:tc>
                <w:tcPr>
                  <w:tcW w:w="1179" w:type="dxa"/>
                  <w:tcBorders>
                    <w:top w:val="nil"/>
                    <w:left w:val="nil"/>
                    <w:bottom w:val="single" w:color="auto" w:sz="4" w:space="0"/>
                    <w:right w:val="single" w:color="auto" w:sz="4" w:space="0"/>
                  </w:tcBorders>
                  <w:shd w:val="clear" w:color="auto" w:fill="auto"/>
                  <w:noWrap/>
                  <w:vAlign w:val="bottom"/>
                </w:tcPr>
                <w:p>
                  <w:pPr>
                    <w:widowControl/>
                    <w:spacing w:line="240" w:lineRule="auto"/>
                    <w:jc w:val="left"/>
                  </w:pPr>
                  <w:r>
                    <w:rPr>
                      <w:rFonts w:hint="eastAsia"/>
                    </w:rPr>
                    <w:t>192/1897</w:t>
                  </w:r>
                </w:p>
              </w:tc>
              <w:tc>
                <w:tcPr>
                  <w:tcW w:w="1181" w:type="dxa"/>
                  <w:tcBorders>
                    <w:top w:val="nil"/>
                    <w:left w:val="nil"/>
                    <w:bottom w:val="single" w:color="auto" w:sz="4" w:space="0"/>
                    <w:right w:val="single" w:color="auto" w:sz="4" w:space="0"/>
                  </w:tcBorders>
                  <w:shd w:val="clear" w:color="auto" w:fill="auto"/>
                  <w:noWrap/>
                  <w:vAlign w:val="bottom"/>
                </w:tcPr>
                <w:p>
                  <w:pPr>
                    <w:widowControl/>
                    <w:spacing w:line="240" w:lineRule="auto"/>
                    <w:jc w:val="left"/>
                  </w:pPr>
                  <w:r>
                    <w:rPr>
                      <w:rFonts w:hint="eastAsia"/>
                    </w:rPr>
                    <w:t>652/1901</w:t>
                  </w:r>
                </w:p>
              </w:tc>
            </w:tr>
          </w:tbl>
          <w:p>
            <w:pPr>
              <w:pStyle w:val="2"/>
              <w:ind w:left="0" w:leftChars="0"/>
            </w:pPr>
          </w:p>
          <w:p>
            <w:pPr>
              <w:pStyle w:val="2"/>
              <w:widowControl/>
              <w:spacing w:line="240" w:lineRule="auto"/>
              <w:ind w:left="0" w:leftChars="0"/>
              <w:jc w:val="left"/>
            </w:pPr>
            <w:r>
              <w:rPr>
                <w:rFonts w:hint="eastAsia"/>
              </w:rPr>
              <w:t>3、投资目标及投资策略</w:t>
            </w:r>
          </w:p>
          <w:p>
            <w:pPr>
              <w:pStyle w:val="2"/>
              <w:widowControl/>
              <w:spacing w:line="240" w:lineRule="auto"/>
              <w:ind w:left="0" w:leftChars="0" w:firstLine="420" w:firstLineChars="200"/>
              <w:jc w:val="left"/>
            </w:pPr>
            <w:r>
              <w:rPr>
                <w:rFonts w:hint="eastAsia"/>
              </w:rPr>
              <w:t>投资目标：赚取长期稳定的回报。</w:t>
            </w:r>
          </w:p>
          <w:p>
            <w:pPr>
              <w:pStyle w:val="2"/>
              <w:widowControl/>
              <w:spacing w:line="240" w:lineRule="auto"/>
              <w:ind w:left="0" w:leftChars="0" w:firstLine="420" w:firstLineChars="200"/>
              <w:jc w:val="left"/>
            </w:pPr>
            <w:r>
              <w:rPr>
                <w:rFonts w:hint="eastAsia"/>
              </w:rPr>
              <w:t>配置思路：以“自下而上”为核心，推选出有长期投资价值的“好公司”，进入好公司股票池。并结合“自上而下”分析判断行业的小周期，等待市场给予“好价格”时入场，以长期持有分享公司创造的价值，其中充分考虑持仓风险，以赚取长期稳定的回报。</w:t>
            </w:r>
          </w:p>
          <w:p>
            <w:pPr>
              <w:pStyle w:val="2"/>
              <w:widowControl/>
              <w:spacing w:line="240" w:lineRule="auto"/>
              <w:ind w:left="0" w:leftChars="0" w:firstLine="420" w:firstLineChars="200"/>
              <w:jc w:val="left"/>
            </w:pPr>
            <w:r>
              <w:t>“</w:t>
            </w:r>
            <w:r>
              <w:rPr>
                <w:rFonts w:hint="eastAsia"/>
              </w:rPr>
              <w:t>好公司“：选股必要条件</w:t>
            </w:r>
          </w:p>
          <w:p>
            <w:r>
              <w:rPr>
                <w:rFonts w:hint="eastAsia"/>
              </w:rPr>
              <w:t>对于“好公司”，主要考虑以下几点：</w:t>
            </w:r>
          </w:p>
          <w:p>
            <w:r>
              <w:rPr>
                <w:rFonts w:hint="eastAsia"/>
              </w:rPr>
              <w:t>1）选择杰出（诚实，勤奋，有出色能力）的管理层，延伸到积极上进和公平分享的企业文化。此项对投资标的有一票否决权，选择回避管理层有硬伤的公司，不介意放弃这部分收益；</w:t>
            </w:r>
          </w:p>
          <w:p>
            <w:r>
              <w:rPr>
                <w:rFonts w:hint="eastAsia"/>
              </w:rPr>
              <w:t>2）公司具有简单易懂的生意模式，有持续获利的能力，稳定的现金流。他认为一个公司能获取高的ROIC（总投入资本回报率）,并且远高于WACC（加权平均资本成本），这样长期而言才是价值创造的。更好的公司还能继续把收入的现金流再次投资用于拓展业务，延展产品线，并且再投资回报率也很好（年化大于15%）。最好的公司能够自带“复利”；</w:t>
            </w:r>
          </w:p>
          <w:p>
            <w:r>
              <w:rPr>
                <w:rFonts w:hint="eastAsia"/>
              </w:rPr>
              <w:t>3）考虑公司的“护城河”，即公司的核心竞争力具备与众不同的特征，面对可能的竞争还能立于不败之地。关于“护城河”的一点思考：一个公司的ROIC假如很高，证明业务很赚钱，那么竞争对手就会涌入去抢这个业务，ROIC应该会逐渐下降，但是假如公司的ROIC持续很高很多年，那这个公司应该有特殊之处，把这个特殊研究清楚了，这个就是公司的“护城河”。</w:t>
            </w:r>
          </w:p>
          <w:p>
            <w:r>
              <w:rPr>
                <w:rFonts w:hint="eastAsia"/>
              </w:rPr>
              <w:t>行业小周期的考量</w:t>
            </w:r>
          </w:p>
          <w:p>
            <w:r>
              <w:rPr>
                <w:rFonts w:hint="eastAsia"/>
              </w:rPr>
              <w:t>对于行业小周期，主要考虑以下几点：</w:t>
            </w:r>
          </w:p>
          <w:p>
            <w:r>
              <w:rPr>
                <w:rFonts w:hint="eastAsia"/>
              </w:rPr>
              <w:t>1）首先要深入理解该行业的商业逻辑本质，行业内公司如何把利润赚取，与上下游行业关系，竞争格局，重点找出影响行业关键的几个变量，给予跟踪；</w:t>
            </w:r>
          </w:p>
          <w:p>
            <w:r>
              <w:rPr>
                <w:rFonts w:hint="eastAsia"/>
              </w:rPr>
              <w:t>2）周期性行业以自上而下分析为主，重点关注供需关系中长期的变化，例如“供给侧改革”极大的改善竞争格局，为中长期的逻辑，对于供求关系能持续改善的细分行业给予重点关注；</w:t>
            </w:r>
          </w:p>
          <w:p>
            <w:r>
              <w:rPr>
                <w:rFonts w:hint="eastAsia"/>
              </w:rPr>
              <w:t>3）非周期性行业以自下而上的分析为主，找出各行业进步的关键。例如，科技类行业核心在于科技的进步，进步在放缓的时候，公司的盈利增速会下降明显，估值也会同样杀低。研究还重点关注行业空间和竞争，即价值投资中的选择“长长的雪道”；考虑整体行业产值，即“雪道”上的雪的厚度；</w:t>
            </w:r>
          </w:p>
          <w:p>
            <w:pPr>
              <w:ind w:firstLine="420" w:firstLineChars="200"/>
            </w:pPr>
            <w:r>
              <w:t>“</w:t>
            </w:r>
            <w:r>
              <w:rPr>
                <w:rFonts w:hint="eastAsia"/>
              </w:rPr>
              <w:t>好价格”：追求安全边际，珍惜流动性危“机”</w:t>
            </w:r>
          </w:p>
          <w:p>
            <w:r>
              <w:rPr>
                <w:rFonts w:hint="eastAsia"/>
              </w:rPr>
              <w:t>用较低的价格买入卓越的公司，这是获取长期稳定盈利的关键。对于市场给予的“好价格”，有以下几点认识：</w:t>
            </w:r>
          </w:p>
          <w:p>
            <w:r>
              <w:rPr>
                <w:rFonts w:hint="eastAsia"/>
              </w:rPr>
              <w:t>1）注重安全边际。价格远低于内涵价值时买入，在股票远低于清算价格或置换价格时买入，留出容错率；</w:t>
            </w:r>
          </w:p>
          <w:p>
            <w:r>
              <w:rPr>
                <w:rFonts w:hint="eastAsia"/>
              </w:rPr>
              <w:t>2）当行业或公司遇到短期困难时，而这些困难可以随着时间推移慢慢化解，未来行业和公司还有很大的盈利空间；</w:t>
            </w:r>
          </w:p>
          <w:p>
            <w:r>
              <w:rPr>
                <w:rFonts w:hint="eastAsia"/>
              </w:rPr>
              <w:t>3）逆向思维：判断基本面变化与市场认知的差异，在股价没完全反应公司价值的时候买入。</w:t>
            </w:r>
          </w:p>
          <w:p>
            <w:r>
              <w:rPr>
                <w:rFonts w:hint="eastAsia"/>
              </w:rPr>
              <w:t xml:space="preserve">我们还会充分考虑投资风险，我们认为成功的投资业绩除了来源于选中长期价值标的以外，也来自于回避各式价值毁灭的风险。尤其港股整体流动性不如A股，投资中需要更加注重风险防范： </w:t>
            </w:r>
          </w:p>
          <w:p>
            <w:r>
              <w:rPr>
                <w:rFonts w:hint="eastAsia"/>
              </w:rPr>
              <w:t>1)</w:t>
            </w:r>
            <w:r>
              <w:rPr>
                <w:rFonts w:hint="eastAsia"/>
              </w:rPr>
              <w:tab/>
            </w:r>
            <w:r>
              <w:rPr>
                <w:rFonts w:hint="eastAsia"/>
              </w:rPr>
              <w:t>充分考虑商业活动可能受影响的一切可能，行业供需变化，管理层变化，核心技术突变等等；</w:t>
            </w:r>
          </w:p>
          <w:p>
            <w:r>
              <w:rPr>
                <w:rFonts w:hint="eastAsia"/>
              </w:rPr>
              <w:t>2)</w:t>
            </w:r>
            <w:r>
              <w:rPr>
                <w:rFonts w:hint="eastAsia"/>
              </w:rPr>
              <w:tab/>
            </w:r>
            <w:r>
              <w:rPr>
                <w:rFonts w:hint="eastAsia"/>
              </w:rPr>
              <w:t>对估值严格把握：再好的标的也要在有足够安全边际的时候进入，没有机会的时候我们选择等待，要能耐住寂寞；</w:t>
            </w:r>
          </w:p>
          <w:p>
            <w:r>
              <w:rPr>
                <w:rFonts w:hint="eastAsia"/>
              </w:rPr>
              <w:t>3)</w:t>
            </w:r>
            <w:r>
              <w:rPr>
                <w:rFonts w:hint="eastAsia"/>
              </w:rPr>
              <w:tab/>
            </w:r>
            <w:r>
              <w:rPr>
                <w:rFonts w:hint="eastAsia"/>
              </w:rPr>
              <w:t>躲开地雷：香港股市内有不少鱼龙混杂的公司，表面看起来很美，实际考验投研能力。躲开地雷才能让其余标的的投资成果得以保存；</w:t>
            </w:r>
          </w:p>
          <w:p>
            <w:r>
              <w:rPr>
                <w:rFonts w:hint="eastAsia"/>
              </w:rPr>
              <w:t>总而言之，我们希望可以在A股和港股的权益市场中找到这样的好公司构建组合。选好“长长的雪道”，确认上面的“雪足够厚”，找好最稳的“滚雪球”的企业家，赚取长期复利。</w:t>
            </w:r>
          </w:p>
          <w:p>
            <w:pPr>
              <w:ind w:firstLine="420" w:firstLineChars="200"/>
              <w:rPr>
                <w:rFonts w:hint="eastAsia"/>
              </w:rPr>
            </w:pPr>
            <w:r>
              <w:rPr>
                <w:rFonts w:hint="eastAsia"/>
              </w:rPr>
              <w:t>当前市场观点及持仓情况：罗佳明先生认为，港股是国内资金海外资产配置大方向，长期对中国经济有信心（”Long Hong Kong is Long China”）。市场的波动也是买入并持有优质股权获取长期回报的机会；简而言之，我们在港股市场聚焦A股市场稀缺“新经济”标的和优秀的“老经济”标的（在港股有更低的估值）。目前组合持仓偏好大盘蓝筹：持仓市值较高，关注更具备核心竞争力的龙头或细分龙头公司；盈利质量高：追求确定性高的成长，看重持续的获利能力，ROE在25%以上；行业分散、持股集中、换手率较低：只选择最优秀的公司长期持有，换手率远低于同业。</w:t>
            </w:r>
          </w:p>
          <w:p>
            <w:pPr>
              <w:pStyle w:val="2"/>
              <w:numPr>
                <w:ilvl w:val="0"/>
                <w:numId w:val="1"/>
              </w:numPr>
              <w:ind w:left="0" w:leftChars="0"/>
            </w:pPr>
            <w:r>
              <w:rPr>
                <w:rFonts w:hint="eastAsia"/>
              </w:rPr>
              <w:t>风险分析：投资策略带来基金的波动性及回撤风险较大；在风格切换的市场环境下需跟踪产品表现，关注投资经理操作思路。</w:t>
            </w:r>
          </w:p>
          <w:p>
            <w:pPr>
              <w:pStyle w:val="2"/>
              <w:numPr>
                <w:ilvl w:val="0"/>
                <w:numId w:val="1"/>
              </w:numPr>
              <w:ind w:left="0" w:leftChars="0" w:firstLine="0" w:firstLineChars="0"/>
            </w:pPr>
            <w:r>
              <w:rPr>
                <w:rFonts w:hint="eastAsia"/>
              </w:rPr>
              <w:t>申请理由：</w:t>
            </w:r>
            <w:r>
              <w:t xml:space="preserve"> </w:t>
            </w:r>
          </w:p>
          <w:p>
            <w:pPr>
              <w:numPr>
                <w:numId w:val="0"/>
              </w:numPr>
              <w:ind w:leftChars="0"/>
              <w:rPr>
                <w:rFonts w:hint="default" w:eastAsia="宋体"/>
                <w:lang w:val="en-US" w:eastAsia="zh-CN"/>
              </w:rPr>
            </w:pPr>
            <w:r>
              <w:rPr>
                <w:rFonts w:hint="eastAsia"/>
                <w:lang w:val="en-US" w:eastAsia="zh-CN"/>
              </w:rPr>
              <w:t>该基金经理拥有较长的香港本地工作经验，对香港市场了解深入，投资风格偏价值，超额业绩突出，拟申请入池作为港股配置标的。</w:t>
            </w:r>
          </w:p>
        </w:tc>
      </w:tr>
    </w:tbl>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0765DBD"/>
    <w:multiLevelType w:val="singleLevel"/>
    <w:tmpl w:val="D0765DBD"/>
    <w:lvl w:ilvl="0" w:tentative="0">
      <w:start w:val="4"/>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AF82591"/>
    <w:rsid w:val="001474B9"/>
    <w:rsid w:val="001A43F7"/>
    <w:rsid w:val="001C2A26"/>
    <w:rsid w:val="0020410F"/>
    <w:rsid w:val="002247B4"/>
    <w:rsid w:val="002348E8"/>
    <w:rsid w:val="00296CC2"/>
    <w:rsid w:val="002A39D3"/>
    <w:rsid w:val="002D73B4"/>
    <w:rsid w:val="00333906"/>
    <w:rsid w:val="0038302E"/>
    <w:rsid w:val="00387DD9"/>
    <w:rsid w:val="003E4F7D"/>
    <w:rsid w:val="003F5295"/>
    <w:rsid w:val="00417039"/>
    <w:rsid w:val="004816A9"/>
    <w:rsid w:val="00483594"/>
    <w:rsid w:val="004A0DBD"/>
    <w:rsid w:val="004A0FCB"/>
    <w:rsid w:val="004A46A1"/>
    <w:rsid w:val="004B0A95"/>
    <w:rsid w:val="004B1A4C"/>
    <w:rsid w:val="004B5148"/>
    <w:rsid w:val="004B6AD7"/>
    <w:rsid w:val="004C06BA"/>
    <w:rsid w:val="004D7E6A"/>
    <w:rsid w:val="00510388"/>
    <w:rsid w:val="00523D27"/>
    <w:rsid w:val="005461C5"/>
    <w:rsid w:val="00583BE8"/>
    <w:rsid w:val="005A7108"/>
    <w:rsid w:val="005C1468"/>
    <w:rsid w:val="006050B0"/>
    <w:rsid w:val="00625AE2"/>
    <w:rsid w:val="006B4BF9"/>
    <w:rsid w:val="006F4B8E"/>
    <w:rsid w:val="007C0FAE"/>
    <w:rsid w:val="00807F60"/>
    <w:rsid w:val="00905D3A"/>
    <w:rsid w:val="00927737"/>
    <w:rsid w:val="00960CA7"/>
    <w:rsid w:val="00960E70"/>
    <w:rsid w:val="00965DB4"/>
    <w:rsid w:val="00987708"/>
    <w:rsid w:val="00A43D71"/>
    <w:rsid w:val="00A467D3"/>
    <w:rsid w:val="00A94902"/>
    <w:rsid w:val="00AF1B64"/>
    <w:rsid w:val="00B37699"/>
    <w:rsid w:val="00B461F6"/>
    <w:rsid w:val="00B92588"/>
    <w:rsid w:val="00BB7F80"/>
    <w:rsid w:val="00BF53E4"/>
    <w:rsid w:val="00C223FE"/>
    <w:rsid w:val="00C37C6F"/>
    <w:rsid w:val="00CE636A"/>
    <w:rsid w:val="00D054FE"/>
    <w:rsid w:val="00D47B2C"/>
    <w:rsid w:val="00D53ECE"/>
    <w:rsid w:val="00D94284"/>
    <w:rsid w:val="00E43851"/>
    <w:rsid w:val="00E6479D"/>
    <w:rsid w:val="00E91094"/>
    <w:rsid w:val="00F56E52"/>
    <w:rsid w:val="00FC3E78"/>
    <w:rsid w:val="00FD02AD"/>
    <w:rsid w:val="00FE02CA"/>
    <w:rsid w:val="067176BA"/>
    <w:rsid w:val="0C4F52F3"/>
    <w:rsid w:val="11A4311E"/>
    <w:rsid w:val="29840955"/>
    <w:rsid w:val="29B2760B"/>
    <w:rsid w:val="2AF82591"/>
    <w:rsid w:val="32BD592E"/>
    <w:rsid w:val="3C3537C5"/>
    <w:rsid w:val="45331F53"/>
    <w:rsid w:val="733F01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qFormat="1" w:uiPriority="99"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spacing w:line="20" w:lineRule="atLeast"/>
      <w:jc w:val="both"/>
    </w:pPr>
    <w:rPr>
      <w:rFonts w:ascii="Calibri" w:hAnsi="Calibri" w:eastAsia="宋体" w:cs="Times New Roman"/>
      <w:kern w:val="2"/>
      <w:sz w:val="21"/>
      <w:szCs w:val="22"/>
      <w:lang w:val="en-US" w:eastAsia="zh-CN" w:bidi="ar-SA"/>
    </w:rPr>
  </w:style>
  <w:style w:type="character" w:default="1" w:styleId="6">
    <w:name w:val="Default Paragraph Font"/>
    <w:semiHidden/>
    <w:unhideWhenUsed/>
    <w:qFormat/>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table of authorities"/>
    <w:basedOn w:val="1"/>
    <w:next w:val="1"/>
    <w:unhideWhenUsed/>
    <w:qFormat/>
    <w:uiPriority w:val="99"/>
    <w:pPr>
      <w:ind w:left="420" w:leftChars="200"/>
    </w:pPr>
  </w:style>
  <w:style w:type="paragraph" w:styleId="3">
    <w:name w:val="footer"/>
    <w:basedOn w:val="1"/>
    <w:link w:val="9"/>
    <w:qFormat/>
    <w:uiPriority w:val="0"/>
    <w:pPr>
      <w:tabs>
        <w:tab w:val="center" w:pos="4153"/>
        <w:tab w:val="right" w:pos="8306"/>
      </w:tabs>
      <w:snapToGrid w:val="0"/>
      <w:spacing w:line="240" w:lineRule="atLeast"/>
      <w:jc w:val="left"/>
    </w:pPr>
    <w:rPr>
      <w:sz w:val="18"/>
      <w:szCs w:val="18"/>
    </w:rPr>
  </w:style>
  <w:style w:type="paragraph" w:styleId="4">
    <w:name w:val="header"/>
    <w:basedOn w:val="1"/>
    <w:link w:val="8"/>
    <w:qFormat/>
    <w:uiPriority w:val="0"/>
    <w:pPr>
      <w:pBdr>
        <w:bottom w:val="single" w:color="auto" w:sz="6" w:space="1"/>
      </w:pBdr>
      <w:tabs>
        <w:tab w:val="center" w:pos="4153"/>
        <w:tab w:val="right" w:pos="8306"/>
      </w:tabs>
      <w:snapToGrid w:val="0"/>
      <w:spacing w:line="240" w:lineRule="atLeast"/>
      <w:jc w:val="center"/>
    </w:pPr>
    <w:rPr>
      <w:sz w:val="18"/>
      <w:szCs w:val="18"/>
    </w:rPr>
  </w:style>
  <w:style w:type="paragraph" w:styleId="7">
    <w:name w:val="List Paragraph"/>
    <w:basedOn w:val="1"/>
    <w:qFormat/>
    <w:uiPriority w:val="34"/>
    <w:pPr>
      <w:spacing w:line="240" w:lineRule="auto"/>
      <w:ind w:firstLine="420" w:firstLineChars="200"/>
    </w:pPr>
    <w:rPr>
      <w:rFonts w:asciiTheme="minorHAnsi" w:hAnsiTheme="minorHAnsi" w:eastAsiaTheme="minorEastAsia" w:cstheme="minorBidi"/>
    </w:rPr>
  </w:style>
  <w:style w:type="character" w:customStyle="1" w:styleId="8">
    <w:name w:val="页眉 字符"/>
    <w:basedOn w:val="6"/>
    <w:link w:val="4"/>
    <w:qFormat/>
    <w:uiPriority w:val="0"/>
    <w:rPr>
      <w:rFonts w:ascii="Calibri" w:hAnsi="Calibri" w:eastAsia="宋体" w:cs="Times New Roman"/>
      <w:kern w:val="2"/>
      <w:sz w:val="18"/>
      <w:szCs w:val="18"/>
    </w:rPr>
  </w:style>
  <w:style w:type="character" w:customStyle="1" w:styleId="9">
    <w:name w:val="页脚 字符"/>
    <w:basedOn w:val="6"/>
    <w:link w:val="3"/>
    <w:qFormat/>
    <w:uiPriority w:val="0"/>
    <w:rPr>
      <w:rFonts w:ascii="Calibri" w:hAnsi="Calibri" w:eastAsia="宋体" w:cs="Times New Roman"/>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694</Words>
  <Characters>3962</Characters>
  <Lines>33</Lines>
  <Paragraphs>9</Paragraphs>
  <TotalTime>40</TotalTime>
  <ScaleCrop>false</ScaleCrop>
  <LinksUpToDate>false</LinksUpToDate>
  <CharactersWithSpaces>4647</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2021-11-10T02:25:00Z</dcterms:created>
  <dc:creator>admin</dc:creator>
  <cp:lastModifiedBy>霓霓</cp:lastModifiedBy>
  <dcterms:modified xsi:type="dcterms:W3CDTF">2021-11-11T03:35:43Z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4DC15FEBF39F4147A21ED9239CD17D9A</vt:lpwstr>
  </property>
</Properties>
</file>