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ind w:left="3" w:leftChars="-295" w:right="964" w:hanging="622" w:hangingChars="258"/>
        <w:jc w:val="left"/>
        <w:rPr>
          <w:rFonts w:ascii="仿宋_GB2312" w:eastAsia="仿宋_GB2312"/>
          <w:b/>
          <w:sz w:val="24"/>
        </w:rPr>
      </w:pPr>
    </w:p>
    <w:p>
      <w:pPr>
        <w:spacing w:line="276" w:lineRule="auto"/>
        <w:ind w:left="3" w:leftChars="-295" w:right="964" w:hanging="622" w:hangingChars="258"/>
        <w:jc w:val="left"/>
        <w:rPr>
          <w:rFonts w:ascii="仿宋_GB2312" w:eastAsia="仿宋_GB2312"/>
          <w:b/>
          <w:sz w:val="24"/>
        </w:rPr>
      </w:pPr>
      <w:r>
        <w:rPr>
          <w:rFonts w:hint="eastAsia" w:ascii="仿宋_GB2312" w:eastAsia="仿宋_GB2312"/>
          <w:b/>
          <w:sz w:val="24"/>
        </w:rPr>
        <w:t>申请日期：2021年11月</w:t>
      </w:r>
      <w:r>
        <w:rPr>
          <w:rFonts w:hint="eastAsia" w:ascii="仿宋_GB2312" w:eastAsia="仿宋_GB2312"/>
          <w:b/>
          <w:sz w:val="24"/>
          <w:lang w:val="en-US" w:eastAsia="zh-CN"/>
        </w:rPr>
        <w:t>11</w:t>
      </w:r>
      <w:r>
        <w:rPr>
          <w:rFonts w:hint="eastAsia" w:ascii="仿宋_GB2312" w:eastAsia="仿宋_GB2312"/>
          <w:b/>
          <w:sz w:val="24"/>
        </w:rPr>
        <w:t xml:space="preserve">日 </w:t>
      </w:r>
    </w:p>
    <w:tbl>
      <w:tblPr>
        <w:tblStyle w:val="5"/>
        <w:tblW w:w="107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51"/>
        <w:gridCol w:w="2909"/>
        <w:gridCol w:w="2148"/>
        <w:gridCol w:w="32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70" w:hRule="atLeast"/>
          <w:jc w:val="center"/>
        </w:trPr>
        <w:tc>
          <w:tcPr>
            <w:tcW w:w="10720" w:type="dxa"/>
            <w:gridSpan w:val="4"/>
            <w:shd w:val="clear" w:color="auto" w:fill="F2F2F2"/>
            <w:vAlign w:val="center"/>
          </w:tcPr>
          <w:p>
            <w:pPr>
              <w:spacing w:line="276" w:lineRule="auto"/>
              <w:jc w:val="center"/>
              <w:rPr>
                <w:rFonts w:ascii="仿宋_GB2312" w:hAnsi="仿宋_GB2312" w:eastAsia="仿宋_GB2312" w:cs="仿宋_GB2312"/>
                <w:sz w:val="24"/>
              </w:rPr>
            </w:pPr>
            <w:r>
              <w:rPr>
                <w:rFonts w:hint="eastAsia" w:ascii="仿宋_GB2312" w:hAnsi="仿宋_GB2312" w:eastAsia="仿宋_GB2312" w:cs="仿宋_GB2312"/>
                <w:b/>
                <w:bCs/>
                <w:sz w:val="30"/>
                <w:szCs w:val="30"/>
              </w:rPr>
              <w:t>投资申请信息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jc w:val="center"/>
        </w:trPr>
        <w:tc>
          <w:tcPr>
            <w:tcW w:w="2451" w:type="dxa"/>
            <w:vAlign w:val="center"/>
          </w:tcPr>
          <w:p>
            <w:pPr>
              <w:spacing w:line="276" w:lineRule="auto"/>
              <w:rPr>
                <w:rFonts w:ascii="仿宋_GB2312" w:hAnsi="仿宋_GB2312" w:eastAsia="仿宋_GB2312" w:cs="仿宋_GB2312"/>
                <w:b/>
                <w:sz w:val="24"/>
              </w:rPr>
            </w:pPr>
            <w:r>
              <w:rPr>
                <w:rFonts w:hint="eastAsia" w:ascii="仿宋_GB2312" w:hAnsi="仿宋_GB2312" w:eastAsia="仿宋_GB2312" w:cs="仿宋_GB2312"/>
                <w:b/>
                <w:sz w:val="24"/>
              </w:rPr>
              <w:t>发起部门</w:t>
            </w:r>
          </w:p>
        </w:tc>
        <w:tc>
          <w:tcPr>
            <w:tcW w:w="2909" w:type="dxa"/>
            <w:vAlign w:val="center"/>
          </w:tcPr>
          <w:p>
            <w:pPr>
              <w:spacing w:line="288" w:lineRule="auto"/>
              <w:rPr>
                <w:rFonts w:ascii="仿宋_GB2312" w:hAnsi="仿宋_GB2312" w:eastAsia="仿宋_GB2312" w:cs="仿宋_GB2312"/>
              </w:rPr>
            </w:pPr>
            <w:r>
              <w:rPr>
                <w:rFonts w:hint="eastAsia" w:ascii="仿宋_GB2312" w:hAnsi="仿宋_GB2312" w:eastAsia="仿宋_GB2312" w:cs="仿宋_GB2312"/>
                <w:sz w:val="24"/>
              </w:rPr>
              <w:t>股票投资部</w:t>
            </w:r>
          </w:p>
        </w:tc>
        <w:tc>
          <w:tcPr>
            <w:tcW w:w="2148" w:type="dxa"/>
            <w:vAlign w:val="center"/>
          </w:tcPr>
          <w:p>
            <w:pPr>
              <w:spacing w:line="288" w:lineRule="auto"/>
              <w:rPr>
                <w:rFonts w:ascii="仿宋_GB2312" w:hAnsi="仿宋_GB2312" w:eastAsia="仿宋_GB2312" w:cs="仿宋_GB2312"/>
                <w:sz w:val="24"/>
              </w:rPr>
            </w:pPr>
            <w:r>
              <w:rPr>
                <w:rFonts w:hint="eastAsia" w:ascii="仿宋_GB2312" w:hAnsi="仿宋_GB2312" w:eastAsia="仿宋_GB2312" w:cs="仿宋_GB2312"/>
                <w:b/>
                <w:sz w:val="24"/>
              </w:rPr>
              <w:t>发起人</w:t>
            </w:r>
          </w:p>
        </w:tc>
        <w:tc>
          <w:tcPr>
            <w:tcW w:w="3212" w:type="dxa"/>
            <w:vAlign w:val="center"/>
          </w:tcPr>
          <w:p>
            <w:pPr>
              <w:spacing w:line="288" w:lineRule="auto"/>
              <w:rPr>
                <w:rFonts w:ascii="仿宋_GB2312" w:hAnsi="仿宋_GB2312" w:eastAsia="仿宋_GB2312" w:cs="仿宋_GB2312"/>
                <w:sz w:val="24"/>
              </w:rPr>
            </w:pPr>
            <w:r>
              <w:rPr>
                <w:rFonts w:hint="eastAsia" w:ascii="仿宋_GB2312" w:hAnsi="仿宋_GB2312" w:eastAsia="仿宋_GB2312" w:cs="仿宋_GB2312"/>
                <w:sz w:val="24"/>
              </w:rPr>
              <w:t>倪晨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jc w:val="center"/>
        </w:trPr>
        <w:tc>
          <w:tcPr>
            <w:tcW w:w="2451" w:type="dxa"/>
            <w:vAlign w:val="center"/>
          </w:tcPr>
          <w:p>
            <w:pPr>
              <w:spacing w:line="276" w:lineRule="auto"/>
              <w:rPr>
                <w:rFonts w:ascii="仿宋_GB2312" w:hAnsi="仿宋_GB2312" w:eastAsia="仿宋_GB2312" w:cs="仿宋_GB2312"/>
                <w:b/>
                <w:sz w:val="24"/>
              </w:rPr>
            </w:pPr>
            <w:r>
              <w:rPr>
                <w:rFonts w:hint="eastAsia" w:ascii="仿宋_GB2312" w:hAnsi="仿宋_GB2312" w:eastAsia="仿宋_GB2312" w:cs="仿宋_GB2312"/>
                <w:b/>
                <w:sz w:val="24"/>
              </w:rPr>
              <w:t>标的名称</w:t>
            </w:r>
          </w:p>
        </w:tc>
        <w:tc>
          <w:tcPr>
            <w:tcW w:w="2909" w:type="dxa"/>
            <w:vAlign w:val="center"/>
          </w:tcPr>
          <w:p>
            <w:pPr>
              <w:spacing w:line="288" w:lineRule="auto"/>
              <w:rPr>
                <w:rFonts w:ascii="仿宋_GB2312" w:hAnsi="仿宋_GB2312" w:eastAsia="仿宋_GB2312" w:cs="仿宋_GB2312"/>
                <w:sz w:val="24"/>
              </w:rPr>
            </w:pPr>
            <w:r>
              <w:rPr>
                <w:rFonts w:hint="eastAsia" w:ascii="仿宋" w:hAnsi="仿宋" w:eastAsia="仿宋" w:cs="仿宋"/>
                <w:sz w:val="24"/>
                <w:szCs w:val="24"/>
              </w:rPr>
              <w:t>华安智能生活混合</w:t>
            </w:r>
            <w:r>
              <w:rPr>
                <w:rFonts w:hint="eastAsia" w:ascii="仿宋_GB2312" w:hAnsi="仿宋_GB2312" w:eastAsia="仿宋_GB2312" w:cs="仿宋_GB2312"/>
                <w:sz w:val="24"/>
              </w:rPr>
              <w:t>A（</w:t>
            </w:r>
            <w:r>
              <w:rPr>
                <w:rFonts w:ascii="仿宋_GB2312" w:hAnsi="仿宋_GB2312" w:eastAsia="仿宋_GB2312" w:cs="仿宋_GB2312"/>
                <w:sz w:val="24"/>
              </w:rPr>
              <w:t>006879</w:t>
            </w:r>
            <w:r>
              <w:rPr>
                <w:rFonts w:hint="eastAsia" w:ascii="仿宋_GB2312" w:hAnsi="仿宋_GB2312" w:eastAsia="仿宋_GB2312" w:cs="仿宋_GB2312"/>
                <w:sz w:val="24"/>
              </w:rPr>
              <w:t>）/</w:t>
            </w:r>
            <w:r>
              <w:rPr>
                <w:rFonts w:ascii="仿宋_GB2312" w:hAnsi="仿宋_GB2312" w:eastAsia="仿宋_GB2312" w:cs="仿宋_GB2312"/>
                <w:sz w:val="24"/>
              </w:rPr>
              <w:t>C(013621)</w:t>
            </w:r>
          </w:p>
        </w:tc>
        <w:tc>
          <w:tcPr>
            <w:tcW w:w="2148" w:type="dxa"/>
            <w:vAlign w:val="center"/>
          </w:tcPr>
          <w:p>
            <w:pPr>
              <w:spacing w:line="288" w:lineRule="auto"/>
              <w:rPr>
                <w:rFonts w:ascii="仿宋_GB2312" w:hAnsi="仿宋_GB2312" w:eastAsia="仿宋_GB2312" w:cs="仿宋_GB2312"/>
                <w:sz w:val="24"/>
              </w:rPr>
            </w:pPr>
            <w:r>
              <w:rPr>
                <w:rFonts w:hint="eastAsia" w:ascii="仿宋_GB2312" w:hAnsi="仿宋_GB2312" w:eastAsia="仿宋_GB2312" w:cs="仿宋_GB2312"/>
                <w:b/>
                <w:sz w:val="24"/>
              </w:rPr>
              <w:t>投资币种及金额</w:t>
            </w:r>
          </w:p>
        </w:tc>
        <w:tc>
          <w:tcPr>
            <w:tcW w:w="3212" w:type="dxa"/>
            <w:vAlign w:val="center"/>
          </w:tcPr>
          <w:p>
            <w:pPr>
              <w:spacing w:line="288" w:lineRule="auto"/>
              <w:rPr>
                <w:rFonts w:ascii="仿宋_GB2312" w:hAnsi="仿宋_GB2312" w:eastAsia="仿宋_GB2312" w:cs="仿宋_GB2312"/>
                <w:sz w:val="24"/>
              </w:rPr>
            </w:pPr>
            <w:r>
              <w:rPr>
                <w:rFonts w:hint="eastAsia" w:ascii="仿宋_GB2312" w:hAnsi="仿宋_GB2312" w:eastAsia="仿宋_GB2312" w:cs="仿宋_GB2312"/>
                <w:sz w:val="24"/>
              </w:rPr>
              <w:t>不超过</w:t>
            </w:r>
            <w:r>
              <w:rPr>
                <w:rFonts w:hint="eastAsia" w:ascii="仿宋_GB2312" w:hAnsi="仿宋_GB2312" w:eastAsia="仿宋_GB2312" w:cs="仿宋_GB2312"/>
                <w:sz w:val="24"/>
                <w:lang w:val="en-US" w:eastAsia="zh-CN"/>
              </w:rPr>
              <w:t>2</w:t>
            </w:r>
            <w:r>
              <w:rPr>
                <w:rFonts w:hint="eastAsia" w:ascii="仿宋_GB2312" w:hAnsi="仿宋_GB2312" w:eastAsia="仿宋_GB2312" w:cs="仿宋_GB2312"/>
                <w:sz w:val="24"/>
              </w:rPr>
              <w:t>亿元人民币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1" w:hRule="atLeast"/>
          <w:jc w:val="center"/>
        </w:trPr>
        <w:tc>
          <w:tcPr>
            <w:tcW w:w="2451" w:type="dxa"/>
            <w:tcBorders>
              <w:top w:val="single" w:color="auto" w:sz="4" w:space="0"/>
              <w:bottom w:val="single" w:color="auto" w:sz="4" w:space="0"/>
            </w:tcBorders>
            <w:vAlign w:val="center"/>
          </w:tcPr>
          <w:p>
            <w:pPr>
              <w:spacing w:line="276" w:lineRule="auto"/>
              <w:rPr>
                <w:rFonts w:ascii="仿宋_GB2312" w:hAnsi="仿宋_GB2312" w:eastAsia="仿宋_GB2312" w:cs="仿宋_GB2312"/>
                <w:b/>
                <w:sz w:val="24"/>
              </w:rPr>
            </w:pPr>
            <w:r>
              <w:rPr>
                <w:rFonts w:hint="eastAsia" w:ascii="仿宋_GB2312" w:hAnsi="仿宋_GB2312" w:eastAsia="仿宋_GB2312" w:cs="仿宋_GB2312"/>
                <w:b/>
                <w:sz w:val="24"/>
              </w:rPr>
              <w:t>业务品种</w:t>
            </w:r>
          </w:p>
        </w:tc>
        <w:tc>
          <w:tcPr>
            <w:tcW w:w="8269" w:type="dxa"/>
            <w:gridSpan w:val="3"/>
            <w:tcBorders>
              <w:top w:val="single" w:color="auto" w:sz="4" w:space="0"/>
              <w:bottom w:val="single" w:color="auto" w:sz="4" w:space="0"/>
            </w:tcBorders>
            <w:vAlign w:val="center"/>
          </w:tcPr>
          <w:p>
            <w:pPr>
              <w:rPr>
                <w:rFonts w:ascii="仿宋_GB2312" w:hAnsi="仿宋_GB2312" w:eastAsia="仿宋_GB2312" w:cs="仿宋_GB2312"/>
                <w:b/>
                <w:sz w:val="24"/>
              </w:rPr>
            </w:pPr>
            <w:r>
              <w:rPr>
                <w:rFonts w:hint="eastAsia" w:ascii="仿宋_GB2312" w:hAnsi="仿宋_GB2312" w:eastAsia="仿宋_GB2312" w:cs="仿宋_GB2312"/>
                <w:bCs/>
                <w:sz w:val="24"/>
              </w:rPr>
              <w:t>C类业务，公募基金投资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jc w:val="center"/>
        </w:trPr>
        <w:tc>
          <w:tcPr>
            <w:tcW w:w="2451" w:type="dxa"/>
            <w:tcBorders>
              <w:top w:val="single" w:color="auto" w:sz="4" w:space="0"/>
              <w:bottom w:val="single" w:color="auto" w:sz="4" w:space="0"/>
            </w:tcBorders>
            <w:vAlign w:val="center"/>
          </w:tcPr>
          <w:p>
            <w:pPr>
              <w:spacing w:line="276" w:lineRule="auto"/>
              <w:rPr>
                <w:rFonts w:ascii="仿宋_GB2312" w:hAnsi="仿宋_GB2312" w:eastAsia="仿宋_GB2312" w:cs="仿宋_GB2312"/>
                <w:b/>
                <w:sz w:val="24"/>
              </w:rPr>
            </w:pPr>
            <w:r>
              <w:rPr>
                <w:rFonts w:hint="eastAsia" w:ascii="仿宋_GB2312" w:hAnsi="仿宋_GB2312" w:eastAsia="仿宋_GB2312" w:cs="仿宋_GB2312"/>
                <w:b/>
                <w:sz w:val="24"/>
              </w:rPr>
              <w:t>如为A、B类业务</w:t>
            </w:r>
          </w:p>
        </w:tc>
        <w:tc>
          <w:tcPr>
            <w:tcW w:w="8269" w:type="dxa"/>
            <w:gridSpan w:val="3"/>
            <w:tcBorders>
              <w:top w:val="single" w:color="auto" w:sz="4" w:space="0"/>
              <w:bottom w:val="single" w:color="auto" w:sz="4" w:space="0"/>
            </w:tcBorders>
            <w:vAlign w:val="center"/>
          </w:tcPr>
          <w:p>
            <w:pPr>
              <w:spacing w:line="276" w:lineRule="auto"/>
              <w:rPr>
                <w:rFonts w:ascii="仿宋_GB2312" w:hAnsi="仿宋_GB2312" w:eastAsia="仿宋_GB2312" w:cs="仿宋_GB2312"/>
                <w:b/>
                <w:sz w:val="24"/>
              </w:rPr>
            </w:pPr>
            <w:r>
              <w:rPr>
                <w:rFonts w:hint="eastAsia" w:ascii="仿宋_GB2312" w:hAnsi="仿宋_GB2312" w:eastAsia="仿宋_GB2312" w:cs="仿宋_GB2312"/>
                <w:bCs/>
                <w:sz w:val="24"/>
              </w:rPr>
              <w:t>说明本次拟申请领用理财专项单一法人客户或集团客户额度，以及本次业务开展后总体单一法人客户限额及集团客户情况。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jc w:val="center"/>
        </w:trPr>
        <w:tc>
          <w:tcPr>
            <w:tcW w:w="2451" w:type="dxa"/>
            <w:tcBorders>
              <w:top w:val="single" w:color="auto" w:sz="4" w:space="0"/>
              <w:bottom w:val="single" w:color="auto" w:sz="4" w:space="0"/>
            </w:tcBorders>
            <w:vAlign w:val="center"/>
          </w:tcPr>
          <w:p>
            <w:pPr>
              <w:spacing w:line="276" w:lineRule="auto"/>
              <w:rPr>
                <w:rFonts w:ascii="仿宋_GB2312" w:hAnsi="仿宋_GB2312" w:eastAsia="仿宋_GB2312" w:cs="仿宋_GB2312"/>
                <w:b/>
                <w:sz w:val="24"/>
              </w:rPr>
            </w:pPr>
            <w:r>
              <w:rPr>
                <w:rFonts w:hint="eastAsia" w:ascii="仿宋_GB2312" w:hAnsi="仿宋_GB2312" w:eastAsia="仿宋_GB2312" w:cs="仿宋_GB2312"/>
                <w:b/>
                <w:sz w:val="24"/>
              </w:rPr>
              <w:t>适用审批权限</w:t>
            </w:r>
          </w:p>
        </w:tc>
        <w:tc>
          <w:tcPr>
            <w:tcW w:w="8269" w:type="dxa"/>
            <w:gridSpan w:val="3"/>
            <w:tcBorders>
              <w:top w:val="single" w:color="auto" w:sz="4" w:space="0"/>
              <w:bottom w:val="single" w:color="auto" w:sz="4" w:space="0"/>
            </w:tcBorders>
            <w:vAlign w:val="center"/>
          </w:tcPr>
          <w:p>
            <w:pPr>
              <w:spacing w:line="276" w:lineRule="auto"/>
              <w:rPr>
                <w:rFonts w:ascii="仿宋_GB2312" w:hAnsi="仿宋_GB2312" w:eastAsia="仿宋_GB2312" w:cs="仿宋_GB2312"/>
                <w:b/>
                <w:sz w:val="24"/>
              </w:rPr>
            </w:pPr>
            <w:r>
              <w:rPr>
                <w:rFonts w:hint="eastAsia" w:ascii="仿宋_GB2312" w:hAnsi="仿宋_GB2312" w:eastAsia="仿宋_GB2312" w:cs="仿宋_GB2312"/>
                <w:bCs/>
                <w:sz w:val="24"/>
              </w:rPr>
              <w:t>根据投审办法及授权办法，货币基金80亿元以内的投资审批，公司分管副总经理为有权审批人。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51" w:type="dxa"/>
            <w:vAlign w:val="center"/>
          </w:tcPr>
          <w:p>
            <w:pPr>
              <w:spacing w:line="276" w:lineRule="auto"/>
              <w:rPr>
                <w:rFonts w:ascii="仿宋_GB2312" w:hAnsi="仿宋_GB2312" w:eastAsia="仿宋_GB2312" w:cs="仿宋_GB2312"/>
                <w:b/>
                <w:sz w:val="24"/>
              </w:rPr>
            </w:pPr>
            <w:r>
              <w:rPr>
                <w:rFonts w:hint="eastAsia" w:ascii="仿宋_GB2312" w:hAnsi="仿宋_GB2312" w:eastAsia="仿宋_GB2312" w:cs="仿宋_GB2312"/>
                <w:b/>
                <w:sz w:val="24"/>
              </w:rPr>
              <w:t>证券代码</w:t>
            </w:r>
          </w:p>
        </w:tc>
        <w:tc>
          <w:tcPr>
            <w:tcW w:w="2909" w:type="dxa"/>
            <w:vAlign w:val="center"/>
          </w:tcPr>
          <w:p>
            <w:pPr>
              <w:rPr>
                <w:rFonts w:ascii="仿宋_GB2312" w:hAnsi="仿宋_GB2312" w:eastAsia="仿宋_GB2312" w:cs="仿宋_GB2312"/>
                <w:sz w:val="24"/>
              </w:rPr>
            </w:pPr>
            <w:r>
              <w:rPr>
                <w:rFonts w:hint="eastAsia" w:ascii="仿宋_GB2312" w:hAnsi="仿宋_GB2312" w:eastAsia="仿宋_GB2312" w:cs="仿宋_GB2312"/>
                <w:sz w:val="24"/>
              </w:rPr>
              <w:t>A（</w:t>
            </w:r>
            <w:r>
              <w:rPr>
                <w:rFonts w:ascii="仿宋_GB2312" w:hAnsi="仿宋_GB2312" w:eastAsia="仿宋_GB2312" w:cs="仿宋_GB2312"/>
                <w:sz w:val="24"/>
              </w:rPr>
              <w:t>006879</w:t>
            </w:r>
            <w:r>
              <w:rPr>
                <w:rFonts w:hint="eastAsia" w:ascii="仿宋_GB2312" w:hAnsi="仿宋_GB2312" w:eastAsia="仿宋_GB2312" w:cs="仿宋_GB2312"/>
                <w:sz w:val="24"/>
              </w:rPr>
              <w:t>）/</w:t>
            </w:r>
            <w:r>
              <w:rPr>
                <w:rFonts w:ascii="仿宋_GB2312" w:hAnsi="仿宋_GB2312" w:eastAsia="仿宋_GB2312" w:cs="仿宋_GB2312"/>
                <w:sz w:val="24"/>
              </w:rPr>
              <w:t>C(013621)</w:t>
            </w:r>
          </w:p>
        </w:tc>
        <w:tc>
          <w:tcPr>
            <w:tcW w:w="2148" w:type="dxa"/>
            <w:vAlign w:val="center"/>
          </w:tcPr>
          <w:p>
            <w:pPr>
              <w:spacing w:line="276" w:lineRule="auto"/>
              <w:rPr>
                <w:rFonts w:ascii="仿宋_GB2312" w:hAnsi="仿宋_GB2312" w:eastAsia="仿宋_GB2312" w:cs="仿宋_GB2312"/>
                <w:b/>
                <w:sz w:val="24"/>
              </w:rPr>
            </w:pPr>
            <w:r>
              <w:rPr>
                <w:rFonts w:hint="eastAsia" w:ascii="仿宋_GB2312" w:hAnsi="仿宋_GB2312" w:eastAsia="仿宋_GB2312" w:cs="仿宋_GB2312"/>
                <w:b/>
                <w:sz w:val="24"/>
              </w:rPr>
              <w:t>证券简称</w:t>
            </w:r>
          </w:p>
        </w:tc>
        <w:tc>
          <w:tcPr>
            <w:tcW w:w="3212" w:type="dxa"/>
            <w:vAlign w:val="center"/>
          </w:tcPr>
          <w:p>
            <w:pPr>
              <w:rPr>
                <w:rFonts w:ascii="仿宋_GB2312" w:hAnsi="仿宋_GB2312" w:eastAsia="仿宋_GB2312" w:cs="仿宋_GB2312"/>
                <w:sz w:val="24"/>
                <w:highlight w:val="yellow"/>
              </w:rPr>
            </w:pPr>
            <w:r>
              <w:rPr>
                <w:rFonts w:hint="eastAsia" w:ascii="仿宋_GB2312" w:hAnsi="仿宋_GB2312" w:eastAsia="仿宋_GB2312" w:cs="仿宋_GB2312"/>
                <w:sz w:val="24"/>
              </w:rPr>
              <w:t>华安智能生活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51" w:type="dxa"/>
            <w:vAlign w:val="center"/>
          </w:tcPr>
          <w:p>
            <w:pPr>
              <w:spacing w:line="276" w:lineRule="auto"/>
              <w:rPr>
                <w:rFonts w:ascii="仿宋_GB2312" w:hAnsi="仿宋_GB2312" w:eastAsia="仿宋_GB2312" w:cs="仿宋_GB2312"/>
                <w:b/>
                <w:sz w:val="24"/>
              </w:rPr>
            </w:pPr>
            <w:r>
              <w:rPr>
                <w:rFonts w:hint="eastAsia" w:ascii="仿宋_GB2312" w:hAnsi="仿宋_GB2312" w:eastAsia="仿宋_GB2312" w:cs="仿宋_GB2312"/>
                <w:b/>
                <w:sz w:val="24"/>
              </w:rPr>
              <w:t>发行人/原始权益人</w:t>
            </w:r>
          </w:p>
        </w:tc>
        <w:tc>
          <w:tcPr>
            <w:tcW w:w="2909" w:type="dxa"/>
            <w:vAlign w:val="center"/>
          </w:tcPr>
          <w:p>
            <w:pPr>
              <w:rPr>
                <w:rFonts w:ascii="仿宋_GB2312" w:hAnsi="仿宋_GB2312" w:eastAsia="仿宋_GB2312" w:cs="仿宋_GB2312"/>
                <w:sz w:val="24"/>
              </w:rPr>
            </w:pPr>
          </w:p>
        </w:tc>
        <w:tc>
          <w:tcPr>
            <w:tcW w:w="2148" w:type="dxa"/>
            <w:vAlign w:val="center"/>
          </w:tcPr>
          <w:p>
            <w:pPr>
              <w:spacing w:line="276" w:lineRule="auto"/>
              <w:rPr>
                <w:rFonts w:ascii="仿宋_GB2312" w:hAnsi="仿宋_GB2312" w:eastAsia="仿宋_GB2312" w:cs="仿宋_GB2312"/>
                <w:b/>
                <w:sz w:val="24"/>
              </w:rPr>
            </w:pPr>
            <w:r>
              <w:rPr>
                <w:rFonts w:hint="eastAsia" w:ascii="仿宋_GB2312" w:hAnsi="仿宋_GB2312" w:eastAsia="仿宋_GB2312" w:cs="仿宋_GB2312"/>
                <w:b/>
                <w:sz w:val="24"/>
              </w:rPr>
              <w:t>管理人</w:t>
            </w:r>
          </w:p>
        </w:tc>
        <w:tc>
          <w:tcPr>
            <w:tcW w:w="3212" w:type="dxa"/>
            <w:vAlign w:val="center"/>
          </w:tcPr>
          <w:p>
            <w:pPr>
              <w:rPr>
                <w:rFonts w:ascii="仿宋_GB2312" w:hAnsi="仿宋_GB2312" w:eastAsia="仿宋_GB2312" w:cs="仿宋_GB2312"/>
                <w:sz w:val="24"/>
              </w:rPr>
            </w:pPr>
            <w:r>
              <w:rPr>
                <w:rFonts w:hint="eastAsia" w:ascii="仿宋_GB2312" w:hAnsi="仿宋_GB2312" w:eastAsia="仿宋_GB2312" w:cs="仿宋_GB2312"/>
                <w:sz w:val="24"/>
              </w:rPr>
              <w:t>华安基金管理有限公司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51" w:type="dxa"/>
            <w:vAlign w:val="center"/>
          </w:tcPr>
          <w:p>
            <w:pPr>
              <w:spacing w:line="276" w:lineRule="auto"/>
              <w:rPr>
                <w:rFonts w:ascii="仿宋_GB2312" w:hAnsi="仿宋_GB2312" w:eastAsia="仿宋_GB2312" w:cs="仿宋_GB2312"/>
                <w:b/>
                <w:sz w:val="24"/>
              </w:rPr>
            </w:pPr>
            <w:r>
              <w:rPr>
                <w:rFonts w:hint="eastAsia" w:ascii="仿宋_GB2312" w:hAnsi="仿宋_GB2312" w:eastAsia="仿宋_GB2312" w:cs="仿宋_GB2312"/>
                <w:b/>
                <w:sz w:val="24"/>
              </w:rPr>
              <w:t>承担实质风险主体</w:t>
            </w:r>
          </w:p>
        </w:tc>
        <w:tc>
          <w:tcPr>
            <w:tcW w:w="2909" w:type="dxa"/>
            <w:vAlign w:val="center"/>
          </w:tcPr>
          <w:p>
            <w:pPr>
              <w:rPr>
                <w:rFonts w:ascii="仿宋_GB2312" w:hAnsi="仿宋_GB2312" w:eastAsia="仿宋_GB2312" w:cs="仿宋_GB2312"/>
                <w:sz w:val="24"/>
              </w:rPr>
            </w:pPr>
          </w:p>
        </w:tc>
        <w:tc>
          <w:tcPr>
            <w:tcW w:w="2148" w:type="dxa"/>
            <w:vAlign w:val="center"/>
          </w:tcPr>
          <w:p>
            <w:pPr>
              <w:spacing w:line="276" w:lineRule="auto"/>
              <w:rPr>
                <w:rFonts w:ascii="仿宋_GB2312" w:hAnsi="仿宋_GB2312" w:eastAsia="仿宋_GB2312" w:cs="仿宋_GB2312"/>
                <w:b/>
                <w:sz w:val="24"/>
              </w:rPr>
            </w:pPr>
            <w:r>
              <w:rPr>
                <w:rFonts w:hint="eastAsia" w:ascii="仿宋_GB2312" w:hAnsi="仿宋_GB2312" w:eastAsia="仿宋_GB2312" w:cs="仿宋_GB2312"/>
                <w:b/>
                <w:sz w:val="24"/>
              </w:rPr>
              <w:t>有效期</w:t>
            </w:r>
          </w:p>
        </w:tc>
        <w:tc>
          <w:tcPr>
            <w:tcW w:w="3212" w:type="dxa"/>
            <w:vAlign w:val="center"/>
          </w:tcPr>
          <w:p>
            <w:pPr>
              <w:rPr>
                <w:rFonts w:ascii="仿宋_GB2312" w:hAnsi="仿宋_GB2312" w:eastAsia="仿宋_GB2312" w:cs="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2" w:hRule="atLeast"/>
          <w:jc w:val="center"/>
        </w:trPr>
        <w:tc>
          <w:tcPr>
            <w:tcW w:w="10720" w:type="dxa"/>
            <w:gridSpan w:val="4"/>
            <w:vAlign w:val="center"/>
          </w:tcPr>
          <w:p>
            <w:pPr>
              <w:widowControl/>
              <w:spacing w:line="240" w:lineRule="auto"/>
              <w:jc w:val="left"/>
            </w:pPr>
            <w:bookmarkStart w:id="0" w:name="_GoBack"/>
          </w:p>
          <w:p>
            <w:pPr>
              <w:widowControl/>
              <w:spacing w:line="240" w:lineRule="auto"/>
              <w:jc w:val="left"/>
            </w:pPr>
            <w:r>
              <w:rPr>
                <w:rFonts w:hint="eastAsia"/>
              </w:rPr>
              <w:t>一、基金公司情况</w:t>
            </w:r>
          </w:p>
          <w:p>
            <w:pPr>
              <w:widowControl/>
              <w:spacing w:line="240" w:lineRule="auto"/>
              <w:ind w:firstLine="420" w:firstLineChars="200"/>
              <w:jc w:val="left"/>
            </w:pPr>
            <w:r>
              <w:rPr>
                <w:rFonts w:hint="eastAsia"/>
              </w:rPr>
              <w:t>华安基金管理有限公司成立于1998年6月，是国内首批基金管理公司之一，注册资本1.5亿元人民币。具有公募基金管理、专户管理、QDII、RQFII等业务资格，具备综合管理多元化资产的能力。作为行业“老五家”公司之一，华安见证和参与了中国基金管理行业从无到有、从小到大的全过程，积累并形成了自身特有的竞争优势，取得了良好的长期投资业绩，赢得了投资者的信任。目前，公司建立了一支覆盖全面、体系完善的投研队伍，以及集成前台、中台、后台的投资管理体系和风险控制体系，形成了全面的资产管理能力。公司的投资产品线和策略较为丰富，目前已覆盖不同资产和账户类型，为投资者提供了多样化的解决方案。</w:t>
            </w:r>
          </w:p>
          <w:p>
            <w:pPr>
              <w:pStyle w:val="2"/>
              <w:widowControl/>
              <w:spacing w:line="240" w:lineRule="auto"/>
              <w:ind w:left="0" w:leftChars="0" w:firstLine="420" w:firstLineChars="200"/>
              <w:jc w:val="left"/>
            </w:pPr>
            <w:r>
              <w:rPr>
                <w:rFonts w:hint="eastAsia"/>
              </w:rPr>
              <w:t>公司投研团队由135名专业人士组成，其中基金（投资）经理54人（25人负责权益投资、19人负责固收投资、3人负责基金中基金投资、7人负责指数与量化投资），团队成员平均从业年限达13年，投研体系建设完善。截至2021年三季末，公募基金（剔除货币基金和短期理财基金）规模3320亿元，行业排名第14。</w:t>
            </w:r>
          </w:p>
          <w:p>
            <w:pPr>
              <w:pStyle w:val="2"/>
              <w:widowControl/>
              <w:spacing w:line="240" w:lineRule="auto"/>
              <w:ind w:left="0" w:leftChars="0"/>
              <w:jc w:val="left"/>
            </w:pPr>
            <w:r>
              <w:rPr>
                <w:rFonts w:hint="eastAsia"/>
              </w:rPr>
              <w:t>二、基金基本信息</w:t>
            </w:r>
          </w:p>
          <w:p>
            <w:pPr>
              <w:pStyle w:val="2"/>
              <w:widowControl/>
              <w:spacing w:line="240" w:lineRule="auto"/>
              <w:ind w:left="0" w:leftChars="0"/>
              <w:jc w:val="left"/>
            </w:pPr>
            <w:r>
              <w:rPr>
                <w:rFonts w:hint="eastAsia"/>
              </w:rPr>
              <w:t>1、规模情况：基金经理当前管理总规模为79.03亿元，其中华安智能生活基金当前规模为24.12亿元（截至2021年9月30日）</w:t>
            </w:r>
          </w:p>
          <w:tbl>
            <w:tblPr>
              <w:tblStyle w:val="5"/>
              <w:tblW w:w="10081" w:type="dxa"/>
              <w:jc w:val="center"/>
              <w:tblLayout w:type="fixed"/>
              <w:tblCellMar>
                <w:top w:w="0" w:type="dxa"/>
                <w:left w:w="108" w:type="dxa"/>
                <w:bottom w:w="0" w:type="dxa"/>
                <w:right w:w="108" w:type="dxa"/>
              </w:tblCellMar>
            </w:tblPr>
            <w:tblGrid>
              <w:gridCol w:w="1270"/>
              <w:gridCol w:w="1270"/>
              <w:gridCol w:w="1270"/>
              <w:gridCol w:w="1270"/>
              <w:gridCol w:w="1270"/>
              <w:gridCol w:w="1270"/>
              <w:gridCol w:w="1270"/>
              <w:gridCol w:w="1191"/>
            </w:tblGrid>
            <w:tr>
              <w:tblPrEx>
                <w:tblCellMar>
                  <w:top w:w="0" w:type="dxa"/>
                  <w:left w:w="108" w:type="dxa"/>
                  <w:bottom w:w="0" w:type="dxa"/>
                  <w:right w:w="108" w:type="dxa"/>
                </w:tblCellMar>
              </w:tblPrEx>
              <w:trPr>
                <w:trHeight w:val="183" w:hRule="atLeast"/>
                <w:jc w:val="center"/>
              </w:trPr>
              <w:tc>
                <w:tcPr>
                  <w:tcW w:w="10081" w:type="dxa"/>
                  <w:gridSpan w:val="8"/>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jc w:val="center"/>
                  </w:pPr>
                  <w:r>
                    <w:rPr>
                      <w:rFonts w:hint="eastAsia"/>
                    </w:rPr>
                    <w:t>华安智能生活基金规模变动情况（亿元）</w:t>
                  </w:r>
                </w:p>
              </w:tc>
            </w:tr>
            <w:tr>
              <w:tblPrEx>
                <w:tblCellMar>
                  <w:top w:w="0" w:type="dxa"/>
                  <w:left w:w="108" w:type="dxa"/>
                  <w:bottom w:w="0" w:type="dxa"/>
                  <w:right w:w="108" w:type="dxa"/>
                </w:tblCellMar>
              </w:tblPrEx>
              <w:trPr>
                <w:trHeight w:val="183" w:hRule="atLeast"/>
                <w:jc w:val="center"/>
              </w:trPr>
              <w:tc>
                <w:tcPr>
                  <w:tcW w:w="1270"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jc w:val="center"/>
                  </w:pPr>
                  <w:r>
                    <w:rPr>
                      <w:rFonts w:hint="eastAsia"/>
                    </w:rPr>
                    <w:t>20210930</w:t>
                  </w:r>
                </w:p>
              </w:tc>
              <w:tc>
                <w:tcPr>
                  <w:tcW w:w="127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pPr>
                  <w:r>
                    <w:rPr>
                      <w:rFonts w:hint="eastAsia"/>
                    </w:rPr>
                    <w:t>20210630</w:t>
                  </w:r>
                </w:p>
              </w:tc>
              <w:tc>
                <w:tcPr>
                  <w:tcW w:w="127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pPr>
                  <w:r>
                    <w:rPr>
                      <w:rFonts w:hint="eastAsia"/>
                    </w:rPr>
                    <w:t>20210331</w:t>
                  </w:r>
                </w:p>
              </w:tc>
              <w:tc>
                <w:tcPr>
                  <w:tcW w:w="127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pPr>
                  <w:r>
                    <w:rPr>
                      <w:rFonts w:hint="eastAsia"/>
                    </w:rPr>
                    <w:t>20201231</w:t>
                  </w:r>
                </w:p>
              </w:tc>
              <w:tc>
                <w:tcPr>
                  <w:tcW w:w="127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pPr>
                  <w:r>
                    <w:rPr>
                      <w:rFonts w:hint="eastAsia"/>
                    </w:rPr>
                    <w:t>20200930</w:t>
                  </w:r>
                </w:p>
              </w:tc>
              <w:tc>
                <w:tcPr>
                  <w:tcW w:w="127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pPr>
                  <w:r>
                    <w:rPr>
                      <w:rFonts w:hint="eastAsia"/>
                    </w:rPr>
                    <w:t>20200630</w:t>
                  </w:r>
                </w:p>
              </w:tc>
              <w:tc>
                <w:tcPr>
                  <w:tcW w:w="127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pPr>
                  <w:r>
                    <w:rPr>
                      <w:rFonts w:hint="eastAsia"/>
                    </w:rPr>
                    <w:t>20200331</w:t>
                  </w:r>
                </w:p>
              </w:tc>
              <w:tc>
                <w:tcPr>
                  <w:tcW w:w="1191"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pPr>
                  <w:r>
                    <w:rPr>
                      <w:rFonts w:hint="eastAsia"/>
                    </w:rPr>
                    <w:t>20191231</w:t>
                  </w:r>
                </w:p>
              </w:tc>
            </w:tr>
            <w:tr>
              <w:tblPrEx>
                <w:tblCellMar>
                  <w:top w:w="0" w:type="dxa"/>
                  <w:left w:w="108" w:type="dxa"/>
                  <w:bottom w:w="0" w:type="dxa"/>
                  <w:right w:w="108" w:type="dxa"/>
                </w:tblCellMar>
              </w:tblPrEx>
              <w:trPr>
                <w:trHeight w:val="183" w:hRule="atLeast"/>
                <w:jc w:val="center"/>
              </w:trPr>
              <w:tc>
                <w:tcPr>
                  <w:tcW w:w="1270" w:type="dxa"/>
                  <w:tcBorders>
                    <w:top w:val="nil"/>
                    <w:left w:val="single" w:color="auto" w:sz="4" w:space="0"/>
                    <w:bottom w:val="single" w:color="auto" w:sz="4" w:space="0"/>
                    <w:right w:val="single" w:color="auto" w:sz="4" w:space="0"/>
                  </w:tcBorders>
                  <w:shd w:val="clear" w:color="auto" w:fill="auto"/>
                  <w:noWrap/>
                </w:tcPr>
                <w:p>
                  <w:pPr>
                    <w:widowControl/>
                    <w:spacing w:line="240" w:lineRule="auto"/>
                    <w:jc w:val="center"/>
                  </w:pPr>
                  <w:r>
                    <w:t>24.12</w:t>
                  </w:r>
                </w:p>
              </w:tc>
              <w:tc>
                <w:tcPr>
                  <w:tcW w:w="1270" w:type="dxa"/>
                  <w:tcBorders>
                    <w:top w:val="nil"/>
                    <w:left w:val="nil"/>
                    <w:bottom w:val="single" w:color="auto" w:sz="4" w:space="0"/>
                    <w:right w:val="single" w:color="auto" w:sz="4" w:space="0"/>
                  </w:tcBorders>
                  <w:shd w:val="clear" w:color="auto" w:fill="auto"/>
                  <w:noWrap/>
                </w:tcPr>
                <w:p>
                  <w:pPr>
                    <w:widowControl/>
                    <w:spacing w:line="240" w:lineRule="auto"/>
                    <w:jc w:val="center"/>
                  </w:pPr>
                  <w:r>
                    <w:t>25.60</w:t>
                  </w:r>
                </w:p>
              </w:tc>
              <w:tc>
                <w:tcPr>
                  <w:tcW w:w="1270" w:type="dxa"/>
                  <w:tcBorders>
                    <w:top w:val="nil"/>
                    <w:left w:val="nil"/>
                    <w:bottom w:val="single" w:color="auto" w:sz="4" w:space="0"/>
                    <w:right w:val="single" w:color="auto" w:sz="4" w:space="0"/>
                  </w:tcBorders>
                  <w:shd w:val="clear" w:color="auto" w:fill="auto"/>
                  <w:noWrap/>
                </w:tcPr>
                <w:p>
                  <w:pPr>
                    <w:widowControl/>
                    <w:spacing w:line="240" w:lineRule="auto"/>
                    <w:jc w:val="center"/>
                  </w:pPr>
                  <w:r>
                    <w:t>20.64</w:t>
                  </w:r>
                </w:p>
              </w:tc>
              <w:tc>
                <w:tcPr>
                  <w:tcW w:w="1270" w:type="dxa"/>
                  <w:tcBorders>
                    <w:top w:val="nil"/>
                    <w:left w:val="nil"/>
                    <w:bottom w:val="single" w:color="auto" w:sz="4" w:space="0"/>
                    <w:right w:val="single" w:color="auto" w:sz="4" w:space="0"/>
                  </w:tcBorders>
                  <w:shd w:val="clear" w:color="auto" w:fill="auto"/>
                  <w:noWrap/>
                </w:tcPr>
                <w:p>
                  <w:pPr>
                    <w:widowControl/>
                    <w:spacing w:line="240" w:lineRule="auto"/>
                    <w:jc w:val="center"/>
                  </w:pPr>
                  <w:r>
                    <w:t>32.22</w:t>
                  </w:r>
                </w:p>
              </w:tc>
              <w:tc>
                <w:tcPr>
                  <w:tcW w:w="1270" w:type="dxa"/>
                  <w:tcBorders>
                    <w:top w:val="nil"/>
                    <w:left w:val="nil"/>
                    <w:bottom w:val="single" w:color="auto" w:sz="4" w:space="0"/>
                    <w:right w:val="single" w:color="auto" w:sz="4" w:space="0"/>
                  </w:tcBorders>
                  <w:shd w:val="clear" w:color="auto" w:fill="auto"/>
                  <w:noWrap/>
                </w:tcPr>
                <w:p>
                  <w:pPr>
                    <w:widowControl/>
                    <w:spacing w:line="240" w:lineRule="auto"/>
                    <w:jc w:val="center"/>
                  </w:pPr>
                  <w:r>
                    <w:t>52.40</w:t>
                  </w:r>
                </w:p>
              </w:tc>
              <w:tc>
                <w:tcPr>
                  <w:tcW w:w="1270" w:type="dxa"/>
                  <w:tcBorders>
                    <w:top w:val="nil"/>
                    <w:left w:val="nil"/>
                    <w:bottom w:val="single" w:color="auto" w:sz="4" w:space="0"/>
                    <w:right w:val="single" w:color="auto" w:sz="4" w:space="0"/>
                  </w:tcBorders>
                  <w:shd w:val="clear" w:color="auto" w:fill="auto"/>
                  <w:noWrap/>
                </w:tcPr>
                <w:p>
                  <w:pPr>
                    <w:widowControl/>
                    <w:spacing w:line="240" w:lineRule="auto"/>
                    <w:jc w:val="center"/>
                  </w:pPr>
                  <w:r>
                    <w:t>94.02</w:t>
                  </w:r>
                </w:p>
              </w:tc>
              <w:tc>
                <w:tcPr>
                  <w:tcW w:w="1270" w:type="dxa"/>
                  <w:tcBorders>
                    <w:top w:val="nil"/>
                    <w:left w:val="nil"/>
                    <w:bottom w:val="single" w:color="auto" w:sz="4" w:space="0"/>
                    <w:right w:val="single" w:color="auto" w:sz="4" w:space="0"/>
                  </w:tcBorders>
                  <w:shd w:val="clear" w:color="auto" w:fill="auto"/>
                  <w:noWrap/>
                </w:tcPr>
                <w:p>
                  <w:pPr>
                    <w:widowControl/>
                    <w:spacing w:line="240" w:lineRule="auto"/>
                    <w:jc w:val="center"/>
                  </w:pPr>
                  <w:r>
                    <w:t>88.88</w:t>
                  </w:r>
                </w:p>
              </w:tc>
              <w:tc>
                <w:tcPr>
                  <w:tcW w:w="1191" w:type="dxa"/>
                  <w:tcBorders>
                    <w:top w:val="nil"/>
                    <w:left w:val="nil"/>
                    <w:bottom w:val="single" w:color="auto" w:sz="4" w:space="0"/>
                    <w:right w:val="single" w:color="auto" w:sz="4" w:space="0"/>
                  </w:tcBorders>
                  <w:shd w:val="clear" w:color="auto" w:fill="auto"/>
                  <w:noWrap/>
                </w:tcPr>
                <w:p>
                  <w:pPr>
                    <w:widowControl/>
                    <w:spacing w:line="240" w:lineRule="auto"/>
                    <w:jc w:val="center"/>
                  </w:pPr>
                  <w:r>
                    <w:t>74.64</w:t>
                  </w:r>
                </w:p>
              </w:tc>
            </w:tr>
          </w:tbl>
          <w:p>
            <w:pPr>
              <w:pStyle w:val="2"/>
              <w:widowControl/>
              <w:spacing w:line="240" w:lineRule="auto"/>
              <w:ind w:left="0" w:leftChars="0"/>
              <w:jc w:val="left"/>
            </w:pPr>
            <w:r>
              <w:rPr>
                <w:rFonts w:hint="eastAsia"/>
              </w:rPr>
              <w:t>2、仓位及集中度情况：基金经理整体仓位维持较高，持续位于80%以上。21年三季报披露前十大重仓股占比50.65%，集中度适中，持仓相对重仓了新能源、可选消费以及信息技术板块的个股。</w:t>
            </w:r>
          </w:p>
          <w:p>
            <w:pPr>
              <w:widowControl/>
              <w:spacing w:line="240" w:lineRule="auto"/>
              <w:jc w:val="left"/>
            </w:pPr>
          </w:p>
          <w:tbl>
            <w:tblPr>
              <w:tblStyle w:val="5"/>
              <w:tblW w:w="6727" w:type="dxa"/>
              <w:jc w:val="center"/>
              <w:tblLayout w:type="fixed"/>
              <w:tblCellMar>
                <w:top w:w="0" w:type="dxa"/>
                <w:left w:w="108" w:type="dxa"/>
                <w:bottom w:w="0" w:type="dxa"/>
                <w:right w:w="108" w:type="dxa"/>
              </w:tblCellMar>
            </w:tblPr>
            <w:tblGrid>
              <w:gridCol w:w="3415"/>
              <w:gridCol w:w="3312"/>
            </w:tblGrid>
            <w:tr>
              <w:tblPrEx>
                <w:tblCellMar>
                  <w:top w:w="0" w:type="dxa"/>
                  <w:left w:w="108" w:type="dxa"/>
                  <w:bottom w:w="0" w:type="dxa"/>
                  <w:right w:w="108" w:type="dxa"/>
                </w:tblCellMar>
              </w:tblPrEx>
              <w:trPr>
                <w:trHeight w:val="194" w:hRule="atLeast"/>
                <w:jc w:val="center"/>
              </w:trPr>
              <w:tc>
                <w:tcPr>
                  <w:tcW w:w="6727" w:type="dxa"/>
                  <w:gridSpan w:val="2"/>
                  <w:tcBorders>
                    <w:top w:val="single" w:color="auto" w:sz="4" w:space="0"/>
                    <w:left w:val="single" w:color="auto" w:sz="4" w:space="0"/>
                    <w:bottom w:val="single" w:color="auto" w:sz="4" w:space="0"/>
                    <w:right w:val="single" w:color="auto" w:sz="4" w:space="0"/>
                  </w:tcBorders>
                  <w:shd w:val="clear" w:color="auto" w:fill="auto"/>
                  <w:noWrap/>
                  <w:vAlign w:val="bottom"/>
                </w:tcPr>
                <w:p>
                  <w:pPr>
                    <w:widowControl/>
                    <w:spacing w:line="240" w:lineRule="auto"/>
                    <w:jc w:val="center"/>
                  </w:pPr>
                  <w:r>
                    <w:rPr>
                      <w:rFonts w:hint="eastAsia"/>
                    </w:rPr>
                    <w:t>华安智能生活基金21年三季度前十大持股</w:t>
                  </w:r>
                </w:p>
              </w:tc>
            </w:tr>
            <w:tr>
              <w:tblPrEx>
                <w:tblCellMar>
                  <w:top w:w="0" w:type="dxa"/>
                  <w:left w:w="108" w:type="dxa"/>
                  <w:bottom w:w="0" w:type="dxa"/>
                  <w:right w:w="108" w:type="dxa"/>
                </w:tblCellMar>
              </w:tblPrEx>
              <w:trPr>
                <w:trHeight w:val="194" w:hRule="atLeast"/>
                <w:jc w:val="center"/>
              </w:trPr>
              <w:tc>
                <w:tcPr>
                  <w:tcW w:w="3415" w:type="dxa"/>
                  <w:tcBorders>
                    <w:top w:val="single" w:color="auto" w:sz="4" w:space="0"/>
                    <w:left w:val="single" w:color="auto" w:sz="4" w:space="0"/>
                    <w:bottom w:val="single" w:color="auto" w:sz="4" w:space="0"/>
                    <w:right w:val="single" w:color="auto" w:sz="4" w:space="0"/>
                  </w:tcBorders>
                  <w:shd w:val="clear" w:color="auto" w:fill="auto"/>
                  <w:noWrap/>
                  <w:vAlign w:val="bottom"/>
                </w:tcPr>
                <w:p>
                  <w:pPr>
                    <w:widowControl/>
                    <w:spacing w:line="240" w:lineRule="auto"/>
                    <w:jc w:val="center"/>
                  </w:pPr>
                  <w:r>
                    <w:rPr>
                      <w:rFonts w:hint="eastAsia"/>
                    </w:rPr>
                    <w:t>股票名称</w:t>
                  </w:r>
                </w:p>
              </w:tc>
              <w:tc>
                <w:tcPr>
                  <w:tcW w:w="3312" w:type="dxa"/>
                  <w:tcBorders>
                    <w:top w:val="single" w:color="auto" w:sz="4" w:space="0"/>
                    <w:left w:val="nil"/>
                    <w:bottom w:val="single" w:color="auto" w:sz="4" w:space="0"/>
                    <w:right w:val="single" w:color="auto" w:sz="4" w:space="0"/>
                  </w:tcBorders>
                  <w:shd w:val="clear" w:color="auto" w:fill="auto"/>
                  <w:noWrap/>
                  <w:vAlign w:val="bottom"/>
                </w:tcPr>
                <w:p>
                  <w:pPr>
                    <w:widowControl/>
                    <w:spacing w:line="240" w:lineRule="auto"/>
                    <w:jc w:val="center"/>
                  </w:pPr>
                  <w:r>
                    <w:rPr>
                      <w:rFonts w:hint="eastAsia"/>
                    </w:rPr>
                    <w:t>占净资产比例（%）</w:t>
                  </w:r>
                </w:p>
              </w:tc>
            </w:tr>
            <w:tr>
              <w:tblPrEx>
                <w:tblCellMar>
                  <w:top w:w="0" w:type="dxa"/>
                  <w:left w:w="108" w:type="dxa"/>
                  <w:bottom w:w="0" w:type="dxa"/>
                  <w:right w:w="108" w:type="dxa"/>
                </w:tblCellMar>
              </w:tblPrEx>
              <w:trPr>
                <w:trHeight w:val="194" w:hRule="atLeast"/>
                <w:jc w:val="center"/>
              </w:trPr>
              <w:tc>
                <w:tcPr>
                  <w:tcW w:w="3415" w:type="dxa"/>
                  <w:tcBorders>
                    <w:top w:val="nil"/>
                    <w:left w:val="single" w:color="auto" w:sz="4" w:space="0"/>
                    <w:bottom w:val="single" w:color="auto" w:sz="4" w:space="0"/>
                    <w:right w:val="single" w:color="auto" w:sz="4" w:space="0"/>
                  </w:tcBorders>
                  <w:shd w:val="clear" w:color="auto" w:fill="auto"/>
                  <w:noWrap/>
                  <w:vAlign w:val="bottom"/>
                </w:tcPr>
                <w:p>
                  <w:pPr>
                    <w:widowControl/>
                    <w:spacing w:line="240" w:lineRule="auto"/>
                    <w:jc w:val="center"/>
                  </w:pPr>
                  <w:r>
                    <w:rPr>
                      <w:rFonts w:hint="eastAsia"/>
                    </w:rPr>
                    <w:t>宁德时代</w:t>
                  </w:r>
                </w:p>
              </w:tc>
              <w:tc>
                <w:tcPr>
                  <w:tcW w:w="3312" w:type="dxa"/>
                  <w:tcBorders>
                    <w:top w:val="nil"/>
                    <w:left w:val="nil"/>
                    <w:bottom w:val="single" w:color="auto" w:sz="4" w:space="0"/>
                    <w:right w:val="single" w:color="auto" w:sz="4" w:space="0"/>
                  </w:tcBorders>
                  <w:shd w:val="clear" w:color="auto" w:fill="auto"/>
                  <w:noWrap/>
                  <w:vAlign w:val="bottom"/>
                </w:tcPr>
                <w:p>
                  <w:pPr>
                    <w:widowControl/>
                    <w:spacing w:line="240" w:lineRule="auto"/>
                    <w:jc w:val="center"/>
                  </w:pPr>
                  <w:r>
                    <w:rPr>
                      <w:rFonts w:hint="eastAsia"/>
                    </w:rPr>
                    <w:t>6.30</w:t>
                  </w:r>
                </w:p>
              </w:tc>
            </w:tr>
            <w:tr>
              <w:tblPrEx>
                <w:tblCellMar>
                  <w:top w:w="0" w:type="dxa"/>
                  <w:left w:w="108" w:type="dxa"/>
                  <w:bottom w:w="0" w:type="dxa"/>
                  <w:right w:w="108" w:type="dxa"/>
                </w:tblCellMar>
              </w:tblPrEx>
              <w:trPr>
                <w:trHeight w:val="194" w:hRule="atLeast"/>
                <w:jc w:val="center"/>
              </w:trPr>
              <w:tc>
                <w:tcPr>
                  <w:tcW w:w="3415" w:type="dxa"/>
                  <w:tcBorders>
                    <w:top w:val="nil"/>
                    <w:left w:val="single" w:color="auto" w:sz="4" w:space="0"/>
                    <w:bottom w:val="single" w:color="auto" w:sz="4" w:space="0"/>
                    <w:right w:val="single" w:color="auto" w:sz="4" w:space="0"/>
                  </w:tcBorders>
                  <w:shd w:val="clear" w:color="auto" w:fill="auto"/>
                  <w:noWrap/>
                  <w:vAlign w:val="bottom"/>
                </w:tcPr>
                <w:p>
                  <w:pPr>
                    <w:widowControl/>
                    <w:spacing w:line="240" w:lineRule="auto"/>
                    <w:jc w:val="center"/>
                  </w:pPr>
                  <w:r>
                    <w:rPr>
                      <w:rFonts w:hint="eastAsia"/>
                    </w:rPr>
                    <w:t>北方华创</w:t>
                  </w:r>
                </w:p>
              </w:tc>
              <w:tc>
                <w:tcPr>
                  <w:tcW w:w="3312" w:type="dxa"/>
                  <w:tcBorders>
                    <w:top w:val="nil"/>
                    <w:left w:val="nil"/>
                    <w:bottom w:val="single" w:color="auto" w:sz="4" w:space="0"/>
                    <w:right w:val="single" w:color="auto" w:sz="4" w:space="0"/>
                  </w:tcBorders>
                  <w:shd w:val="clear" w:color="auto" w:fill="auto"/>
                  <w:noWrap/>
                  <w:vAlign w:val="bottom"/>
                </w:tcPr>
                <w:p>
                  <w:pPr>
                    <w:widowControl/>
                    <w:spacing w:line="240" w:lineRule="auto"/>
                    <w:jc w:val="center"/>
                  </w:pPr>
                  <w:r>
                    <w:rPr>
                      <w:rFonts w:hint="eastAsia"/>
                    </w:rPr>
                    <w:t>5.91</w:t>
                  </w:r>
                </w:p>
              </w:tc>
            </w:tr>
            <w:tr>
              <w:tblPrEx>
                <w:tblCellMar>
                  <w:top w:w="0" w:type="dxa"/>
                  <w:left w:w="108" w:type="dxa"/>
                  <w:bottom w:w="0" w:type="dxa"/>
                  <w:right w:w="108" w:type="dxa"/>
                </w:tblCellMar>
              </w:tblPrEx>
              <w:trPr>
                <w:trHeight w:val="194" w:hRule="atLeast"/>
                <w:jc w:val="center"/>
              </w:trPr>
              <w:tc>
                <w:tcPr>
                  <w:tcW w:w="3415" w:type="dxa"/>
                  <w:tcBorders>
                    <w:top w:val="nil"/>
                    <w:left w:val="single" w:color="auto" w:sz="4" w:space="0"/>
                    <w:bottom w:val="single" w:color="auto" w:sz="4" w:space="0"/>
                    <w:right w:val="single" w:color="auto" w:sz="4" w:space="0"/>
                  </w:tcBorders>
                  <w:shd w:val="clear" w:color="auto" w:fill="auto"/>
                  <w:noWrap/>
                  <w:vAlign w:val="bottom"/>
                </w:tcPr>
                <w:p>
                  <w:pPr>
                    <w:widowControl/>
                    <w:spacing w:line="240" w:lineRule="auto"/>
                    <w:jc w:val="center"/>
                  </w:pPr>
                  <w:r>
                    <w:rPr>
                      <w:rFonts w:hint="eastAsia"/>
                    </w:rPr>
                    <w:t>隆基股份</w:t>
                  </w:r>
                </w:p>
              </w:tc>
              <w:tc>
                <w:tcPr>
                  <w:tcW w:w="3312" w:type="dxa"/>
                  <w:tcBorders>
                    <w:top w:val="nil"/>
                    <w:left w:val="nil"/>
                    <w:bottom w:val="single" w:color="auto" w:sz="4" w:space="0"/>
                    <w:right w:val="single" w:color="auto" w:sz="4" w:space="0"/>
                  </w:tcBorders>
                  <w:shd w:val="clear" w:color="auto" w:fill="auto"/>
                  <w:noWrap/>
                  <w:vAlign w:val="bottom"/>
                </w:tcPr>
                <w:p>
                  <w:pPr>
                    <w:widowControl/>
                    <w:spacing w:line="240" w:lineRule="auto"/>
                    <w:jc w:val="center"/>
                  </w:pPr>
                  <w:r>
                    <w:rPr>
                      <w:rFonts w:hint="eastAsia"/>
                    </w:rPr>
                    <w:t>5.85</w:t>
                  </w:r>
                </w:p>
              </w:tc>
            </w:tr>
            <w:tr>
              <w:trPr>
                <w:trHeight w:val="194" w:hRule="atLeast"/>
                <w:jc w:val="center"/>
              </w:trPr>
              <w:tc>
                <w:tcPr>
                  <w:tcW w:w="3415" w:type="dxa"/>
                  <w:tcBorders>
                    <w:top w:val="nil"/>
                    <w:left w:val="single" w:color="auto" w:sz="4" w:space="0"/>
                    <w:bottom w:val="single" w:color="auto" w:sz="4" w:space="0"/>
                    <w:right w:val="single" w:color="auto" w:sz="4" w:space="0"/>
                  </w:tcBorders>
                  <w:shd w:val="clear" w:color="auto" w:fill="auto"/>
                  <w:noWrap/>
                  <w:vAlign w:val="bottom"/>
                </w:tcPr>
                <w:p>
                  <w:pPr>
                    <w:widowControl/>
                    <w:spacing w:line="240" w:lineRule="auto"/>
                    <w:jc w:val="center"/>
                  </w:pPr>
                  <w:r>
                    <w:rPr>
                      <w:rFonts w:hint="eastAsia"/>
                    </w:rPr>
                    <w:t>首旅酒店</w:t>
                  </w:r>
                </w:p>
              </w:tc>
              <w:tc>
                <w:tcPr>
                  <w:tcW w:w="3312" w:type="dxa"/>
                  <w:tcBorders>
                    <w:top w:val="nil"/>
                    <w:left w:val="nil"/>
                    <w:bottom w:val="single" w:color="auto" w:sz="4" w:space="0"/>
                    <w:right w:val="single" w:color="auto" w:sz="4" w:space="0"/>
                  </w:tcBorders>
                  <w:shd w:val="clear" w:color="auto" w:fill="auto"/>
                  <w:noWrap/>
                  <w:vAlign w:val="bottom"/>
                </w:tcPr>
                <w:p>
                  <w:pPr>
                    <w:widowControl/>
                    <w:spacing w:line="240" w:lineRule="auto"/>
                    <w:jc w:val="center"/>
                  </w:pPr>
                  <w:r>
                    <w:rPr>
                      <w:rFonts w:hint="eastAsia"/>
                    </w:rPr>
                    <w:t>5.66</w:t>
                  </w:r>
                </w:p>
              </w:tc>
            </w:tr>
            <w:tr>
              <w:tblPrEx>
                <w:tblCellMar>
                  <w:top w:w="0" w:type="dxa"/>
                  <w:left w:w="108" w:type="dxa"/>
                  <w:bottom w:w="0" w:type="dxa"/>
                  <w:right w:w="108" w:type="dxa"/>
                </w:tblCellMar>
              </w:tblPrEx>
              <w:trPr>
                <w:trHeight w:val="230" w:hRule="atLeast"/>
                <w:jc w:val="center"/>
              </w:trPr>
              <w:tc>
                <w:tcPr>
                  <w:tcW w:w="3415" w:type="dxa"/>
                  <w:tcBorders>
                    <w:top w:val="nil"/>
                    <w:left w:val="single" w:color="auto" w:sz="4" w:space="0"/>
                    <w:bottom w:val="single" w:color="auto" w:sz="4" w:space="0"/>
                    <w:right w:val="single" w:color="auto" w:sz="4" w:space="0"/>
                  </w:tcBorders>
                  <w:shd w:val="clear" w:color="auto" w:fill="auto"/>
                  <w:noWrap/>
                  <w:vAlign w:val="bottom"/>
                </w:tcPr>
                <w:p>
                  <w:pPr>
                    <w:widowControl/>
                    <w:spacing w:line="240" w:lineRule="auto"/>
                    <w:jc w:val="center"/>
                  </w:pPr>
                  <w:r>
                    <w:rPr>
                      <w:rFonts w:hint="eastAsia"/>
                    </w:rPr>
                    <w:t>士兰微</w:t>
                  </w:r>
                </w:p>
              </w:tc>
              <w:tc>
                <w:tcPr>
                  <w:tcW w:w="3312" w:type="dxa"/>
                  <w:tcBorders>
                    <w:top w:val="nil"/>
                    <w:left w:val="nil"/>
                    <w:bottom w:val="single" w:color="auto" w:sz="4" w:space="0"/>
                    <w:right w:val="single" w:color="auto" w:sz="4" w:space="0"/>
                  </w:tcBorders>
                  <w:shd w:val="clear" w:color="auto" w:fill="auto"/>
                  <w:noWrap/>
                  <w:vAlign w:val="bottom"/>
                </w:tcPr>
                <w:p>
                  <w:pPr>
                    <w:widowControl/>
                    <w:spacing w:line="240" w:lineRule="auto"/>
                    <w:jc w:val="center"/>
                  </w:pPr>
                  <w:r>
                    <w:rPr>
                      <w:rFonts w:hint="eastAsia"/>
                    </w:rPr>
                    <w:t>5.39</w:t>
                  </w:r>
                </w:p>
              </w:tc>
            </w:tr>
            <w:tr>
              <w:trPr>
                <w:trHeight w:val="194" w:hRule="atLeast"/>
                <w:jc w:val="center"/>
              </w:trPr>
              <w:tc>
                <w:tcPr>
                  <w:tcW w:w="3415" w:type="dxa"/>
                  <w:tcBorders>
                    <w:top w:val="nil"/>
                    <w:left w:val="single" w:color="auto" w:sz="4" w:space="0"/>
                    <w:bottom w:val="single" w:color="auto" w:sz="4" w:space="0"/>
                    <w:right w:val="single" w:color="auto" w:sz="4" w:space="0"/>
                  </w:tcBorders>
                  <w:shd w:val="clear" w:color="auto" w:fill="auto"/>
                  <w:noWrap/>
                  <w:vAlign w:val="bottom"/>
                </w:tcPr>
                <w:p>
                  <w:pPr>
                    <w:widowControl/>
                    <w:spacing w:line="240" w:lineRule="auto"/>
                    <w:jc w:val="center"/>
                  </w:pPr>
                  <w:r>
                    <w:rPr>
                      <w:rFonts w:hint="eastAsia"/>
                    </w:rPr>
                    <w:t>王府井</w:t>
                  </w:r>
                </w:p>
              </w:tc>
              <w:tc>
                <w:tcPr>
                  <w:tcW w:w="3312" w:type="dxa"/>
                  <w:tcBorders>
                    <w:top w:val="nil"/>
                    <w:left w:val="nil"/>
                    <w:bottom w:val="single" w:color="auto" w:sz="4" w:space="0"/>
                    <w:right w:val="single" w:color="auto" w:sz="4" w:space="0"/>
                  </w:tcBorders>
                  <w:shd w:val="clear" w:color="auto" w:fill="auto"/>
                  <w:noWrap/>
                  <w:vAlign w:val="bottom"/>
                </w:tcPr>
                <w:p>
                  <w:pPr>
                    <w:widowControl/>
                    <w:spacing w:line="240" w:lineRule="auto"/>
                    <w:jc w:val="center"/>
                  </w:pPr>
                  <w:r>
                    <w:rPr>
                      <w:rFonts w:hint="eastAsia"/>
                    </w:rPr>
                    <w:t>4.84</w:t>
                  </w:r>
                </w:p>
              </w:tc>
            </w:tr>
            <w:tr>
              <w:trPr>
                <w:trHeight w:val="194" w:hRule="atLeast"/>
                <w:jc w:val="center"/>
              </w:trPr>
              <w:tc>
                <w:tcPr>
                  <w:tcW w:w="3415" w:type="dxa"/>
                  <w:tcBorders>
                    <w:top w:val="nil"/>
                    <w:left w:val="single" w:color="auto" w:sz="4" w:space="0"/>
                    <w:bottom w:val="single" w:color="auto" w:sz="4" w:space="0"/>
                    <w:right w:val="single" w:color="auto" w:sz="4" w:space="0"/>
                  </w:tcBorders>
                  <w:shd w:val="clear" w:color="auto" w:fill="auto"/>
                  <w:noWrap/>
                  <w:vAlign w:val="bottom"/>
                </w:tcPr>
                <w:p>
                  <w:pPr>
                    <w:widowControl/>
                    <w:spacing w:line="240" w:lineRule="auto"/>
                    <w:jc w:val="center"/>
                  </w:pPr>
                  <w:r>
                    <w:rPr>
                      <w:rFonts w:hint="eastAsia"/>
                    </w:rPr>
                    <w:t>中国中免</w:t>
                  </w:r>
                </w:p>
              </w:tc>
              <w:tc>
                <w:tcPr>
                  <w:tcW w:w="3312" w:type="dxa"/>
                  <w:tcBorders>
                    <w:top w:val="nil"/>
                    <w:left w:val="nil"/>
                    <w:bottom w:val="single" w:color="auto" w:sz="4" w:space="0"/>
                    <w:right w:val="single" w:color="auto" w:sz="4" w:space="0"/>
                  </w:tcBorders>
                  <w:shd w:val="clear" w:color="auto" w:fill="auto"/>
                  <w:noWrap/>
                  <w:vAlign w:val="bottom"/>
                </w:tcPr>
                <w:p>
                  <w:pPr>
                    <w:widowControl/>
                    <w:spacing w:line="240" w:lineRule="auto"/>
                    <w:jc w:val="center"/>
                  </w:pPr>
                  <w:r>
                    <w:rPr>
                      <w:rFonts w:hint="eastAsia"/>
                    </w:rPr>
                    <w:t>4.59</w:t>
                  </w:r>
                </w:p>
              </w:tc>
            </w:tr>
            <w:tr>
              <w:tblPrEx>
                <w:tblCellMar>
                  <w:top w:w="0" w:type="dxa"/>
                  <w:left w:w="108" w:type="dxa"/>
                  <w:bottom w:w="0" w:type="dxa"/>
                  <w:right w:w="108" w:type="dxa"/>
                </w:tblCellMar>
              </w:tblPrEx>
              <w:trPr>
                <w:trHeight w:val="194" w:hRule="atLeast"/>
                <w:jc w:val="center"/>
              </w:trPr>
              <w:tc>
                <w:tcPr>
                  <w:tcW w:w="3415" w:type="dxa"/>
                  <w:tcBorders>
                    <w:top w:val="nil"/>
                    <w:left w:val="single" w:color="auto" w:sz="4" w:space="0"/>
                    <w:bottom w:val="single" w:color="auto" w:sz="4" w:space="0"/>
                    <w:right w:val="single" w:color="auto" w:sz="4" w:space="0"/>
                  </w:tcBorders>
                  <w:shd w:val="clear" w:color="auto" w:fill="auto"/>
                  <w:noWrap/>
                  <w:vAlign w:val="bottom"/>
                </w:tcPr>
                <w:p>
                  <w:pPr>
                    <w:widowControl/>
                    <w:spacing w:line="240" w:lineRule="auto"/>
                    <w:jc w:val="center"/>
                  </w:pPr>
                  <w:r>
                    <w:rPr>
                      <w:rFonts w:hint="eastAsia"/>
                    </w:rPr>
                    <w:t>恒华科技</w:t>
                  </w:r>
                </w:p>
              </w:tc>
              <w:tc>
                <w:tcPr>
                  <w:tcW w:w="3312" w:type="dxa"/>
                  <w:tcBorders>
                    <w:top w:val="nil"/>
                    <w:left w:val="nil"/>
                    <w:bottom w:val="single" w:color="auto" w:sz="4" w:space="0"/>
                    <w:right w:val="single" w:color="auto" w:sz="4" w:space="0"/>
                  </w:tcBorders>
                  <w:shd w:val="clear" w:color="auto" w:fill="auto"/>
                  <w:noWrap/>
                  <w:vAlign w:val="bottom"/>
                </w:tcPr>
                <w:p>
                  <w:pPr>
                    <w:widowControl/>
                    <w:spacing w:line="240" w:lineRule="auto"/>
                    <w:jc w:val="center"/>
                  </w:pPr>
                  <w:r>
                    <w:rPr>
                      <w:rFonts w:hint="eastAsia"/>
                    </w:rPr>
                    <w:t>4.16</w:t>
                  </w:r>
                </w:p>
              </w:tc>
            </w:tr>
            <w:tr>
              <w:tblPrEx>
                <w:tblCellMar>
                  <w:top w:w="0" w:type="dxa"/>
                  <w:left w:w="108" w:type="dxa"/>
                  <w:bottom w:w="0" w:type="dxa"/>
                  <w:right w:w="108" w:type="dxa"/>
                </w:tblCellMar>
              </w:tblPrEx>
              <w:trPr>
                <w:trHeight w:val="194" w:hRule="atLeast"/>
                <w:jc w:val="center"/>
              </w:trPr>
              <w:tc>
                <w:tcPr>
                  <w:tcW w:w="3415" w:type="dxa"/>
                  <w:tcBorders>
                    <w:top w:val="nil"/>
                    <w:left w:val="single" w:color="auto" w:sz="4" w:space="0"/>
                    <w:bottom w:val="single" w:color="auto" w:sz="4" w:space="0"/>
                    <w:right w:val="single" w:color="auto" w:sz="4" w:space="0"/>
                  </w:tcBorders>
                  <w:shd w:val="clear" w:color="auto" w:fill="auto"/>
                  <w:noWrap/>
                  <w:vAlign w:val="bottom"/>
                </w:tcPr>
                <w:p>
                  <w:pPr>
                    <w:widowControl/>
                    <w:spacing w:line="240" w:lineRule="auto"/>
                    <w:jc w:val="center"/>
                  </w:pPr>
                  <w:r>
                    <w:rPr>
                      <w:rFonts w:hint="eastAsia"/>
                    </w:rPr>
                    <w:t>中芯国际</w:t>
                  </w:r>
                </w:p>
              </w:tc>
              <w:tc>
                <w:tcPr>
                  <w:tcW w:w="3312" w:type="dxa"/>
                  <w:tcBorders>
                    <w:top w:val="nil"/>
                    <w:left w:val="nil"/>
                    <w:bottom w:val="single" w:color="auto" w:sz="4" w:space="0"/>
                    <w:right w:val="single" w:color="auto" w:sz="4" w:space="0"/>
                  </w:tcBorders>
                  <w:shd w:val="clear" w:color="auto" w:fill="auto"/>
                  <w:noWrap/>
                  <w:vAlign w:val="bottom"/>
                </w:tcPr>
                <w:p>
                  <w:pPr>
                    <w:widowControl/>
                    <w:spacing w:line="240" w:lineRule="auto"/>
                    <w:jc w:val="center"/>
                  </w:pPr>
                  <w:r>
                    <w:rPr>
                      <w:rFonts w:hint="eastAsia"/>
                    </w:rPr>
                    <w:t>4.02</w:t>
                  </w:r>
                </w:p>
              </w:tc>
            </w:tr>
            <w:tr>
              <w:trPr>
                <w:trHeight w:val="194" w:hRule="atLeast"/>
                <w:jc w:val="center"/>
              </w:trPr>
              <w:tc>
                <w:tcPr>
                  <w:tcW w:w="3415" w:type="dxa"/>
                  <w:tcBorders>
                    <w:top w:val="nil"/>
                    <w:left w:val="single" w:color="auto" w:sz="4" w:space="0"/>
                    <w:bottom w:val="single" w:color="auto" w:sz="4" w:space="0"/>
                    <w:right w:val="single" w:color="auto" w:sz="4" w:space="0"/>
                  </w:tcBorders>
                  <w:shd w:val="clear" w:color="auto" w:fill="auto"/>
                  <w:noWrap/>
                  <w:vAlign w:val="bottom"/>
                </w:tcPr>
                <w:p>
                  <w:pPr>
                    <w:widowControl/>
                    <w:spacing w:line="240" w:lineRule="auto"/>
                    <w:jc w:val="center"/>
                  </w:pPr>
                  <w:r>
                    <w:rPr>
                      <w:rFonts w:hint="eastAsia"/>
                    </w:rPr>
                    <w:t>北京君正</w:t>
                  </w:r>
                </w:p>
              </w:tc>
              <w:tc>
                <w:tcPr>
                  <w:tcW w:w="3312" w:type="dxa"/>
                  <w:tcBorders>
                    <w:top w:val="nil"/>
                    <w:left w:val="nil"/>
                    <w:bottom w:val="single" w:color="auto" w:sz="4" w:space="0"/>
                    <w:right w:val="single" w:color="auto" w:sz="4" w:space="0"/>
                  </w:tcBorders>
                  <w:shd w:val="clear" w:color="auto" w:fill="auto"/>
                  <w:noWrap/>
                  <w:vAlign w:val="bottom"/>
                </w:tcPr>
                <w:p>
                  <w:pPr>
                    <w:widowControl/>
                    <w:spacing w:line="240" w:lineRule="auto"/>
                    <w:jc w:val="center"/>
                  </w:pPr>
                  <w:r>
                    <w:rPr>
                      <w:rFonts w:hint="eastAsia"/>
                    </w:rPr>
                    <w:t>3.93</w:t>
                  </w:r>
                </w:p>
              </w:tc>
            </w:tr>
            <w:tr>
              <w:tblPrEx>
                <w:tblCellMar>
                  <w:top w:w="0" w:type="dxa"/>
                  <w:left w:w="108" w:type="dxa"/>
                  <w:bottom w:w="0" w:type="dxa"/>
                  <w:right w:w="108" w:type="dxa"/>
                </w:tblCellMar>
              </w:tblPrEx>
              <w:trPr>
                <w:trHeight w:val="194" w:hRule="atLeast"/>
                <w:jc w:val="center"/>
              </w:trPr>
              <w:tc>
                <w:tcPr>
                  <w:tcW w:w="3415" w:type="dxa"/>
                  <w:tcBorders>
                    <w:top w:val="nil"/>
                    <w:left w:val="single" w:color="auto" w:sz="4" w:space="0"/>
                    <w:bottom w:val="single" w:color="auto" w:sz="4" w:space="0"/>
                    <w:right w:val="single" w:color="auto" w:sz="4" w:space="0"/>
                  </w:tcBorders>
                  <w:shd w:val="clear" w:color="auto" w:fill="auto"/>
                  <w:noWrap/>
                  <w:vAlign w:val="bottom"/>
                </w:tcPr>
                <w:p>
                  <w:pPr>
                    <w:widowControl/>
                    <w:spacing w:line="240" w:lineRule="auto"/>
                    <w:jc w:val="center"/>
                  </w:pPr>
                  <w:r>
                    <w:rPr>
                      <w:rFonts w:hint="eastAsia"/>
                    </w:rPr>
                    <w:t>前十大重仓股总计</w:t>
                  </w:r>
                </w:p>
              </w:tc>
              <w:tc>
                <w:tcPr>
                  <w:tcW w:w="3312" w:type="dxa"/>
                  <w:tcBorders>
                    <w:top w:val="nil"/>
                    <w:left w:val="nil"/>
                    <w:bottom w:val="single" w:color="auto" w:sz="4" w:space="0"/>
                    <w:right w:val="single" w:color="auto" w:sz="4" w:space="0"/>
                  </w:tcBorders>
                  <w:shd w:val="clear" w:color="auto" w:fill="auto"/>
                  <w:noWrap/>
                  <w:vAlign w:val="bottom"/>
                </w:tcPr>
                <w:p>
                  <w:pPr>
                    <w:widowControl/>
                    <w:spacing w:line="240" w:lineRule="auto"/>
                    <w:jc w:val="center"/>
                  </w:pPr>
                  <w:r>
                    <w:rPr>
                      <w:rFonts w:hint="eastAsia"/>
                    </w:rPr>
                    <w:t>50.6</w:t>
                  </w:r>
                  <w:r>
                    <w:t>4</w:t>
                  </w:r>
                </w:p>
              </w:tc>
            </w:tr>
          </w:tbl>
          <w:p>
            <w:pPr>
              <w:pStyle w:val="2"/>
            </w:pPr>
          </w:p>
          <w:p>
            <w:pPr>
              <w:widowControl/>
              <w:spacing w:line="240" w:lineRule="auto"/>
              <w:jc w:val="left"/>
            </w:pPr>
            <w:r>
              <w:rPr>
                <w:rFonts w:hint="eastAsia"/>
              </w:rPr>
              <w:t>3、产品费率结构：</w:t>
            </w:r>
          </w:p>
          <w:tbl>
            <w:tblPr>
              <w:tblStyle w:val="5"/>
              <w:tblW w:w="9567" w:type="dxa"/>
              <w:jc w:val="center"/>
              <w:tblLayout w:type="fixed"/>
              <w:tblCellMar>
                <w:top w:w="0" w:type="dxa"/>
                <w:left w:w="108" w:type="dxa"/>
                <w:bottom w:w="0" w:type="dxa"/>
                <w:right w:w="108" w:type="dxa"/>
              </w:tblCellMar>
            </w:tblPr>
            <w:tblGrid>
              <w:gridCol w:w="1076"/>
              <w:gridCol w:w="1076"/>
              <w:gridCol w:w="1076"/>
              <w:gridCol w:w="2890"/>
              <w:gridCol w:w="3449"/>
            </w:tblGrid>
            <w:tr>
              <w:tblPrEx>
                <w:tblCellMar>
                  <w:top w:w="0" w:type="dxa"/>
                  <w:left w:w="108" w:type="dxa"/>
                  <w:bottom w:w="0" w:type="dxa"/>
                  <w:right w:w="108" w:type="dxa"/>
                </w:tblCellMar>
              </w:tblPrEx>
              <w:trPr>
                <w:trHeight w:val="191" w:hRule="atLeast"/>
                <w:jc w:val="center"/>
              </w:trPr>
              <w:tc>
                <w:tcPr>
                  <w:tcW w:w="107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jc w:val="center"/>
                  </w:pPr>
                  <w:r>
                    <w:rPr>
                      <w:rFonts w:hint="eastAsia"/>
                    </w:rPr>
                    <w:t>基金费率</w:t>
                  </w:r>
                </w:p>
              </w:tc>
              <w:tc>
                <w:tcPr>
                  <w:tcW w:w="107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pPr>
                  <w:r>
                    <w:rPr>
                      <w:rFonts w:hint="eastAsia"/>
                    </w:rPr>
                    <w:t>管理费</w:t>
                  </w:r>
                </w:p>
              </w:tc>
              <w:tc>
                <w:tcPr>
                  <w:tcW w:w="107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pPr>
                  <w:r>
                    <w:rPr>
                      <w:rFonts w:hint="eastAsia"/>
                    </w:rPr>
                    <w:t>托管费</w:t>
                  </w:r>
                </w:p>
              </w:tc>
              <w:tc>
                <w:tcPr>
                  <w:tcW w:w="2890"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pPr>
                  <w:r>
                    <w:rPr>
                      <w:rFonts w:hint="eastAsia"/>
                    </w:rPr>
                    <w:t>申购费</w:t>
                  </w:r>
                </w:p>
              </w:tc>
              <w:tc>
                <w:tcPr>
                  <w:tcW w:w="3449"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pPr>
                  <w:r>
                    <w:rPr>
                      <w:rFonts w:hint="eastAsia"/>
                    </w:rPr>
                    <w:t>赎回费</w:t>
                  </w:r>
                </w:p>
              </w:tc>
            </w:tr>
            <w:tr>
              <w:tblPrEx>
                <w:tblCellMar>
                  <w:top w:w="0" w:type="dxa"/>
                  <w:left w:w="108" w:type="dxa"/>
                  <w:bottom w:w="0" w:type="dxa"/>
                  <w:right w:w="108" w:type="dxa"/>
                </w:tblCellMar>
              </w:tblPrEx>
              <w:trPr>
                <w:trHeight w:val="2345" w:hRule="atLeast"/>
                <w:jc w:val="center"/>
              </w:trPr>
              <w:tc>
                <w:tcPr>
                  <w:tcW w:w="107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jc w:val="center"/>
                  </w:pPr>
                </w:p>
                <w:p>
                  <w:pPr>
                    <w:widowControl/>
                    <w:spacing w:line="240" w:lineRule="auto"/>
                    <w:jc w:val="center"/>
                  </w:pPr>
                </w:p>
                <w:p>
                  <w:pPr>
                    <w:widowControl/>
                    <w:spacing w:line="240" w:lineRule="auto"/>
                    <w:jc w:val="center"/>
                  </w:pPr>
                </w:p>
                <w:p>
                  <w:pPr>
                    <w:widowControl/>
                    <w:spacing w:line="240" w:lineRule="auto"/>
                    <w:jc w:val="center"/>
                  </w:pPr>
                  <w:r>
                    <w:rPr>
                      <w:rFonts w:hint="eastAsia"/>
                    </w:rPr>
                    <w:t>华安智能生活A</w:t>
                  </w:r>
                </w:p>
                <w:p>
                  <w:pPr>
                    <w:pStyle w:val="2"/>
                    <w:jc w:val="center"/>
                  </w:pPr>
                </w:p>
                <w:p>
                  <w:pPr>
                    <w:pStyle w:val="2"/>
                    <w:ind w:left="0" w:leftChars="0"/>
                  </w:pPr>
                </w:p>
                <w:p>
                  <w:pPr>
                    <w:pStyle w:val="2"/>
                    <w:ind w:left="0" w:leftChars="0"/>
                  </w:pPr>
                </w:p>
              </w:tc>
              <w:tc>
                <w:tcPr>
                  <w:tcW w:w="107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jc w:val="center"/>
                  </w:pPr>
                  <w:r>
                    <w:rPr>
                      <w:rFonts w:hint="eastAsia"/>
                    </w:rPr>
                    <w:t>1.50%</w:t>
                  </w:r>
                </w:p>
              </w:tc>
              <w:tc>
                <w:tcPr>
                  <w:tcW w:w="107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jc w:val="center"/>
                  </w:pPr>
                  <w:r>
                    <w:rPr>
                      <w:rFonts w:hint="eastAsia"/>
                    </w:rPr>
                    <w:t>0.25%</w:t>
                  </w:r>
                </w:p>
              </w:tc>
              <w:tc>
                <w:tcPr>
                  <w:tcW w:w="289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420" w:firstLineChars="200"/>
                  </w:pPr>
                  <w:r>
                    <w:rPr>
                      <w:rFonts w:hint="eastAsia"/>
                    </w:rPr>
                    <w:t>单笔申购金额</w:t>
                  </w:r>
                </w:p>
                <w:p>
                  <w:pPr>
                    <w:widowControl/>
                    <w:spacing w:line="240" w:lineRule="auto"/>
                    <w:jc w:val="center"/>
                  </w:pPr>
                  <w:r>
                    <w:rPr>
                      <w:rFonts w:hint="eastAsia"/>
                    </w:rPr>
                    <w:t>100万元以下 1.5%</w:t>
                  </w:r>
                </w:p>
                <w:p>
                  <w:pPr>
                    <w:widowControl/>
                    <w:spacing w:line="240" w:lineRule="auto"/>
                    <w:jc w:val="center"/>
                  </w:pPr>
                  <w:r>
                    <w:rPr>
                      <w:rFonts w:hint="eastAsia"/>
                    </w:rPr>
                    <w:t>100~300万元 1.2%</w:t>
                  </w:r>
                </w:p>
                <w:p>
                  <w:pPr>
                    <w:widowControl/>
                    <w:spacing w:line="240" w:lineRule="auto"/>
                    <w:jc w:val="center"/>
                  </w:pPr>
                  <w:r>
                    <w:rPr>
                      <w:rFonts w:hint="eastAsia"/>
                    </w:rPr>
                    <w:t>300~500万元 0.75%</w:t>
                  </w:r>
                </w:p>
                <w:p>
                  <w:pPr>
                    <w:widowControl/>
                    <w:spacing w:line="240" w:lineRule="auto"/>
                    <w:jc w:val="center"/>
                  </w:pPr>
                  <w:r>
                    <w:rPr>
                      <w:rFonts w:hint="eastAsia"/>
                    </w:rPr>
                    <w:t>500万元以上 1000元/笔</w:t>
                  </w:r>
                </w:p>
              </w:tc>
              <w:tc>
                <w:tcPr>
                  <w:tcW w:w="344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jc w:val="center"/>
                  </w:pPr>
                </w:p>
                <w:p>
                  <w:pPr>
                    <w:widowControl/>
                    <w:spacing w:line="240" w:lineRule="auto"/>
                    <w:jc w:val="center"/>
                  </w:pPr>
                  <w:r>
                    <w:rPr>
                      <w:rFonts w:hint="eastAsia"/>
                    </w:rPr>
                    <w:t>普通投资群体:</w:t>
                  </w:r>
                </w:p>
                <w:p>
                  <w:pPr>
                    <w:widowControl/>
                    <w:spacing w:line="240" w:lineRule="auto"/>
                    <w:jc w:val="center"/>
                  </w:pPr>
                  <w:r>
                    <w:rPr>
                      <w:rFonts w:hint="eastAsia"/>
                    </w:rPr>
                    <w:t>1~6日 1.5%;</w:t>
                  </w:r>
                </w:p>
                <w:p>
                  <w:pPr>
                    <w:widowControl/>
                    <w:spacing w:line="240" w:lineRule="auto"/>
                    <w:jc w:val="center"/>
                  </w:pPr>
                  <w:r>
                    <w:rPr>
                      <w:rFonts w:hint="eastAsia"/>
                    </w:rPr>
                    <w:t>7~29日 0.75%;</w:t>
                  </w:r>
                </w:p>
                <w:p>
                  <w:pPr>
                    <w:widowControl/>
                    <w:spacing w:line="240" w:lineRule="auto"/>
                    <w:jc w:val="center"/>
                  </w:pPr>
                  <w:r>
                    <w:rPr>
                      <w:rFonts w:hint="eastAsia"/>
                    </w:rPr>
                    <w:t>30~364日 0.5%;</w:t>
                  </w:r>
                </w:p>
                <w:p>
                  <w:pPr>
                    <w:widowControl/>
                    <w:spacing w:line="240" w:lineRule="auto"/>
                    <w:jc w:val="center"/>
                  </w:pPr>
                  <w:r>
                    <w:rPr>
                      <w:rFonts w:hint="eastAsia"/>
                    </w:rPr>
                    <w:t>356~729日 0.25%</w:t>
                  </w:r>
                </w:p>
                <w:p>
                  <w:pPr>
                    <w:widowControl/>
                    <w:spacing w:line="240" w:lineRule="auto"/>
                    <w:jc w:val="center"/>
                  </w:pPr>
                  <w:r>
                    <w:rPr>
                      <w:rFonts w:hint="eastAsia"/>
                    </w:rPr>
                    <w:t>730日及以上 0%</w:t>
                  </w:r>
                </w:p>
                <w:p>
                  <w:pPr>
                    <w:widowControl/>
                    <w:spacing w:line="240" w:lineRule="auto"/>
                    <w:jc w:val="center"/>
                  </w:pPr>
                </w:p>
                <w:p>
                  <w:pPr>
                    <w:widowControl/>
                    <w:spacing w:line="240" w:lineRule="auto"/>
                    <w:jc w:val="center"/>
                  </w:pPr>
                </w:p>
              </w:tc>
            </w:tr>
            <w:tr>
              <w:tblPrEx>
                <w:tblCellMar>
                  <w:top w:w="0" w:type="dxa"/>
                  <w:left w:w="108" w:type="dxa"/>
                  <w:bottom w:w="0" w:type="dxa"/>
                  <w:right w:w="108" w:type="dxa"/>
                </w:tblCellMar>
              </w:tblPrEx>
              <w:trPr>
                <w:trHeight w:val="2613" w:hRule="atLeast"/>
                <w:jc w:val="center"/>
              </w:trPr>
              <w:tc>
                <w:tcPr>
                  <w:tcW w:w="107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jc w:val="center"/>
                  </w:pPr>
                  <w:r>
                    <w:rPr>
                      <w:rFonts w:hint="eastAsia"/>
                    </w:rPr>
                    <w:t>华安智能生活C</w:t>
                  </w:r>
                </w:p>
              </w:tc>
              <w:tc>
                <w:tcPr>
                  <w:tcW w:w="107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jc w:val="center"/>
                  </w:pPr>
                  <w:r>
                    <w:rPr>
                      <w:rFonts w:hint="eastAsia"/>
                    </w:rPr>
                    <w:t>1.50%</w:t>
                  </w:r>
                </w:p>
              </w:tc>
              <w:tc>
                <w:tcPr>
                  <w:tcW w:w="107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jc w:val="center"/>
                  </w:pPr>
                  <w:r>
                    <w:rPr>
                      <w:rFonts w:hint="eastAsia"/>
                    </w:rPr>
                    <w:t>0.25%</w:t>
                  </w:r>
                </w:p>
              </w:tc>
              <w:tc>
                <w:tcPr>
                  <w:tcW w:w="289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jc w:val="center"/>
                  </w:pPr>
                  <w:r>
                    <w:rPr>
                      <w:rFonts w:hint="eastAsia"/>
                    </w:rPr>
                    <w:t>0</w:t>
                  </w:r>
                  <w:r>
                    <w:t>%</w:t>
                  </w:r>
                </w:p>
              </w:tc>
              <w:tc>
                <w:tcPr>
                  <w:tcW w:w="344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jc w:val="center"/>
                  </w:pPr>
                  <w:r>
                    <w:rPr>
                      <w:rFonts w:hint="eastAsia"/>
                    </w:rPr>
                    <w:t>普通投资群体:</w:t>
                  </w:r>
                </w:p>
                <w:p>
                  <w:pPr>
                    <w:widowControl/>
                    <w:spacing w:line="240" w:lineRule="auto"/>
                    <w:jc w:val="center"/>
                  </w:pPr>
                  <w:r>
                    <w:rPr>
                      <w:rFonts w:hint="eastAsia"/>
                    </w:rPr>
                    <w:t>1~6日：1.5%</w:t>
                  </w:r>
                </w:p>
                <w:p>
                  <w:pPr>
                    <w:widowControl/>
                    <w:spacing w:line="240" w:lineRule="auto"/>
                    <w:jc w:val="center"/>
                  </w:pPr>
                  <w:r>
                    <w:rPr>
                      <w:rFonts w:hint="eastAsia"/>
                    </w:rPr>
                    <w:t>7~29日：0.5%</w:t>
                  </w:r>
                </w:p>
                <w:p>
                  <w:pPr>
                    <w:widowControl/>
                    <w:spacing w:line="240" w:lineRule="auto"/>
                    <w:jc w:val="center"/>
                  </w:pPr>
                  <w:r>
                    <w:rPr>
                      <w:rFonts w:hint="eastAsia"/>
                    </w:rPr>
                    <w:t>30日及以上：0%</w:t>
                  </w:r>
                </w:p>
                <w:p>
                  <w:pPr>
                    <w:widowControl/>
                    <w:spacing w:line="240" w:lineRule="auto"/>
                    <w:jc w:val="center"/>
                  </w:pPr>
                </w:p>
              </w:tc>
            </w:tr>
          </w:tbl>
          <w:p>
            <w:pPr>
              <w:pStyle w:val="2"/>
            </w:pPr>
          </w:p>
          <w:p>
            <w:pPr>
              <w:pStyle w:val="2"/>
              <w:widowControl/>
              <w:spacing w:line="240" w:lineRule="auto"/>
              <w:ind w:left="0" w:leftChars="0"/>
              <w:jc w:val="left"/>
            </w:pPr>
            <w:r>
              <w:rPr>
                <w:rFonts w:hint="eastAsia"/>
              </w:rPr>
              <w:t>4、产品持有人结构：2021年半年报显示，机构投资者占比38.22%，持有人结构较为分散，流动性风险较低。</w:t>
            </w:r>
          </w:p>
          <w:p>
            <w:pPr>
              <w:widowControl/>
              <w:spacing w:line="240" w:lineRule="auto"/>
              <w:jc w:val="left"/>
            </w:pPr>
          </w:p>
          <w:p>
            <w:pPr>
              <w:widowControl/>
              <w:spacing w:line="240" w:lineRule="auto"/>
              <w:jc w:val="left"/>
            </w:pPr>
            <w:r>
              <w:rPr>
                <w:rFonts w:hint="eastAsia"/>
              </w:rPr>
              <w:t>三、投资经理及策略情况</w:t>
            </w:r>
          </w:p>
          <w:p>
            <w:pPr>
              <w:widowControl/>
              <w:spacing w:line="240" w:lineRule="auto"/>
              <w:jc w:val="left"/>
            </w:pPr>
            <w:r>
              <w:rPr>
                <w:rFonts w:hint="eastAsia"/>
              </w:rPr>
              <w:t>1、基金经理：华安智能生活混合基金经理胡宜斌先生，硕士研究生，拥有8年证券、基金从业经历。胡宜斌先生曾任杭州核新同花顺股份有限公司产品经理、长江证券股份有限公司研究员、上投摩根基金管理有限公司研究员，拥有软件产业的从业背景和从卖方到买方的丰富的研究经历，对行业有深刻敏锐的理解。投资风格明晰，只会购买自己深入研究、确定性高的标的，控制组合持股数量，持股较为集中。该基金经理具备较强的学习精神，他认为在当前信息传播高速快捷的背景下，未来基金业绩的取胜将主要取决于基金经理的勤勉研究以及不断学习新知识的能力，通过及时、大量地研究和挖掘公开信息中的隐藏线索，从而及早调研并把握投资机会。</w:t>
            </w:r>
          </w:p>
          <w:p>
            <w:r>
              <w:rPr>
                <w:rFonts w:hint="eastAsia"/>
              </w:rPr>
              <w:t>2、基金经理业绩情况：代表产品华安智能生活混合（以初始份额A份额为例进行业绩展示，A份额代码006879）成立至今累计收益156.73%（截至2021年11月08日）；胡宜斌自2019年5月8日开始管理华安智能生活基金，2021年该基金收益率32.12%，同期同类排名129/1536（wind，截至2021年11月08日）。</w:t>
            </w:r>
          </w:p>
          <w:p>
            <w:pPr>
              <w:pStyle w:val="2"/>
            </w:pPr>
          </w:p>
          <w:tbl>
            <w:tblPr>
              <w:tblStyle w:val="5"/>
              <w:tblW w:w="0" w:type="auto"/>
              <w:jc w:val="center"/>
              <w:tblLayout w:type="fixed"/>
              <w:tblCellMar>
                <w:top w:w="0" w:type="dxa"/>
                <w:left w:w="108" w:type="dxa"/>
                <w:bottom w:w="0" w:type="dxa"/>
                <w:right w:w="108" w:type="dxa"/>
              </w:tblCellMar>
            </w:tblPr>
            <w:tblGrid>
              <w:gridCol w:w="2316"/>
              <w:gridCol w:w="1176"/>
              <w:gridCol w:w="1056"/>
              <w:gridCol w:w="1151"/>
              <w:gridCol w:w="1184"/>
            </w:tblGrid>
            <w:tr>
              <w:tblPrEx>
                <w:tblCellMar>
                  <w:top w:w="0" w:type="dxa"/>
                  <w:left w:w="108" w:type="dxa"/>
                  <w:bottom w:w="0" w:type="dxa"/>
                  <w:right w:w="108" w:type="dxa"/>
                </w:tblCellMar>
              </w:tblPrEx>
              <w:trPr>
                <w:trHeight w:val="285" w:hRule="atLeast"/>
                <w:jc w:val="center"/>
              </w:trPr>
              <w:tc>
                <w:tcPr>
                  <w:tcW w:w="6883" w:type="dxa"/>
                  <w:gridSpan w:val="5"/>
                  <w:tcBorders>
                    <w:top w:val="single" w:color="auto" w:sz="4" w:space="0"/>
                    <w:left w:val="single" w:color="auto" w:sz="4" w:space="0"/>
                    <w:bottom w:val="single" w:color="auto" w:sz="4" w:space="0"/>
                    <w:right w:val="single" w:color="auto" w:sz="4" w:space="0"/>
                  </w:tcBorders>
                  <w:shd w:val="clear" w:color="auto" w:fill="auto"/>
                  <w:noWrap/>
                </w:tcPr>
                <w:p>
                  <w:pPr>
                    <w:widowControl/>
                    <w:spacing w:line="240" w:lineRule="auto"/>
                    <w:jc w:val="center"/>
                  </w:pPr>
                  <w:r>
                    <w:rPr>
                      <w:rFonts w:hint="eastAsia"/>
                    </w:rPr>
                    <w:t>胡宜斌管理基金业绩情况（%）</w:t>
                  </w:r>
                </w:p>
              </w:tc>
            </w:tr>
            <w:tr>
              <w:tblPrEx>
                <w:tblCellMar>
                  <w:top w:w="0" w:type="dxa"/>
                  <w:left w:w="108" w:type="dxa"/>
                  <w:bottom w:w="0" w:type="dxa"/>
                  <w:right w:w="108" w:type="dxa"/>
                </w:tblCellMar>
              </w:tblPrEx>
              <w:trPr>
                <w:trHeight w:val="285" w:hRule="atLeast"/>
                <w:jc w:val="center"/>
              </w:trPr>
              <w:tc>
                <w:tcPr>
                  <w:tcW w:w="2316" w:type="dxa"/>
                  <w:tcBorders>
                    <w:top w:val="nil"/>
                    <w:left w:val="single" w:color="auto" w:sz="4" w:space="0"/>
                    <w:bottom w:val="single" w:color="auto" w:sz="4" w:space="0"/>
                    <w:right w:val="single" w:color="auto" w:sz="4" w:space="0"/>
                  </w:tcBorders>
                  <w:shd w:val="clear" w:color="auto" w:fill="auto"/>
                  <w:noWrap/>
                </w:tcPr>
                <w:p>
                  <w:pPr>
                    <w:widowControl/>
                    <w:spacing w:line="240" w:lineRule="auto"/>
                    <w:jc w:val="center"/>
                  </w:pPr>
                  <w:r>
                    <w:rPr>
                      <w:rFonts w:hint="eastAsia"/>
                    </w:rPr>
                    <w:t>年份</w:t>
                  </w:r>
                </w:p>
              </w:tc>
              <w:tc>
                <w:tcPr>
                  <w:tcW w:w="1176" w:type="dxa"/>
                  <w:tcBorders>
                    <w:top w:val="nil"/>
                    <w:left w:val="nil"/>
                    <w:bottom w:val="single" w:color="auto" w:sz="4" w:space="0"/>
                    <w:right w:val="single" w:color="auto" w:sz="4" w:space="0"/>
                  </w:tcBorders>
                  <w:shd w:val="clear" w:color="auto" w:fill="auto"/>
                  <w:noWrap/>
                </w:tcPr>
                <w:p>
                  <w:pPr>
                    <w:widowControl/>
                    <w:spacing w:line="240" w:lineRule="auto"/>
                    <w:jc w:val="center"/>
                  </w:pPr>
                  <w:r>
                    <w:rPr>
                      <w:rFonts w:hint="eastAsia"/>
                    </w:rPr>
                    <w:t>2021</w:t>
                  </w:r>
                </w:p>
              </w:tc>
              <w:tc>
                <w:tcPr>
                  <w:tcW w:w="1056" w:type="dxa"/>
                  <w:tcBorders>
                    <w:top w:val="nil"/>
                    <w:left w:val="nil"/>
                    <w:bottom w:val="single" w:color="auto" w:sz="4" w:space="0"/>
                    <w:right w:val="single" w:color="auto" w:sz="4" w:space="0"/>
                  </w:tcBorders>
                  <w:shd w:val="clear" w:color="auto" w:fill="auto"/>
                  <w:noWrap/>
                </w:tcPr>
                <w:p>
                  <w:pPr>
                    <w:widowControl/>
                    <w:spacing w:line="240" w:lineRule="auto"/>
                    <w:jc w:val="center"/>
                  </w:pPr>
                  <w:r>
                    <w:rPr>
                      <w:rFonts w:hint="eastAsia"/>
                    </w:rPr>
                    <w:t>2020</w:t>
                  </w:r>
                </w:p>
              </w:tc>
              <w:tc>
                <w:tcPr>
                  <w:tcW w:w="1151" w:type="dxa"/>
                  <w:tcBorders>
                    <w:top w:val="nil"/>
                    <w:left w:val="nil"/>
                    <w:bottom w:val="single" w:color="auto" w:sz="4" w:space="0"/>
                    <w:right w:val="single" w:color="auto" w:sz="4" w:space="0"/>
                  </w:tcBorders>
                  <w:shd w:val="clear" w:color="auto" w:fill="auto"/>
                  <w:noWrap/>
                </w:tcPr>
                <w:p>
                  <w:pPr>
                    <w:widowControl/>
                    <w:spacing w:line="240" w:lineRule="auto"/>
                    <w:jc w:val="center"/>
                  </w:pPr>
                  <w:r>
                    <w:rPr>
                      <w:rFonts w:hint="eastAsia"/>
                    </w:rPr>
                    <w:t>2019</w:t>
                  </w:r>
                </w:p>
              </w:tc>
              <w:tc>
                <w:tcPr>
                  <w:tcW w:w="1184" w:type="dxa"/>
                  <w:tcBorders>
                    <w:top w:val="nil"/>
                    <w:left w:val="nil"/>
                    <w:bottom w:val="single" w:color="auto" w:sz="4" w:space="0"/>
                    <w:right w:val="single" w:color="auto" w:sz="4" w:space="0"/>
                  </w:tcBorders>
                  <w:shd w:val="clear" w:color="auto" w:fill="auto"/>
                  <w:noWrap/>
                </w:tcPr>
                <w:p>
                  <w:pPr>
                    <w:widowControl/>
                    <w:spacing w:line="240" w:lineRule="auto"/>
                    <w:jc w:val="center"/>
                  </w:pPr>
                  <w:r>
                    <w:rPr>
                      <w:rFonts w:hint="eastAsia"/>
                    </w:rPr>
                    <w:t>管理以来</w:t>
                  </w:r>
                </w:p>
              </w:tc>
            </w:tr>
            <w:tr>
              <w:tblPrEx>
                <w:tblCellMar>
                  <w:top w:w="0" w:type="dxa"/>
                  <w:left w:w="108" w:type="dxa"/>
                  <w:bottom w:w="0" w:type="dxa"/>
                  <w:right w:w="108" w:type="dxa"/>
                </w:tblCellMar>
              </w:tblPrEx>
              <w:trPr>
                <w:trHeight w:val="285" w:hRule="atLeast"/>
                <w:jc w:val="center"/>
              </w:trPr>
              <w:tc>
                <w:tcPr>
                  <w:tcW w:w="2316" w:type="dxa"/>
                  <w:tcBorders>
                    <w:top w:val="nil"/>
                    <w:left w:val="single" w:color="auto" w:sz="4" w:space="0"/>
                    <w:bottom w:val="single" w:color="auto" w:sz="4" w:space="0"/>
                    <w:right w:val="single" w:color="auto" w:sz="4" w:space="0"/>
                  </w:tcBorders>
                  <w:shd w:val="clear" w:color="auto" w:fill="auto"/>
                  <w:noWrap/>
                </w:tcPr>
                <w:p>
                  <w:pPr>
                    <w:widowControl/>
                    <w:spacing w:line="240" w:lineRule="auto"/>
                    <w:jc w:val="center"/>
                  </w:pPr>
                  <w:r>
                    <w:rPr>
                      <w:rFonts w:hint="eastAsia"/>
                    </w:rPr>
                    <w:t>华安智能生活混合A</w:t>
                  </w:r>
                </w:p>
              </w:tc>
              <w:tc>
                <w:tcPr>
                  <w:tcW w:w="1176" w:type="dxa"/>
                  <w:tcBorders>
                    <w:top w:val="nil"/>
                    <w:left w:val="nil"/>
                    <w:bottom w:val="single" w:color="auto" w:sz="4" w:space="0"/>
                    <w:right w:val="single" w:color="auto" w:sz="4" w:space="0"/>
                  </w:tcBorders>
                  <w:shd w:val="clear" w:color="auto" w:fill="auto"/>
                  <w:noWrap/>
                </w:tcPr>
                <w:p>
                  <w:pPr>
                    <w:widowControl/>
                    <w:spacing w:line="240" w:lineRule="auto"/>
                    <w:jc w:val="center"/>
                  </w:pPr>
                  <w:r>
                    <w:rPr>
                      <w:rFonts w:hint="eastAsia"/>
                    </w:rPr>
                    <w:t>32.12</w:t>
                  </w:r>
                </w:p>
              </w:tc>
              <w:tc>
                <w:tcPr>
                  <w:tcW w:w="1056" w:type="dxa"/>
                  <w:tcBorders>
                    <w:top w:val="nil"/>
                    <w:left w:val="nil"/>
                    <w:bottom w:val="single" w:color="auto" w:sz="4" w:space="0"/>
                    <w:right w:val="single" w:color="auto" w:sz="4" w:space="0"/>
                  </w:tcBorders>
                  <w:shd w:val="clear" w:color="auto" w:fill="auto"/>
                  <w:noWrap/>
                </w:tcPr>
                <w:p>
                  <w:pPr>
                    <w:widowControl/>
                    <w:spacing w:line="240" w:lineRule="auto"/>
                    <w:jc w:val="center"/>
                  </w:pPr>
                  <w:r>
                    <w:rPr>
                      <w:rFonts w:hint="eastAsia"/>
                    </w:rPr>
                    <w:t>19.90</w:t>
                  </w:r>
                </w:p>
              </w:tc>
              <w:tc>
                <w:tcPr>
                  <w:tcW w:w="1151" w:type="dxa"/>
                  <w:tcBorders>
                    <w:top w:val="nil"/>
                    <w:left w:val="nil"/>
                    <w:bottom w:val="single" w:color="auto" w:sz="4" w:space="0"/>
                    <w:right w:val="single" w:color="auto" w:sz="4" w:space="0"/>
                  </w:tcBorders>
                  <w:shd w:val="clear" w:color="auto" w:fill="auto"/>
                  <w:noWrap/>
                </w:tcPr>
                <w:p>
                  <w:pPr>
                    <w:widowControl/>
                    <w:spacing w:line="240" w:lineRule="auto"/>
                    <w:jc w:val="center"/>
                  </w:pPr>
                  <w:r>
                    <w:rPr>
                      <w:rFonts w:hint="eastAsia"/>
                    </w:rPr>
                    <w:t>62.06</w:t>
                  </w:r>
                </w:p>
              </w:tc>
              <w:tc>
                <w:tcPr>
                  <w:tcW w:w="1184" w:type="dxa"/>
                  <w:tcBorders>
                    <w:top w:val="nil"/>
                    <w:left w:val="nil"/>
                    <w:bottom w:val="single" w:color="auto" w:sz="4" w:space="0"/>
                    <w:right w:val="single" w:color="auto" w:sz="4" w:space="0"/>
                  </w:tcBorders>
                  <w:shd w:val="clear" w:color="auto" w:fill="auto"/>
                  <w:noWrap/>
                </w:tcPr>
                <w:p>
                  <w:pPr>
                    <w:widowControl/>
                    <w:spacing w:line="240" w:lineRule="auto"/>
                    <w:jc w:val="center"/>
                  </w:pPr>
                  <w:r>
                    <w:rPr>
                      <w:rFonts w:hint="eastAsia"/>
                    </w:rPr>
                    <w:t>156.73</w:t>
                  </w:r>
                </w:p>
              </w:tc>
            </w:tr>
            <w:tr>
              <w:tblPrEx>
                <w:tblCellMar>
                  <w:top w:w="0" w:type="dxa"/>
                  <w:left w:w="108" w:type="dxa"/>
                  <w:bottom w:w="0" w:type="dxa"/>
                  <w:right w:w="108" w:type="dxa"/>
                </w:tblCellMar>
              </w:tblPrEx>
              <w:trPr>
                <w:trHeight w:val="285" w:hRule="atLeast"/>
                <w:jc w:val="center"/>
              </w:trPr>
              <w:tc>
                <w:tcPr>
                  <w:tcW w:w="2316" w:type="dxa"/>
                  <w:tcBorders>
                    <w:top w:val="nil"/>
                    <w:left w:val="single" w:color="auto" w:sz="4" w:space="0"/>
                    <w:bottom w:val="single" w:color="auto" w:sz="4" w:space="0"/>
                    <w:right w:val="single" w:color="auto" w:sz="4" w:space="0"/>
                  </w:tcBorders>
                  <w:shd w:val="clear" w:color="auto" w:fill="auto"/>
                  <w:noWrap/>
                </w:tcPr>
                <w:p>
                  <w:pPr>
                    <w:widowControl/>
                    <w:spacing w:line="240" w:lineRule="auto"/>
                    <w:jc w:val="center"/>
                  </w:pPr>
                  <w:r>
                    <w:rPr>
                      <w:rFonts w:hint="eastAsia"/>
                    </w:rPr>
                    <w:t>偏股混合型基金</w:t>
                  </w:r>
                </w:p>
              </w:tc>
              <w:tc>
                <w:tcPr>
                  <w:tcW w:w="1176" w:type="dxa"/>
                  <w:tcBorders>
                    <w:top w:val="nil"/>
                    <w:left w:val="nil"/>
                    <w:bottom w:val="single" w:color="auto" w:sz="4" w:space="0"/>
                    <w:right w:val="single" w:color="auto" w:sz="4" w:space="0"/>
                  </w:tcBorders>
                  <w:shd w:val="clear" w:color="auto" w:fill="auto"/>
                  <w:noWrap/>
                </w:tcPr>
                <w:p>
                  <w:pPr>
                    <w:widowControl/>
                    <w:spacing w:line="240" w:lineRule="auto"/>
                    <w:jc w:val="center"/>
                  </w:pPr>
                  <w:r>
                    <w:rPr>
                      <w:rFonts w:hint="eastAsia"/>
                    </w:rPr>
                    <w:t>6.</w:t>
                  </w:r>
                  <w:r>
                    <w:t>7</w:t>
                  </w:r>
                  <w:r>
                    <w:rPr>
                      <w:rFonts w:hint="eastAsia"/>
                    </w:rPr>
                    <w:t>7</w:t>
                  </w:r>
                </w:p>
              </w:tc>
              <w:tc>
                <w:tcPr>
                  <w:tcW w:w="1056" w:type="dxa"/>
                  <w:tcBorders>
                    <w:top w:val="nil"/>
                    <w:left w:val="nil"/>
                    <w:bottom w:val="single" w:color="auto" w:sz="4" w:space="0"/>
                    <w:right w:val="single" w:color="auto" w:sz="4" w:space="0"/>
                  </w:tcBorders>
                  <w:shd w:val="clear" w:color="auto" w:fill="auto"/>
                  <w:noWrap/>
                </w:tcPr>
                <w:p>
                  <w:pPr>
                    <w:widowControl/>
                    <w:spacing w:line="240" w:lineRule="auto"/>
                    <w:jc w:val="center"/>
                  </w:pPr>
                  <w:r>
                    <w:rPr>
                      <w:rFonts w:hint="eastAsia"/>
                    </w:rPr>
                    <w:t>5</w:t>
                  </w:r>
                  <w:r>
                    <w:t>9.58</w:t>
                  </w:r>
                </w:p>
              </w:tc>
              <w:tc>
                <w:tcPr>
                  <w:tcW w:w="1151" w:type="dxa"/>
                  <w:tcBorders>
                    <w:top w:val="nil"/>
                    <w:left w:val="nil"/>
                    <w:bottom w:val="single" w:color="auto" w:sz="4" w:space="0"/>
                    <w:right w:val="single" w:color="auto" w:sz="4" w:space="0"/>
                  </w:tcBorders>
                  <w:shd w:val="clear" w:color="auto" w:fill="auto"/>
                  <w:noWrap/>
                </w:tcPr>
                <w:p>
                  <w:pPr>
                    <w:widowControl/>
                    <w:spacing w:line="240" w:lineRule="auto"/>
                    <w:jc w:val="center"/>
                  </w:pPr>
                  <w:r>
                    <w:t>21.72</w:t>
                  </w:r>
                </w:p>
              </w:tc>
              <w:tc>
                <w:tcPr>
                  <w:tcW w:w="1184" w:type="dxa"/>
                  <w:tcBorders>
                    <w:top w:val="nil"/>
                    <w:left w:val="nil"/>
                    <w:bottom w:val="single" w:color="auto" w:sz="4" w:space="0"/>
                    <w:right w:val="single" w:color="auto" w:sz="4" w:space="0"/>
                  </w:tcBorders>
                  <w:shd w:val="clear" w:color="auto" w:fill="auto"/>
                  <w:noWrap/>
                </w:tcPr>
                <w:p>
                  <w:pPr>
                    <w:widowControl/>
                    <w:spacing w:line="240" w:lineRule="auto"/>
                    <w:jc w:val="center"/>
                  </w:pPr>
                  <w:r>
                    <w:rPr>
                      <w:rFonts w:hint="eastAsia"/>
                    </w:rPr>
                    <w:t>1</w:t>
                  </w:r>
                  <w:r>
                    <w:t>13.43</w:t>
                  </w:r>
                </w:p>
              </w:tc>
            </w:tr>
            <w:tr>
              <w:tblPrEx>
                <w:tblCellMar>
                  <w:top w:w="0" w:type="dxa"/>
                  <w:left w:w="108" w:type="dxa"/>
                  <w:bottom w:w="0" w:type="dxa"/>
                  <w:right w:w="108" w:type="dxa"/>
                </w:tblCellMar>
              </w:tblPrEx>
              <w:trPr>
                <w:trHeight w:val="285" w:hRule="atLeast"/>
                <w:jc w:val="center"/>
              </w:trPr>
              <w:tc>
                <w:tcPr>
                  <w:tcW w:w="2316" w:type="dxa"/>
                  <w:tcBorders>
                    <w:top w:val="nil"/>
                    <w:left w:val="single" w:color="auto" w:sz="4" w:space="0"/>
                    <w:bottom w:val="single" w:color="auto" w:sz="4" w:space="0"/>
                    <w:right w:val="single" w:color="auto" w:sz="4" w:space="0"/>
                  </w:tcBorders>
                  <w:shd w:val="clear" w:color="auto" w:fill="auto"/>
                  <w:noWrap/>
                </w:tcPr>
                <w:p>
                  <w:pPr>
                    <w:widowControl/>
                    <w:spacing w:line="240" w:lineRule="auto"/>
                    <w:jc w:val="center"/>
                  </w:pPr>
                  <w:r>
                    <w:rPr>
                      <w:rFonts w:hint="eastAsia"/>
                    </w:rPr>
                    <w:t>沪深300指数</w:t>
                  </w:r>
                </w:p>
              </w:tc>
              <w:tc>
                <w:tcPr>
                  <w:tcW w:w="1176" w:type="dxa"/>
                  <w:tcBorders>
                    <w:top w:val="nil"/>
                    <w:left w:val="nil"/>
                    <w:bottom w:val="single" w:color="auto" w:sz="4" w:space="0"/>
                    <w:right w:val="single" w:color="auto" w:sz="4" w:space="0"/>
                  </w:tcBorders>
                  <w:shd w:val="clear" w:color="auto" w:fill="auto"/>
                  <w:noWrap/>
                </w:tcPr>
                <w:p>
                  <w:pPr>
                    <w:widowControl/>
                    <w:spacing w:line="240" w:lineRule="auto"/>
                    <w:jc w:val="center"/>
                  </w:pPr>
                  <w:r>
                    <w:rPr>
                      <w:rFonts w:hint="eastAsia"/>
                    </w:rPr>
                    <w:t>-6.97</w:t>
                  </w:r>
                </w:p>
              </w:tc>
              <w:tc>
                <w:tcPr>
                  <w:tcW w:w="1056" w:type="dxa"/>
                  <w:tcBorders>
                    <w:top w:val="nil"/>
                    <w:left w:val="nil"/>
                    <w:bottom w:val="single" w:color="auto" w:sz="4" w:space="0"/>
                    <w:right w:val="single" w:color="auto" w:sz="4" w:space="0"/>
                  </w:tcBorders>
                  <w:shd w:val="clear" w:color="auto" w:fill="auto"/>
                  <w:noWrap/>
                </w:tcPr>
                <w:p>
                  <w:pPr>
                    <w:widowControl/>
                    <w:spacing w:line="240" w:lineRule="auto"/>
                    <w:jc w:val="center"/>
                  </w:pPr>
                  <w:r>
                    <w:rPr>
                      <w:rFonts w:hint="eastAsia"/>
                    </w:rPr>
                    <w:t>27.21</w:t>
                  </w:r>
                </w:p>
              </w:tc>
              <w:tc>
                <w:tcPr>
                  <w:tcW w:w="1151" w:type="dxa"/>
                  <w:tcBorders>
                    <w:top w:val="nil"/>
                    <w:left w:val="nil"/>
                    <w:bottom w:val="single" w:color="auto" w:sz="4" w:space="0"/>
                    <w:right w:val="single" w:color="auto" w:sz="4" w:space="0"/>
                  </w:tcBorders>
                  <w:shd w:val="clear" w:color="auto" w:fill="auto"/>
                  <w:noWrap/>
                </w:tcPr>
                <w:p>
                  <w:pPr>
                    <w:widowControl/>
                    <w:spacing w:line="240" w:lineRule="auto"/>
                    <w:jc w:val="center"/>
                  </w:pPr>
                  <w:r>
                    <w:t>10.10</w:t>
                  </w:r>
                </w:p>
              </w:tc>
              <w:tc>
                <w:tcPr>
                  <w:tcW w:w="1184" w:type="dxa"/>
                  <w:tcBorders>
                    <w:top w:val="nil"/>
                    <w:left w:val="nil"/>
                    <w:bottom w:val="single" w:color="auto" w:sz="4" w:space="0"/>
                    <w:right w:val="single" w:color="auto" w:sz="4" w:space="0"/>
                  </w:tcBorders>
                  <w:shd w:val="clear" w:color="auto" w:fill="auto"/>
                  <w:noWrap/>
                </w:tcPr>
                <w:p>
                  <w:pPr>
                    <w:widowControl/>
                    <w:spacing w:line="240" w:lineRule="auto"/>
                    <w:jc w:val="center"/>
                  </w:pPr>
                  <w:r>
                    <w:rPr>
                      <w:rFonts w:hint="eastAsia"/>
                    </w:rPr>
                    <w:t>3</w:t>
                  </w:r>
                  <w:r>
                    <w:t>0.30</w:t>
                  </w:r>
                </w:p>
              </w:tc>
            </w:tr>
            <w:tr>
              <w:tblPrEx>
                <w:tblCellMar>
                  <w:top w:w="0" w:type="dxa"/>
                  <w:left w:w="108" w:type="dxa"/>
                  <w:bottom w:w="0" w:type="dxa"/>
                  <w:right w:w="108" w:type="dxa"/>
                </w:tblCellMar>
              </w:tblPrEx>
              <w:trPr>
                <w:trHeight w:val="285" w:hRule="atLeast"/>
                <w:jc w:val="center"/>
              </w:trPr>
              <w:tc>
                <w:tcPr>
                  <w:tcW w:w="2316" w:type="dxa"/>
                  <w:tcBorders>
                    <w:top w:val="nil"/>
                    <w:left w:val="single" w:color="auto" w:sz="4" w:space="0"/>
                    <w:bottom w:val="single" w:color="auto" w:sz="4" w:space="0"/>
                    <w:right w:val="single" w:color="auto" w:sz="4" w:space="0"/>
                  </w:tcBorders>
                  <w:shd w:val="clear" w:color="auto" w:fill="auto"/>
                  <w:noWrap/>
                </w:tcPr>
                <w:p>
                  <w:pPr>
                    <w:widowControl/>
                    <w:spacing w:line="240" w:lineRule="auto"/>
                    <w:jc w:val="center"/>
                  </w:pPr>
                  <w:r>
                    <w:rPr>
                      <w:rFonts w:hint="eastAsia"/>
                    </w:rPr>
                    <w:t>同类排名</w:t>
                  </w:r>
                </w:p>
              </w:tc>
              <w:tc>
                <w:tcPr>
                  <w:tcW w:w="1176" w:type="dxa"/>
                  <w:tcBorders>
                    <w:top w:val="nil"/>
                    <w:left w:val="nil"/>
                    <w:bottom w:val="single" w:color="auto" w:sz="4" w:space="0"/>
                    <w:right w:val="single" w:color="auto" w:sz="4" w:space="0"/>
                  </w:tcBorders>
                  <w:shd w:val="clear" w:color="auto" w:fill="auto"/>
                  <w:noWrap/>
                </w:tcPr>
                <w:p>
                  <w:pPr>
                    <w:widowControl/>
                    <w:spacing w:line="240" w:lineRule="auto"/>
                    <w:jc w:val="center"/>
                  </w:pPr>
                  <w:r>
                    <w:rPr>
                      <w:rFonts w:hint="eastAsia"/>
                    </w:rPr>
                    <w:t>1</w:t>
                  </w:r>
                  <w:r>
                    <w:t>29</w:t>
                  </w:r>
                  <w:r>
                    <w:rPr>
                      <w:rFonts w:hint="eastAsia"/>
                    </w:rPr>
                    <w:t>/1</w:t>
                  </w:r>
                  <w:r>
                    <w:t>536</w:t>
                  </w:r>
                </w:p>
              </w:tc>
              <w:tc>
                <w:tcPr>
                  <w:tcW w:w="1056" w:type="dxa"/>
                  <w:tcBorders>
                    <w:top w:val="nil"/>
                    <w:left w:val="nil"/>
                    <w:bottom w:val="single" w:color="auto" w:sz="4" w:space="0"/>
                    <w:right w:val="single" w:color="auto" w:sz="4" w:space="0"/>
                  </w:tcBorders>
                  <w:shd w:val="clear" w:color="auto" w:fill="auto"/>
                  <w:noWrap/>
                </w:tcPr>
                <w:p>
                  <w:pPr>
                    <w:widowControl/>
                    <w:spacing w:line="240" w:lineRule="auto"/>
                    <w:jc w:val="center"/>
                  </w:pPr>
                  <w:r>
                    <w:t>846</w:t>
                  </w:r>
                  <w:r>
                    <w:rPr>
                      <w:rFonts w:hint="eastAsia"/>
                    </w:rPr>
                    <w:t>/</w:t>
                  </w:r>
                  <w:r>
                    <w:t>885</w:t>
                  </w:r>
                </w:p>
              </w:tc>
              <w:tc>
                <w:tcPr>
                  <w:tcW w:w="1151" w:type="dxa"/>
                  <w:tcBorders>
                    <w:top w:val="nil"/>
                    <w:left w:val="nil"/>
                    <w:bottom w:val="single" w:color="auto" w:sz="4" w:space="0"/>
                    <w:right w:val="single" w:color="auto" w:sz="4" w:space="0"/>
                  </w:tcBorders>
                  <w:shd w:val="clear" w:color="auto" w:fill="auto"/>
                  <w:noWrap/>
                </w:tcPr>
                <w:p>
                  <w:pPr>
                    <w:widowControl/>
                    <w:spacing w:line="240" w:lineRule="auto"/>
                    <w:jc w:val="center"/>
                  </w:pPr>
                  <w:r>
                    <w:t>4</w:t>
                  </w:r>
                  <w:r>
                    <w:rPr>
                      <w:rFonts w:hint="eastAsia"/>
                    </w:rPr>
                    <w:t>/</w:t>
                  </w:r>
                  <w:r>
                    <w:t>735</w:t>
                  </w:r>
                </w:p>
              </w:tc>
              <w:tc>
                <w:tcPr>
                  <w:tcW w:w="1184" w:type="dxa"/>
                  <w:tcBorders>
                    <w:top w:val="nil"/>
                    <w:left w:val="nil"/>
                    <w:bottom w:val="single" w:color="auto" w:sz="4" w:space="0"/>
                    <w:right w:val="single" w:color="auto" w:sz="4" w:space="0"/>
                  </w:tcBorders>
                  <w:shd w:val="clear" w:color="auto" w:fill="auto"/>
                  <w:noWrap/>
                </w:tcPr>
                <w:p>
                  <w:pPr>
                    <w:widowControl/>
                    <w:spacing w:line="240" w:lineRule="auto"/>
                    <w:jc w:val="center"/>
                  </w:pPr>
                  <w:r>
                    <w:rPr>
                      <w:rFonts w:hint="eastAsia"/>
                    </w:rPr>
                    <w:t>1</w:t>
                  </w:r>
                  <w:r>
                    <w:t>43/735</w:t>
                  </w:r>
                </w:p>
              </w:tc>
            </w:tr>
          </w:tbl>
          <w:p>
            <w:r>
              <w:rPr>
                <w:rFonts w:hint="eastAsia"/>
              </w:rPr>
              <w:t>注：数据来源w</w:t>
            </w:r>
            <w:r>
              <w:t>ind</w:t>
            </w:r>
            <w:r>
              <w:rPr>
                <w:rFonts w:hint="eastAsia"/>
              </w:rPr>
              <w:t>，同类排名为在偏股混合型基金中的排名。其中，2</w:t>
            </w:r>
            <w:r>
              <w:t>019</w:t>
            </w:r>
            <w:r>
              <w:rPr>
                <w:rFonts w:hint="eastAsia"/>
              </w:rPr>
              <w:t>年度的统计时间区间为基金成立日2</w:t>
            </w:r>
            <w:r>
              <w:t>019/5/8-2019</w:t>
            </w:r>
            <w:r>
              <w:rPr>
                <w:rFonts w:hint="eastAsia"/>
              </w:rPr>
              <w:t>/</w:t>
            </w:r>
            <w:r>
              <w:t>12/31</w:t>
            </w:r>
            <w:r>
              <w:rPr>
                <w:rFonts w:hint="eastAsia"/>
              </w:rPr>
              <w:t>。</w:t>
            </w:r>
          </w:p>
          <w:p>
            <w:pPr>
              <w:pStyle w:val="2"/>
            </w:pPr>
          </w:p>
          <w:p>
            <w:pPr>
              <w:pStyle w:val="2"/>
              <w:widowControl/>
              <w:spacing w:line="240" w:lineRule="auto"/>
              <w:ind w:left="0" w:leftChars="0"/>
              <w:jc w:val="left"/>
            </w:pPr>
            <w:r>
              <w:rPr>
                <w:rFonts w:hint="eastAsia"/>
              </w:rPr>
              <w:t>3、投资目标及投资策略</w:t>
            </w:r>
          </w:p>
          <w:p>
            <w:pPr>
              <w:pStyle w:val="2"/>
              <w:widowControl/>
              <w:spacing w:line="240" w:lineRule="auto"/>
              <w:ind w:left="0" w:leftChars="0" w:firstLine="420" w:firstLineChars="200"/>
              <w:jc w:val="left"/>
            </w:pPr>
            <w:r>
              <w:rPr>
                <w:rFonts w:hint="eastAsia"/>
              </w:rPr>
              <w:t>投资目标：在严格控制风险的前提下，力争实现基金资产的长期稳健增值。</w:t>
            </w:r>
          </w:p>
          <w:p>
            <w:pPr>
              <w:pStyle w:val="2"/>
              <w:widowControl/>
              <w:spacing w:line="240" w:lineRule="auto"/>
              <w:ind w:left="0" w:leftChars="0" w:firstLine="420" w:firstLineChars="200"/>
              <w:jc w:val="left"/>
            </w:pPr>
            <w:r>
              <w:rPr>
                <w:rFonts w:hint="eastAsia"/>
              </w:rPr>
              <w:t>配置思路：投资策略概括为中观入手，挖掘盈利裂变赛道。主要思路为：1）寻找未来盈利增速最快的行业和赛道——并且这种景气预期是未来1~2年内就能兑现的（区别于主题投资）；2）采用远期动态估值方式对盈利兑现进行估值，例如远期PE、PS、DCF、PB等，寻找安全边际和收益空间，从中发现性价比最高的赛道；3）不断跟踪，伴随政策变化、环境变化动态调整收益空间，及时止损或止盈。</w:t>
            </w:r>
          </w:p>
          <w:p>
            <w:pPr>
              <w:pStyle w:val="2"/>
              <w:widowControl/>
              <w:spacing w:line="240" w:lineRule="auto"/>
              <w:ind w:left="0" w:leftChars="0" w:firstLine="420" w:firstLineChars="200"/>
              <w:jc w:val="left"/>
            </w:pPr>
            <w:r>
              <w:rPr>
                <w:rFonts w:hint="eastAsia"/>
              </w:rPr>
              <w:t>选股思路：1）寻找流动性最高的标的。（定价有效、隐含的产业地位、止损止盈）;2）对标的进行同类型的远期估值；3）基本的排雷工作；4）不断跟踪调整标的，选择估值性价比最高的标的。</w:t>
            </w:r>
          </w:p>
          <w:p>
            <w:pPr>
              <w:pStyle w:val="2"/>
              <w:widowControl/>
              <w:spacing w:line="240" w:lineRule="auto"/>
              <w:ind w:left="0" w:leftChars="0" w:firstLine="420" w:firstLineChars="200"/>
              <w:jc w:val="left"/>
            </w:pPr>
            <w:r>
              <w:rPr>
                <w:rFonts w:hint="eastAsia"/>
              </w:rPr>
              <w:t>持仓情况：投资经理认为新能源、电力相关行业较为景气，持仓主要集中于相关行业。2021年第三季度基金增加了新能源基础设施建设相关的配置、半导体设备和功率半导体相关的配置、以及受益于全球抗病毒药物和疫苗共同推动下服务业修复相关的配置。</w:t>
            </w:r>
          </w:p>
          <w:p>
            <w:pPr>
              <w:pStyle w:val="2"/>
              <w:ind w:left="0" w:leftChars="0"/>
              <w:rPr>
                <w:rFonts w:hint="eastAsia"/>
              </w:rPr>
            </w:pPr>
            <w:r>
              <w:rPr>
                <w:rFonts w:hint="eastAsia"/>
              </w:rPr>
              <w:t>五、申请理由</w:t>
            </w:r>
          </w:p>
          <w:p>
            <w:pPr>
              <w:rPr>
                <w:rFonts w:hint="default" w:eastAsia="仿宋"/>
                <w:lang w:val="en-US" w:eastAsia="zh-CN"/>
              </w:rPr>
            </w:pPr>
            <w:r>
              <w:rPr>
                <w:rFonts w:hint="eastAsia" w:ascii="Calibri" w:hAnsi="Calibri" w:eastAsia="宋体" w:cs="Times New Roman"/>
                <w:kern w:val="2"/>
                <w:sz w:val="21"/>
                <w:szCs w:val="22"/>
                <w:lang w:val="en-US" w:eastAsia="zh-CN" w:bidi="ar-SA"/>
              </w:rPr>
              <w:t>该基金经理深度耕耘于创新</w:t>
            </w:r>
            <w:r>
              <w:rPr>
                <w:rFonts w:hint="eastAsia" w:cs="Times New Roman"/>
                <w:kern w:val="2"/>
                <w:sz w:val="21"/>
                <w:szCs w:val="22"/>
                <w:lang w:val="en-US" w:eastAsia="zh-CN" w:bidi="ar-SA"/>
              </w:rPr>
              <w:t>型</w:t>
            </w:r>
            <w:r>
              <w:rPr>
                <w:rFonts w:hint="eastAsia" w:ascii="Calibri" w:hAnsi="Calibri" w:eastAsia="宋体" w:cs="Times New Roman"/>
                <w:kern w:val="2"/>
                <w:sz w:val="21"/>
                <w:szCs w:val="22"/>
                <w:lang w:val="en-US" w:eastAsia="zh-CN" w:bidi="ar-SA"/>
              </w:rPr>
              <w:t>制造业领域，风格稳定，历史业绩突出，建议入池作为制造业类基金进行配置。</w:t>
            </w:r>
          </w:p>
        </w:tc>
      </w:tr>
      <w:bookmarkEnd w:id="0"/>
    </w:tbl>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F82591"/>
    <w:rsid w:val="001474B9"/>
    <w:rsid w:val="001961BC"/>
    <w:rsid w:val="0020410F"/>
    <w:rsid w:val="002247B4"/>
    <w:rsid w:val="00296CC2"/>
    <w:rsid w:val="002A39D3"/>
    <w:rsid w:val="002D73B4"/>
    <w:rsid w:val="00333906"/>
    <w:rsid w:val="0038302E"/>
    <w:rsid w:val="00387DD9"/>
    <w:rsid w:val="003E4F7D"/>
    <w:rsid w:val="003F5295"/>
    <w:rsid w:val="00417039"/>
    <w:rsid w:val="004816A9"/>
    <w:rsid w:val="004A0DBD"/>
    <w:rsid w:val="004A0FCB"/>
    <w:rsid w:val="004A46A1"/>
    <w:rsid w:val="004B0A95"/>
    <w:rsid w:val="004B1A4C"/>
    <w:rsid w:val="004B5148"/>
    <w:rsid w:val="004C06BA"/>
    <w:rsid w:val="004D7E6A"/>
    <w:rsid w:val="00523D27"/>
    <w:rsid w:val="005461C5"/>
    <w:rsid w:val="005A7108"/>
    <w:rsid w:val="005C1468"/>
    <w:rsid w:val="006050B0"/>
    <w:rsid w:val="00625AE2"/>
    <w:rsid w:val="006B4BF9"/>
    <w:rsid w:val="006D180A"/>
    <w:rsid w:val="006F4B8E"/>
    <w:rsid w:val="007C0FAE"/>
    <w:rsid w:val="007F575F"/>
    <w:rsid w:val="00807F60"/>
    <w:rsid w:val="00905D3A"/>
    <w:rsid w:val="00927737"/>
    <w:rsid w:val="00960CA7"/>
    <w:rsid w:val="00960E70"/>
    <w:rsid w:val="00965DB4"/>
    <w:rsid w:val="00987708"/>
    <w:rsid w:val="00A43D71"/>
    <w:rsid w:val="00A467D3"/>
    <w:rsid w:val="00A70940"/>
    <w:rsid w:val="00A94902"/>
    <w:rsid w:val="00AB7BDB"/>
    <w:rsid w:val="00AF1B64"/>
    <w:rsid w:val="00B461F6"/>
    <w:rsid w:val="00B92588"/>
    <w:rsid w:val="00BB7F80"/>
    <w:rsid w:val="00BF53E4"/>
    <w:rsid w:val="00C223FE"/>
    <w:rsid w:val="00D054FE"/>
    <w:rsid w:val="00D47B2C"/>
    <w:rsid w:val="00D53ECE"/>
    <w:rsid w:val="00D94284"/>
    <w:rsid w:val="00DD6858"/>
    <w:rsid w:val="00DE3EC4"/>
    <w:rsid w:val="00E43851"/>
    <w:rsid w:val="00E6479D"/>
    <w:rsid w:val="00E75E07"/>
    <w:rsid w:val="00E91094"/>
    <w:rsid w:val="00F56E52"/>
    <w:rsid w:val="00FC3E78"/>
    <w:rsid w:val="00FD02AD"/>
    <w:rsid w:val="00FE02CA"/>
    <w:rsid w:val="067176BA"/>
    <w:rsid w:val="0C4F52F3"/>
    <w:rsid w:val="29840955"/>
    <w:rsid w:val="29B2760B"/>
    <w:rsid w:val="2AF82591"/>
    <w:rsid w:val="32BD592E"/>
    <w:rsid w:val="3C3537C5"/>
    <w:rsid w:val="45331F53"/>
    <w:rsid w:val="6B9F2649"/>
    <w:rsid w:val="6D94560D"/>
    <w:rsid w:val="733F0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qFormat="1" w:uiPriority="99"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20" w:lineRule="atLeast"/>
      <w:jc w:val="both"/>
    </w:pPr>
    <w:rPr>
      <w:rFonts w:ascii="Calibri" w:hAnsi="Calibri" w:eastAsia="宋体" w:cs="Times New Roman"/>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table of authorities"/>
    <w:basedOn w:val="1"/>
    <w:next w:val="1"/>
    <w:unhideWhenUsed/>
    <w:qFormat/>
    <w:uiPriority w:val="99"/>
    <w:pPr>
      <w:ind w:left="420" w:leftChars="200"/>
    </w:pPr>
  </w:style>
  <w:style w:type="paragraph" w:styleId="3">
    <w:name w:val="footer"/>
    <w:basedOn w:val="1"/>
    <w:link w:val="9"/>
    <w:qFormat/>
    <w:uiPriority w:val="0"/>
    <w:pPr>
      <w:tabs>
        <w:tab w:val="center" w:pos="4153"/>
        <w:tab w:val="right" w:pos="8306"/>
      </w:tabs>
      <w:snapToGrid w:val="0"/>
      <w:spacing w:line="240" w:lineRule="atLeast"/>
      <w:jc w:val="left"/>
    </w:pPr>
    <w:rPr>
      <w:sz w:val="18"/>
      <w:szCs w:val="18"/>
    </w:rPr>
  </w:style>
  <w:style w:type="paragraph" w:styleId="4">
    <w:name w:val="header"/>
    <w:basedOn w:val="1"/>
    <w:link w:val="8"/>
    <w:qFormat/>
    <w:uiPriority w:val="0"/>
    <w:pPr>
      <w:pBdr>
        <w:bottom w:val="single" w:color="auto" w:sz="6" w:space="1"/>
      </w:pBdr>
      <w:tabs>
        <w:tab w:val="center" w:pos="4153"/>
        <w:tab w:val="right" w:pos="8306"/>
      </w:tabs>
      <w:snapToGrid w:val="0"/>
      <w:spacing w:line="240" w:lineRule="atLeast"/>
      <w:jc w:val="center"/>
    </w:pPr>
    <w:rPr>
      <w:sz w:val="18"/>
      <w:szCs w:val="18"/>
    </w:rPr>
  </w:style>
  <w:style w:type="paragraph" w:styleId="7">
    <w:name w:val="List Paragraph"/>
    <w:basedOn w:val="1"/>
    <w:qFormat/>
    <w:uiPriority w:val="34"/>
    <w:pPr>
      <w:spacing w:line="240" w:lineRule="auto"/>
      <w:ind w:firstLine="420" w:firstLineChars="200"/>
    </w:pPr>
    <w:rPr>
      <w:rFonts w:asciiTheme="minorHAnsi" w:hAnsiTheme="minorHAnsi" w:eastAsiaTheme="minorEastAsia" w:cstheme="minorBidi"/>
    </w:rPr>
  </w:style>
  <w:style w:type="character" w:customStyle="1" w:styleId="8">
    <w:name w:val="页眉 字符"/>
    <w:basedOn w:val="6"/>
    <w:link w:val="4"/>
    <w:qFormat/>
    <w:uiPriority w:val="0"/>
    <w:rPr>
      <w:rFonts w:ascii="Calibri" w:hAnsi="Calibri" w:eastAsia="宋体" w:cs="Times New Roman"/>
      <w:kern w:val="2"/>
      <w:sz w:val="18"/>
      <w:szCs w:val="18"/>
    </w:rPr>
  </w:style>
  <w:style w:type="character" w:customStyle="1" w:styleId="9">
    <w:name w:val="页脚 字符"/>
    <w:basedOn w:val="6"/>
    <w:link w:val="3"/>
    <w:qFormat/>
    <w:uiPriority w:val="0"/>
    <w:rPr>
      <w:rFonts w:ascii="Calibri" w:hAnsi="Calibri" w:eastAsia="宋体" w:cs="Times New Roman"/>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625</Words>
  <Characters>3564</Characters>
  <Lines>29</Lines>
  <Paragraphs>8</Paragraphs>
  <TotalTime>8</TotalTime>
  <ScaleCrop>false</ScaleCrop>
  <LinksUpToDate>false</LinksUpToDate>
  <CharactersWithSpaces>4181</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2021-11-11T01:41:00Z</dcterms:created>
  <dc:creator>admin</dc:creator>
  <cp:lastModifiedBy>霓霓</cp:lastModifiedBy>
  <dcterms:modified xsi:type="dcterms:W3CDTF">2021-11-11T03:35:45Z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4DC15FEBF39F4147A21ED9239CD17D9A</vt:lpwstr>
  </property>
</Properties>
</file>