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370A4" w14:textId="77777777" w:rsidR="00C97F71" w:rsidRDefault="00C97F71">
      <w:pPr>
        <w:spacing w:line="276" w:lineRule="auto"/>
        <w:ind w:leftChars="-295" w:left="3" w:right="964" w:hangingChars="258" w:hanging="622"/>
        <w:jc w:val="left"/>
        <w:rPr>
          <w:rFonts w:ascii="仿宋_GB2312" w:eastAsia="仿宋_GB2312"/>
          <w:b/>
          <w:sz w:val="24"/>
        </w:rPr>
      </w:pPr>
    </w:p>
    <w:p w14:paraId="0025030C" w14:textId="77777777" w:rsidR="00C97F71" w:rsidRDefault="0052098D">
      <w:pPr>
        <w:spacing w:line="276" w:lineRule="auto"/>
        <w:ind w:leftChars="-295" w:left="3" w:right="964" w:hangingChars="258" w:hanging="622"/>
        <w:jc w:val="left"/>
        <w:rPr>
          <w:rFonts w:ascii="仿宋_GB2312" w:eastAsia="仿宋_GB2312"/>
          <w:b/>
          <w:sz w:val="24"/>
        </w:rPr>
      </w:pPr>
      <w:r>
        <w:rPr>
          <w:rFonts w:ascii="仿宋_GB2312" w:eastAsia="仿宋_GB2312" w:hint="eastAsia"/>
          <w:b/>
          <w:sz w:val="24"/>
        </w:rPr>
        <w:t>申请日期：2021年11月1</w:t>
      </w:r>
      <w:r>
        <w:rPr>
          <w:rFonts w:ascii="仿宋_GB2312" w:eastAsia="仿宋_GB2312"/>
          <w:b/>
          <w:sz w:val="24"/>
        </w:rPr>
        <w:t>5</w:t>
      </w:r>
      <w:r>
        <w:rPr>
          <w:rFonts w:ascii="仿宋_GB2312" w:eastAsia="仿宋_GB2312" w:hint="eastAsia"/>
          <w:b/>
          <w:sz w:val="24"/>
        </w:rPr>
        <w:t xml:space="preserve">日 </w:t>
      </w:r>
    </w:p>
    <w:tbl>
      <w:tblPr>
        <w:tblW w:w="10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1"/>
        <w:gridCol w:w="2909"/>
        <w:gridCol w:w="2148"/>
        <w:gridCol w:w="3212"/>
      </w:tblGrid>
      <w:tr w:rsidR="00C97F71" w14:paraId="42B40B60" w14:textId="77777777">
        <w:trPr>
          <w:trHeight w:val="670"/>
          <w:jc w:val="center"/>
        </w:trPr>
        <w:tc>
          <w:tcPr>
            <w:tcW w:w="10720" w:type="dxa"/>
            <w:gridSpan w:val="4"/>
            <w:shd w:val="clear" w:color="auto" w:fill="F2F2F2"/>
            <w:vAlign w:val="center"/>
          </w:tcPr>
          <w:p w14:paraId="26F29111" w14:textId="77777777" w:rsidR="00C97F71" w:rsidRDefault="0052098D">
            <w:pPr>
              <w:spacing w:line="276" w:lineRule="auto"/>
              <w:jc w:val="center"/>
              <w:rPr>
                <w:rFonts w:ascii="仿宋_GB2312" w:eastAsia="仿宋_GB2312" w:hAnsi="仿宋_GB2312" w:cs="仿宋_GB2312"/>
                <w:sz w:val="24"/>
              </w:rPr>
            </w:pPr>
            <w:r>
              <w:rPr>
                <w:rFonts w:ascii="仿宋_GB2312" w:eastAsia="仿宋_GB2312" w:hAnsi="仿宋_GB2312" w:cs="仿宋_GB2312" w:hint="eastAsia"/>
                <w:b/>
                <w:bCs/>
                <w:sz w:val="30"/>
                <w:szCs w:val="30"/>
              </w:rPr>
              <w:t>投资申请信息</w:t>
            </w:r>
          </w:p>
        </w:tc>
      </w:tr>
      <w:tr w:rsidR="00C97F71" w14:paraId="6CA91DD6" w14:textId="77777777">
        <w:trPr>
          <w:trHeight w:val="406"/>
          <w:jc w:val="center"/>
        </w:trPr>
        <w:tc>
          <w:tcPr>
            <w:tcW w:w="2451" w:type="dxa"/>
            <w:vAlign w:val="center"/>
          </w:tcPr>
          <w:p w14:paraId="10252DB5"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发起部门</w:t>
            </w:r>
          </w:p>
        </w:tc>
        <w:tc>
          <w:tcPr>
            <w:tcW w:w="2909" w:type="dxa"/>
            <w:vAlign w:val="center"/>
          </w:tcPr>
          <w:p w14:paraId="7D572555" w14:textId="77777777" w:rsidR="00C97F71" w:rsidRDefault="0052098D">
            <w:pPr>
              <w:spacing w:line="288" w:lineRule="auto"/>
              <w:rPr>
                <w:rFonts w:ascii="仿宋_GB2312" w:eastAsia="仿宋_GB2312" w:hAnsi="仿宋_GB2312" w:cs="仿宋_GB2312"/>
              </w:rPr>
            </w:pPr>
            <w:r>
              <w:rPr>
                <w:rFonts w:ascii="仿宋_GB2312" w:eastAsia="仿宋_GB2312" w:hAnsi="仿宋_GB2312" w:cs="仿宋_GB2312" w:hint="eastAsia"/>
                <w:sz w:val="24"/>
              </w:rPr>
              <w:t>股票投资部</w:t>
            </w:r>
          </w:p>
        </w:tc>
        <w:tc>
          <w:tcPr>
            <w:tcW w:w="2148" w:type="dxa"/>
            <w:vAlign w:val="center"/>
          </w:tcPr>
          <w:p w14:paraId="13403102" w14:textId="77777777" w:rsidR="00C97F71" w:rsidRDefault="0052098D">
            <w:pPr>
              <w:spacing w:line="288" w:lineRule="auto"/>
              <w:rPr>
                <w:rFonts w:ascii="仿宋_GB2312" w:eastAsia="仿宋_GB2312" w:hAnsi="仿宋_GB2312" w:cs="仿宋_GB2312"/>
                <w:sz w:val="24"/>
              </w:rPr>
            </w:pPr>
            <w:r>
              <w:rPr>
                <w:rFonts w:ascii="仿宋_GB2312" w:eastAsia="仿宋_GB2312" w:hAnsi="仿宋_GB2312" w:cs="仿宋_GB2312" w:hint="eastAsia"/>
                <w:b/>
                <w:sz w:val="24"/>
              </w:rPr>
              <w:t>发起人</w:t>
            </w:r>
          </w:p>
        </w:tc>
        <w:tc>
          <w:tcPr>
            <w:tcW w:w="3212" w:type="dxa"/>
            <w:vAlign w:val="center"/>
          </w:tcPr>
          <w:p w14:paraId="20A4C869" w14:textId="28DDA227" w:rsidR="00C97F71" w:rsidRDefault="00DA5B8A">
            <w:pPr>
              <w:spacing w:line="288" w:lineRule="auto"/>
              <w:rPr>
                <w:rFonts w:ascii="仿宋_GB2312" w:eastAsia="仿宋_GB2312" w:hAnsi="仿宋_GB2312" w:cs="仿宋_GB2312"/>
                <w:sz w:val="24"/>
              </w:rPr>
            </w:pPr>
            <w:r>
              <w:rPr>
                <w:rFonts w:ascii="仿宋_GB2312" w:eastAsia="仿宋_GB2312" w:hAnsi="仿宋_GB2312" w:cs="仿宋_GB2312" w:hint="eastAsia"/>
                <w:sz w:val="24"/>
              </w:rPr>
              <w:t>周欣宇</w:t>
            </w:r>
          </w:p>
        </w:tc>
      </w:tr>
      <w:tr w:rsidR="00C97F71" w14:paraId="0CC598A5" w14:textId="77777777">
        <w:trPr>
          <w:trHeight w:val="406"/>
          <w:jc w:val="center"/>
        </w:trPr>
        <w:tc>
          <w:tcPr>
            <w:tcW w:w="2451" w:type="dxa"/>
            <w:vAlign w:val="center"/>
          </w:tcPr>
          <w:p w14:paraId="2EEA95B3"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标的名称</w:t>
            </w:r>
          </w:p>
        </w:tc>
        <w:tc>
          <w:tcPr>
            <w:tcW w:w="2909" w:type="dxa"/>
            <w:vAlign w:val="center"/>
          </w:tcPr>
          <w:p w14:paraId="787DD0B6" w14:textId="77777777" w:rsidR="00C97F71" w:rsidRDefault="0052098D">
            <w:pPr>
              <w:spacing w:line="288" w:lineRule="auto"/>
              <w:rPr>
                <w:rFonts w:ascii="仿宋_GB2312" w:eastAsia="仿宋_GB2312" w:hAnsi="仿宋_GB2312" w:cs="仿宋_GB2312"/>
                <w:sz w:val="24"/>
              </w:rPr>
            </w:pPr>
            <w:r>
              <w:rPr>
                <w:rFonts w:ascii="仿宋_GB2312" w:eastAsia="仿宋_GB2312" w:hAnsi="仿宋_GB2312" w:cs="仿宋_GB2312" w:hint="eastAsia"/>
                <w:sz w:val="24"/>
              </w:rPr>
              <w:t>安信稳健增利（</w:t>
            </w:r>
            <w:r>
              <w:rPr>
                <w:rFonts w:ascii="仿宋_GB2312" w:eastAsia="仿宋_GB2312" w:hAnsi="仿宋_GB2312" w:cs="仿宋_GB2312"/>
                <w:sz w:val="24"/>
              </w:rPr>
              <w:t>009100</w:t>
            </w:r>
            <w:r>
              <w:rPr>
                <w:rFonts w:ascii="仿宋_GB2312" w:eastAsia="仿宋_GB2312" w:hAnsi="仿宋_GB2312" w:cs="仿宋_GB2312" w:hint="eastAsia"/>
                <w:sz w:val="24"/>
              </w:rPr>
              <w:t>）</w:t>
            </w:r>
          </w:p>
        </w:tc>
        <w:tc>
          <w:tcPr>
            <w:tcW w:w="2148" w:type="dxa"/>
            <w:vAlign w:val="center"/>
          </w:tcPr>
          <w:p w14:paraId="0DBCCA69" w14:textId="77777777" w:rsidR="00C97F71" w:rsidRDefault="0052098D">
            <w:pPr>
              <w:spacing w:line="288" w:lineRule="auto"/>
              <w:rPr>
                <w:rFonts w:ascii="仿宋_GB2312" w:eastAsia="仿宋_GB2312" w:hAnsi="仿宋_GB2312" w:cs="仿宋_GB2312"/>
                <w:sz w:val="24"/>
              </w:rPr>
            </w:pPr>
            <w:r>
              <w:rPr>
                <w:rFonts w:ascii="仿宋_GB2312" w:eastAsia="仿宋_GB2312" w:hAnsi="仿宋_GB2312" w:cs="仿宋_GB2312" w:hint="eastAsia"/>
                <w:b/>
                <w:sz w:val="24"/>
              </w:rPr>
              <w:t>投资币种及金额</w:t>
            </w:r>
          </w:p>
        </w:tc>
        <w:tc>
          <w:tcPr>
            <w:tcW w:w="3212" w:type="dxa"/>
            <w:vAlign w:val="center"/>
          </w:tcPr>
          <w:p w14:paraId="1EADCE07" w14:textId="7CDC40B3" w:rsidR="00C97F71" w:rsidRDefault="00DA5B8A">
            <w:pPr>
              <w:spacing w:line="288" w:lineRule="auto"/>
              <w:rPr>
                <w:rFonts w:ascii="仿宋_GB2312" w:eastAsia="仿宋_GB2312" w:hAnsi="仿宋_GB2312" w:cs="仿宋_GB2312"/>
                <w:sz w:val="24"/>
              </w:rPr>
            </w:pPr>
            <w:r>
              <w:rPr>
                <w:rFonts w:ascii="仿宋_GB2312" w:eastAsia="仿宋_GB2312" w:hAnsi="仿宋_GB2312" w:cs="仿宋_GB2312" w:hint="eastAsia"/>
                <w:sz w:val="24"/>
              </w:rPr>
              <w:t>按照机构总持仓限制</w:t>
            </w:r>
          </w:p>
        </w:tc>
      </w:tr>
      <w:tr w:rsidR="00C97F71" w14:paraId="48CB08CB" w14:textId="77777777">
        <w:trPr>
          <w:trHeight w:val="611"/>
          <w:jc w:val="center"/>
        </w:trPr>
        <w:tc>
          <w:tcPr>
            <w:tcW w:w="2451" w:type="dxa"/>
            <w:tcBorders>
              <w:top w:val="single" w:sz="4" w:space="0" w:color="auto"/>
              <w:bottom w:val="single" w:sz="4" w:space="0" w:color="auto"/>
            </w:tcBorders>
            <w:vAlign w:val="center"/>
          </w:tcPr>
          <w:p w14:paraId="137DAAF7"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业务品种</w:t>
            </w:r>
          </w:p>
        </w:tc>
        <w:tc>
          <w:tcPr>
            <w:tcW w:w="8269" w:type="dxa"/>
            <w:gridSpan w:val="3"/>
            <w:tcBorders>
              <w:top w:val="single" w:sz="4" w:space="0" w:color="auto"/>
              <w:bottom w:val="single" w:sz="4" w:space="0" w:color="auto"/>
            </w:tcBorders>
            <w:vAlign w:val="center"/>
          </w:tcPr>
          <w:p w14:paraId="571481F9" w14:textId="77777777" w:rsidR="00C97F71" w:rsidRDefault="0052098D">
            <w:pPr>
              <w:rPr>
                <w:rFonts w:ascii="仿宋_GB2312" w:eastAsia="仿宋_GB2312" w:hAnsi="仿宋_GB2312" w:cs="仿宋_GB2312"/>
                <w:b/>
                <w:sz w:val="24"/>
              </w:rPr>
            </w:pPr>
            <w:r>
              <w:rPr>
                <w:rFonts w:ascii="仿宋_GB2312" w:eastAsia="仿宋_GB2312" w:hAnsi="仿宋_GB2312" w:cs="仿宋_GB2312" w:hint="eastAsia"/>
                <w:bCs/>
                <w:sz w:val="24"/>
              </w:rPr>
              <w:t>C类业务，公募基金投资</w:t>
            </w:r>
          </w:p>
        </w:tc>
      </w:tr>
      <w:tr w:rsidR="00C97F71" w14:paraId="35720424" w14:textId="77777777">
        <w:trPr>
          <w:trHeight w:val="434"/>
          <w:jc w:val="center"/>
        </w:trPr>
        <w:tc>
          <w:tcPr>
            <w:tcW w:w="2451" w:type="dxa"/>
            <w:tcBorders>
              <w:top w:val="single" w:sz="4" w:space="0" w:color="auto"/>
              <w:bottom w:val="single" w:sz="4" w:space="0" w:color="auto"/>
            </w:tcBorders>
            <w:vAlign w:val="center"/>
          </w:tcPr>
          <w:p w14:paraId="301D3DB2"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如为A、B类业务</w:t>
            </w:r>
          </w:p>
        </w:tc>
        <w:tc>
          <w:tcPr>
            <w:tcW w:w="8269" w:type="dxa"/>
            <w:gridSpan w:val="3"/>
            <w:tcBorders>
              <w:top w:val="single" w:sz="4" w:space="0" w:color="auto"/>
              <w:bottom w:val="single" w:sz="4" w:space="0" w:color="auto"/>
            </w:tcBorders>
            <w:vAlign w:val="center"/>
          </w:tcPr>
          <w:p w14:paraId="6CD4A95B"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Cs/>
                <w:sz w:val="24"/>
              </w:rPr>
              <w:t>说明本次拟申请领用理财专项单一法人客户或集团客户额度，以及本次业务开展后总体单一法人客户限额及集团客户情况。</w:t>
            </w:r>
          </w:p>
        </w:tc>
      </w:tr>
      <w:tr w:rsidR="00C97F71" w14:paraId="35AF81E8" w14:textId="77777777">
        <w:trPr>
          <w:trHeight w:val="434"/>
          <w:jc w:val="center"/>
        </w:trPr>
        <w:tc>
          <w:tcPr>
            <w:tcW w:w="2451" w:type="dxa"/>
            <w:tcBorders>
              <w:top w:val="single" w:sz="4" w:space="0" w:color="auto"/>
              <w:bottom w:val="single" w:sz="4" w:space="0" w:color="auto"/>
            </w:tcBorders>
            <w:vAlign w:val="center"/>
          </w:tcPr>
          <w:p w14:paraId="7215AB1F"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适用审批权限</w:t>
            </w:r>
          </w:p>
        </w:tc>
        <w:tc>
          <w:tcPr>
            <w:tcW w:w="8269" w:type="dxa"/>
            <w:gridSpan w:val="3"/>
            <w:tcBorders>
              <w:top w:val="single" w:sz="4" w:space="0" w:color="auto"/>
              <w:bottom w:val="single" w:sz="4" w:space="0" w:color="auto"/>
            </w:tcBorders>
            <w:vAlign w:val="center"/>
          </w:tcPr>
          <w:p w14:paraId="4452C07E" w14:textId="28AB002A" w:rsidR="00C97F71" w:rsidRDefault="00C97F71">
            <w:pPr>
              <w:spacing w:line="276" w:lineRule="auto"/>
              <w:rPr>
                <w:rFonts w:ascii="仿宋_GB2312" w:eastAsia="仿宋_GB2312" w:hAnsi="仿宋_GB2312" w:cs="仿宋_GB2312"/>
                <w:b/>
                <w:sz w:val="24"/>
              </w:rPr>
            </w:pPr>
          </w:p>
        </w:tc>
      </w:tr>
      <w:tr w:rsidR="00C97F71" w14:paraId="12DCA57F" w14:textId="77777777">
        <w:trPr>
          <w:trHeight w:val="482"/>
          <w:jc w:val="center"/>
        </w:trPr>
        <w:tc>
          <w:tcPr>
            <w:tcW w:w="2451" w:type="dxa"/>
            <w:vAlign w:val="center"/>
          </w:tcPr>
          <w:p w14:paraId="29177CD8"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证券代码</w:t>
            </w:r>
          </w:p>
        </w:tc>
        <w:tc>
          <w:tcPr>
            <w:tcW w:w="2909" w:type="dxa"/>
            <w:vAlign w:val="center"/>
          </w:tcPr>
          <w:p w14:paraId="051D42F7" w14:textId="77777777" w:rsidR="00C97F71" w:rsidRDefault="0052098D">
            <w:pPr>
              <w:rPr>
                <w:rFonts w:ascii="仿宋_GB2312" w:eastAsia="仿宋_GB2312" w:hAnsi="仿宋_GB2312" w:cs="仿宋_GB2312"/>
                <w:sz w:val="24"/>
              </w:rPr>
            </w:pPr>
            <w:r>
              <w:rPr>
                <w:rFonts w:ascii="仿宋_GB2312" w:eastAsia="仿宋_GB2312" w:hAnsi="仿宋_GB2312" w:cs="仿宋_GB2312"/>
                <w:sz w:val="24"/>
              </w:rPr>
              <w:t>009100</w:t>
            </w:r>
          </w:p>
        </w:tc>
        <w:tc>
          <w:tcPr>
            <w:tcW w:w="2148" w:type="dxa"/>
            <w:vAlign w:val="center"/>
          </w:tcPr>
          <w:p w14:paraId="4E9E9EB3"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证券简称</w:t>
            </w:r>
          </w:p>
        </w:tc>
        <w:tc>
          <w:tcPr>
            <w:tcW w:w="3212" w:type="dxa"/>
            <w:vAlign w:val="center"/>
          </w:tcPr>
          <w:p w14:paraId="363B0FDF" w14:textId="77777777" w:rsidR="00C97F71" w:rsidRDefault="0052098D">
            <w:pPr>
              <w:rPr>
                <w:rFonts w:ascii="仿宋_GB2312" w:eastAsia="仿宋_GB2312" w:hAnsi="仿宋_GB2312" w:cs="仿宋_GB2312"/>
                <w:sz w:val="24"/>
                <w:highlight w:val="yellow"/>
              </w:rPr>
            </w:pPr>
            <w:r>
              <w:rPr>
                <w:rFonts w:ascii="仿宋_GB2312" w:eastAsia="仿宋_GB2312" w:hAnsi="仿宋_GB2312" w:cs="仿宋_GB2312" w:hint="eastAsia"/>
                <w:sz w:val="24"/>
              </w:rPr>
              <w:t>安信稳健增利</w:t>
            </w:r>
          </w:p>
        </w:tc>
      </w:tr>
      <w:tr w:rsidR="00C97F71" w14:paraId="7107199D" w14:textId="77777777">
        <w:trPr>
          <w:trHeight w:val="482"/>
          <w:jc w:val="center"/>
        </w:trPr>
        <w:tc>
          <w:tcPr>
            <w:tcW w:w="2451" w:type="dxa"/>
            <w:vAlign w:val="center"/>
          </w:tcPr>
          <w:p w14:paraId="35C5B78E"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发行人/原始权益人</w:t>
            </w:r>
          </w:p>
        </w:tc>
        <w:tc>
          <w:tcPr>
            <w:tcW w:w="2909" w:type="dxa"/>
            <w:vAlign w:val="center"/>
          </w:tcPr>
          <w:p w14:paraId="7D1F81D2" w14:textId="77777777" w:rsidR="00C97F71" w:rsidRDefault="00C97F71">
            <w:pPr>
              <w:rPr>
                <w:rFonts w:ascii="仿宋_GB2312" w:eastAsia="仿宋_GB2312" w:hAnsi="仿宋_GB2312" w:cs="仿宋_GB2312"/>
                <w:sz w:val="24"/>
              </w:rPr>
            </w:pPr>
          </w:p>
        </w:tc>
        <w:tc>
          <w:tcPr>
            <w:tcW w:w="2148" w:type="dxa"/>
            <w:vAlign w:val="center"/>
          </w:tcPr>
          <w:p w14:paraId="3CC4612E"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管理人</w:t>
            </w:r>
          </w:p>
        </w:tc>
        <w:tc>
          <w:tcPr>
            <w:tcW w:w="3212" w:type="dxa"/>
            <w:vAlign w:val="center"/>
          </w:tcPr>
          <w:p w14:paraId="54D10058" w14:textId="77777777" w:rsidR="00C97F71" w:rsidRDefault="0052098D">
            <w:pPr>
              <w:rPr>
                <w:rFonts w:ascii="仿宋_GB2312" w:eastAsia="仿宋_GB2312" w:hAnsi="仿宋_GB2312" w:cs="仿宋_GB2312"/>
                <w:sz w:val="24"/>
              </w:rPr>
            </w:pPr>
            <w:r>
              <w:rPr>
                <w:rFonts w:ascii="仿宋_GB2312" w:eastAsia="仿宋_GB2312" w:hAnsi="仿宋_GB2312" w:cs="仿宋_GB2312" w:hint="eastAsia"/>
                <w:sz w:val="24"/>
              </w:rPr>
              <w:t>安信基金管理有限责任公司</w:t>
            </w:r>
          </w:p>
        </w:tc>
      </w:tr>
      <w:tr w:rsidR="00C97F71" w14:paraId="155B831B" w14:textId="77777777">
        <w:trPr>
          <w:trHeight w:val="482"/>
          <w:jc w:val="center"/>
        </w:trPr>
        <w:tc>
          <w:tcPr>
            <w:tcW w:w="2451" w:type="dxa"/>
            <w:vAlign w:val="center"/>
          </w:tcPr>
          <w:p w14:paraId="386EA096"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承担实质风险主体</w:t>
            </w:r>
          </w:p>
        </w:tc>
        <w:tc>
          <w:tcPr>
            <w:tcW w:w="2909" w:type="dxa"/>
            <w:vAlign w:val="center"/>
          </w:tcPr>
          <w:p w14:paraId="07135A69" w14:textId="77777777" w:rsidR="00C97F71" w:rsidRDefault="00C97F71">
            <w:pPr>
              <w:rPr>
                <w:rFonts w:ascii="仿宋_GB2312" w:eastAsia="仿宋_GB2312" w:hAnsi="仿宋_GB2312" w:cs="仿宋_GB2312"/>
                <w:sz w:val="24"/>
              </w:rPr>
            </w:pPr>
          </w:p>
        </w:tc>
        <w:tc>
          <w:tcPr>
            <w:tcW w:w="2148" w:type="dxa"/>
            <w:vAlign w:val="center"/>
          </w:tcPr>
          <w:p w14:paraId="0C801F4D" w14:textId="77777777" w:rsidR="00C97F71" w:rsidRDefault="0052098D">
            <w:pPr>
              <w:spacing w:line="276" w:lineRule="auto"/>
              <w:rPr>
                <w:rFonts w:ascii="仿宋_GB2312" w:eastAsia="仿宋_GB2312" w:hAnsi="仿宋_GB2312" w:cs="仿宋_GB2312"/>
                <w:b/>
                <w:sz w:val="24"/>
              </w:rPr>
            </w:pPr>
            <w:r>
              <w:rPr>
                <w:rFonts w:ascii="仿宋_GB2312" w:eastAsia="仿宋_GB2312" w:hAnsi="仿宋_GB2312" w:cs="仿宋_GB2312" w:hint="eastAsia"/>
                <w:b/>
                <w:sz w:val="24"/>
              </w:rPr>
              <w:t>有效期</w:t>
            </w:r>
          </w:p>
        </w:tc>
        <w:tc>
          <w:tcPr>
            <w:tcW w:w="3212" w:type="dxa"/>
            <w:vAlign w:val="center"/>
          </w:tcPr>
          <w:p w14:paraId="2A3D8672" w14:textId="77777777" w:rsidR="00C97F71" w:rsidRDefault="00C97F71">
            <w:pPr>
              <w:rPr>
                <w:rFonts w:ascii="仿宋_GB2312" w:eastAsia="仿宋_GB2312" w:hAnsi="仿宋_GB2312" w:cs="仿宋_GB2312"/>
                <w:sz w:val="24"/>
              </w:rPr>
            </w:pPr>
          </w:p>
        </w:tc>
      </w:tr>
      <w:tr w:rsidR="00C97F71" w14:paraId="490F7D7C" w14:textId="77777777">
        <w:trPr>
          <w:trHeight w:val="2542"/>
          <w:jc w:val="center"/>
        </w:trPr>
        <w:tc>
          <w:tcPr>
            <w:tcW w:w="10720" w:type="dxa"/>
            <w:gridSpan w:val="4"/>
            <w:vAlign w:val="center"/>
          </w:tcPr>
          <w:p w14:paraId="72C1656B" w14:textId="77777777" w:rsidR="00C97F71" w:rsidRDefault="00C97F71">
            <w:pPr>
              <w:widowControl/>
              <w:spacing w:line="240" w:lineRule="auto"/>
              <w:jc w:val="left"/>
              <w:rPr>
                <w:rFonts w:ascii="仿宋" w:eastAsia="仿宋" w:hAnsi="仿宋" w:cs="仿宋"/>
              </w:rPr>
            </w:pPr>
          </w:p>
          <w:p w14:paraId="005CA612" w14:textId="77777777" w:rsidR="00C97F71" w:rsidRDefault="0052098D">
            <w:pPr>
              <w:widowControl/>
              <w:spacing w:line="240" w:lineRule="auto"/>
              <w:jc w:val="left"/>
              <w:rPr>
                <w:rFonts w:ascii="仿宋" w:eastAsia="仿宋" w:hAnsi="仿宋" w:cs="仿宋"/>
                <w:sz w:val="24"/>
                <w:szCs w:val="24"/>
              </w:rPr>
            </w:pPr>
            <w:r>
              <w:rPr>
                <w:rFonts w:ascii="仿宋" w:eastAsia="仿宋" w:hAnsi="仿宋" w:cs="仿宋" w:hint="eastAsia"/>
                <w:sz w:val="24"/>
                <w:szCs w:val="24"/>
              </w:rPr>
              <w:t>一、基金公司情况</w:t>
            </w:r>
          </w:p>
          <w:p w14:paraId="7D5BBF1A" w14:textId="77777777" w:rsidR="00C97F71" w:rsidRDefault="0052098D">
            <w:pPr>
              <w:widowControl/>
              <w:spacing w:line="240" w:lineRule="auto"/>
              <w:ind w:firstLineChars="200" w:firstLine="480"/>
              <w:jc w:val="left"/>
              <w:rPr>
                <w:rFonts w:ascii="仿宋" w:eastAsia="仿宋" w:hAnsi="仿宋" w:cs="仿宋"/>
                <w:sz w:val="24"/>
                <w:szCs w:val="24"/>
              </w:rPr>
            </w:pPr>
            <w:r>
              <w:rPr>
                <w:rFonts w:ascii="仿宋" w:eastAsia="仿宋" w:hAnsi="仿宋" w:cs="仿宋" w:hint="eastAsia"/>
                <w:sz w:val="24"/>
                <w:szCs w:val="24"/>
              </w:rPr>
              <w:t>安信基金管理有限责任公司（以下简称“安信基金”或“公司”）经中国证监会许可，成立于2011年12月6日，注册地深圳，是国内首家公募基金与特定客户资产管理业务资格同时获批的基金公司。目前公司注册资本人民币5.0625亿元，经营范围为公开募集证券投资基金管理、基金销售、特定客户资产管理。</w:t>
            </w:r>
          </w:p>
          <w:p w14:paraId="43BF3BFC" w14:textId="77777777" w:rsidR="00C97F71" w:rsidRDefault="0052098D">
            <w:pPr>
              <w:widowControl/>
              <w:spacing w:line="240" w:lineRule="auto"/>
              <w:ind w:firstLineChars="200" w:firstLine="480"/>
              <w:jc w:val="left"/>
              <w:rPr>
                <w:rFonts w:ascii="仿宋" w:eastAsia="仿宋" w:hAnsi="仿宋" w:cs="仿宋"/>
                <w:sz w:val="24"/>
                <w:szCs w:val="24"/>
              </w:rPr>
            </w:pPr>
            <w:r>
              <w:rPr>
                <w:rFonts w:ascii="仿宋" w:eastAsia="仿宋" w:hAnsi="仿宋" w:cs="仿宋" w:hint="eastAsia"/>
                <w:sz w:val="24"/>
                <w:szCs w:val="24"/>
              </w:rPr>
              <w:t>截至2021年二季度末，公司投研团队共75人，平均从业年限9年，在公司任职年限5年。投研人员主要来源于国内知名证券公司、基金公司等专业资产管理机构以及国内外一流高校。</w:t>
            </w:r>
          </w:p>
          <w:p w14:paraId="1A6D1E39" w14:textId="77777777" w:rsidR="00C97F71" w:rsidRDefault="0052098D">
            <w:pPr>
              <w:widowControl/>
              <w:spacing w:line="240" w:lineRule="auto"/>
              <w:ind w:firstLineChars="200" w:firstLine="480"/>
              <w:jc w:val="left"/>
              <w:rPr>
                <w:rFonts w:ascii="仿宋" w:eastAsia="仿宋" w:hAnsi="仿宋" w:cs="仿宋"/>
                <w:sz w:val="24"/>
                <w:szCs w:val="24"/>
              </w:rPr>
            </w:pPr>
            <w:r>
              <w:rPr>
                <w:rFonts w:ascii="仿宋" w:eastAsia="仿宋" w:hAnsi="仿宋" w:cs="仿宋" w:hint="eastAsia"/>
                <w:sz w:val="24"/>
                <w:szCs w:val="24"/>
              </w:rPr>
              <w:t>其中投资团队共有40人，其中基金经理28人，投资经理12人，平均从业年限为11年，在公司任职年限6年。投资人员中，拥有硕士研究生学历的35人，拥有博士研究生学历的3人。研究团队共有人员35人，其中行业研究人员16人。研究人员中，拥有硕士研究生学历的31人，拥有博士研究生学历的3人。公司投研团队具有高度的稳定性，多数核心投资人员于公司筹备期或成立初期即加入并任职至今。</w:t>
            </w:r>
          </w:p>
          <w:p w14:paraId="672D24DB" w14:textId="77777777" w:rsidR="00C97F71" w:rsidRDefault="0052098D">
            <w:pPr>
              <w:pStyle w:val="a0"/>
              <w:ind w:leftChars="0" w:left="0" w:firstLineChars="200" w:firstLine="480"/>
              <w:rPr>
                <w:rFonts w:ascii="仿宋" w:eastAsia="仿宋" w:hAnsi="仿宋" w:cs="仿宋"/>
                <w:sz w:val="24"/>
                <w:szCs w:val="24"/>
              </w:rPr>
            </w:pPr>
            <w:r>
              <w:rPr>
                <w:rFonts w:ascii="仿宋" w:eastAsia="仿宋" w:hAnsi="仿宋" w:cs="仿宋" w:hint="eastAsia"/>
                <w:sz w:val="24"/>
                <w:szCs w:val="24"/>
              </w:rPr>
              <w:t>截至2021年9月30日，安信基金旗下共管理产品107只，管理总规模为1,013.60亿元。其中公募基,75只，管理规模936.36亿元；专户产品32只，管理规模为77.24亿元。</w:t>
            </w:r>
          </w:p>
          <w:p w14:paraId="49EBCF95" w14:textId="77777777" w:rsidR="00C97F71" w:rsidRDefault="00C97F71"/>
          <w:p w14:paraId="768761CA" w14:textId="77777777" w:rsidR="00C97F71" w:rsidRDefault="0052098D">
            <w:pPr>
              <w:pStyle w:val="a0"/>
              <w:widowControl/>
              <w:spacing w:line="240" w:lineRule="auto"/>
              <w:ind w:leftChars="0" w:left="0"/>
              <w:jc w:val="left"/>
              <w:rPr>
                <w:rFonts w:ascii="仿宋" w:eastAsia="仿宋" w:hAnsi="仿宋" w:cs="仿宋"/>
                <w:sz w:val="24"/>
                <w:szCs w:val="24"/>
              </w:rPr>
            </w:pPr>
            <w:r>
              <w:rPr>
                <w:rFonts w:ascii="仿宋" w:eastAsia="仿宋" w:hAnsi="仿宋" w:cs="仿宋" w:hint="eastAsia"/>
                <w:sz w:val="24"/>
                <w:szCs w:val="24"/>
              </w:rPr>
              <w:t>二、基金基本信息</w:t>
            </w:r>
          </w:p>
          <w:p w14:paraId="42BF7A58" w14:textId="77777777" w:rsidR="00C97F71" w:rsidRDefault="0052098D">
            <w:pPr>
              <w:pStyle w:val="a0"/>
              <w:widowControl/>
              <w:spacing w:line="240" w:lineRule="auto"/>
              <w:ind w:leftChars="0" w:left="0"/>
              <w:jc w:val="left"/>
              <w:rPr>
                <w:rFonts w:ascii="仿宋" w:eastAsia="仿宋" w:hAnsi="仿宋" w:cs="仿宋"/>
                <w:sz w:val="24"/>
                <w:szCs w:val="24"/>
              </w:rPr>
            </w:pPr>
            <w:r>
              <w:rPr>
                <w:rFonts w:ascii="仿宋" w:eastAsia="仿宋" w:hAnsi="仿宋" w:cs="仿宋" w:hint="eastAsia"/>
                <w:sz w:val="24"/>
                <w:szCs w:val="24"/>
              </w:rPr>
              <w:t>1、规模情况：基金经理当前管理总规模为</w:t>
            </w:r>
            <w:r>
              <w:rPr>
                <w:rFonts w:ascii="仿宋" w:eastAsia="仿宋" w:hAnsi="仿宋" w:cs="仿宋"/>
                <w:sz w:val="24"/>
                <w:szCs w:val="24"/>
              </w:rPr>
              <w:t>367.98</w:t>
            </w:r>
            <w:r>
              <w:rPr>
                <w:rFonts w:ascii="仿宋" w:eastAsia="仿宋" w:hAnsi="仿宋" w:cs="仿宋" w:hint="eastAsia"/>
                <w:sz w:val="24"/>
                <w:szCs w:val="24"/>
              </w:rPr>
              <w:t>亿元，其中安信稳健增利基金当前规模为</w:t>
            </w:r>
            <w:r>
              <w:rPr>
                <w:rFonts w:ascii="仿宋" w:eastAsia="仿宋" w:hAnsi="仿宋" w:cs="仿宋"/>
                <w:sz w:val="24"/>
                <w:szCs w:val="24"/>
              </w:rPr>
              <w:t>102.70</w:t>
            </w:r>
            <w:r>
              <w:rPr>
                <w:rFonts w:ascii="仿宋" w:eastAsia="仿宋" w:hAnsi="仿宋" w:cs="仿宋" w:hint="eastAsia"/>
                <w:sz w:val="24"/>
                <w:szCs w:val="24"/>
              </w:rPr>
              <w:t>亿元（</w:t>
            </w:r>
            <w:r>
              <w:rPr>
                <w:rFonts w:ascii="仿宋" w:eastAsia="仿宋" w:hAnsi="仿宋" w:cs="仿宋"/>
                <w:sz w:val="24"/>
                <w:szCs w:val="24"/>
              </w:rPr>
              <w:t>10</w:t>
            </w:r>
            <w:r>
              <w:rPr>
                <w:rFonts w:ascii="仿宋" w:eastAsia="仿宋" w:hAnsi="仿宋" w:cs="仿宋" w:hint="eastAsia"/>
                <w:sz w:val="24"/>
                <w:szCs w:val="24"/>
              </w:rPr>
              <w:t>月</w:t>
            </w:r>
            <w:r>
              <w:rPr>
                <w:rFonts w:ascii="仿宋" w:eastAsia="仿宋" w:hAnsi="仿宋" w:cs="仿宋"/>
                <w:sz w:val="24"/>
                <w:szCs w:val="24"/>
              </w:rPr>
              <w:t>31</w:t>
            </w:r>
            <w:r>
              <w:rPr>
                <w:rFonts w:ascii="仿宋" w:eastAsia="仿宋" w:hAnsi="仿宋" w:cs="仿宋" w:hint="eastAsia"/>
                <w:sz w:val="24"/>
                <w:szCs w:val="24"/>
              </w:rPr>
              <w:t>日）</w:t>
            </w:r>
          </w:p>
          <w:tbl>
            <w:tblPr>
              <w:tblW w:w="9003" w:type="dxa"/>
              <w:jc w:val="center"/>
              <w:tblLook w:val="04A0" w:firstRow="1" w:lastRow="0" w:firstColumn="1" w:lastColumn="0" w:noHBand="0" w:noVBand="1"/>
            </w:tblPr>
            <w:tblGrid>
              <w:gridCol w:w="1483"/>
              <w:gridCol w:w="1483"/>
              <w:gridCol w:w="1483"/>
              <w:gridCol w:w="1483"/>
              <w:gridCol w:w="1483"/>
              <w:gridCol w:w="1588"/>
            </w:tblGrid>
            <w:tr w:rsidR="00C97F71" w14:paraId="1B46328C" w14:textId="77777777">
              <w:trPr>
                <w:trHeight w:val="161"/>
                <w:jc w:val="center"/>
              </w:trPr>
              <w:tc>
                <w:tcPr>
                  <w:tcW w:w="9003"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14:paraId="46C55477"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安信稳健增利基金规模变动情况（亿元）</w:t>
                  </w:r>
                </w:p>
              </w:tc>
            </w:tr>
            <w:tr w:rsidR="00C97F71" w14:paraId="2B48E029" w14:textId="77777777">
              <w:trPr>
                <w:trHeight w:val="161"/>
                <w:jc w:val="center"/>
              </w:trPr>
              <w:tc>
                <w:tcPr>
                  <w:tcW w:w="1483" w:type="dxa"/>
                  <w:tcBorders>
                    <w:top w:val="nil"/>
                    <w:left w:val="single" w:sz="4" w:space="0" w:color="auto"/>
                    <w:bottom w:val="single" w:sz="4" w:space="0" w:color="auto"/>
                    <w:right w:val="single" w:sz="4" w:space="0" w:color="auto"/>
                  </w:tcBorders>
                  <w:shd w:val="clear" w:color="auto" w:fill="auto"/>
                  <w:noWrap/>
                  <w:vAlign w:val="center"/>
                </w:tcPr>
                <w:p w14:paraId="6F0DEC1D"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20210930</w:t>
                  </w:r>
                </w:p>
              </w:tc>
              <w:tc>
                <w:tcPr>
                  <w:tcW w:w="1483" w:type="dxa"/>
                  <w:tcBorders>
                    <w:top w:val="nil"/>
                    <w:left w:val="nil"/>
                    <w:bottom w:val="single" w:sz="4" w:space="0" w:color="auto"/>
                    <w:right w:val="single" w:sz="4" w:space="0" w:color="auto"/>
                  </w:tcBorders>
                  <w:shd w:val="clear" w:color="auto" w:fill="auto"/>
                  <w:noWrap/>
                  <w:vAlign w:val="center"/>
                </w:tcPr>
                <w:p w14:paraId="04280AC7"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20210630</w:t>
                  </w:r>
                </w:p>
              </w:tc>
              <w:tc>
                <w:tcPr>
                  <w:tcW w:w="1483" w:type="dxa"/>
                  <w:tcBorders>
                    <w:top w:val="nil"/>
                    <w:left w:val="nil"/>
                    <w:bottom w:val="single" w:sz="4" w:space="0" w:color="auto"/>
                    <w:right w:val="single" w:sz="4" w:space="0" w:color="auto"/>
                  </w:tcBorders>
                  <w:shd w:val="clear" w:color="auto" w:fill="auto"/>
                  <w:noWrap/>
                  <w:vAlign w:val="center"/>
                </w:tcPr>
                <w:p w14:paraId="0F3219AF"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20210331</w:t>
                  </w:r>
                </w:p>
              </w:tc>
              <w:tc>
                <w:tcPr>
                  <w:tcW w:w="1483" w:type="dxa"/>
                  <w:tcBorders>
                    <w:top w:val="nil"/>
                    <w:left w:val="nil"/>
                    <w:bottom w:val="single" w:sz="4" w:space="0" w:color="auto"/>
                    <w:right w:val="single" w:sz="4" w:space="0" w:color="auto"/>
                  </w:tcBorders>
                  <w:shd w:val="clear" w:color="auto" w:fill="auto"/>
                  <w:noWrap/>
                  <w:vAlign w:val="center"/>
                </w:tcPr>
                <w:p w14:paraId="10101A8E"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20201231</w:t>
                  </w:r>
                </w:p>
              </w:tc>
              <w:tc>
                <w:tcPr>
                  <w:tcW w:w="1483" w:type="dxa"/>
                  <w:tcBorders>
                    <w:top w:val="nil"/>
                    <w:left w:val="nil"/>
                    <w:bottom w:val="single" w:sz="4" w:space="0" w:color="auto"/>
                    <w:right w:val="single" w:sz="4" w:space="0" w:color="auto"/>
                  </w:tcBorders>
                  <w:shd w:val="clear" w:color="auto" w:fill="auto"/>
                  <w:noWrap/>
                  <w:vAlign w:val="center"/>
                </w:tcPr>
                <w:p w14:paraId="54D7741B"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20200930</w:t>
                  </w:r>
                </w:p>
              </w:tc>
              <w:tc>
                <w:tcPr>
                  <w:tcW w:w="1588" w:type="dxa"/>
                  <w:tcBorders>
                    <w:top w:val="nil"/>
                    <w:left w:val="nil"/>
                    <w:bottom w:val="single" w:sz="4" w:space="0" w:color="auto"/>
                    <w:right w:val="single" w:sz="4" w:space="0" w:color="auto"/>
                  </w:tcBorders>
                  <w:shd w:val="clear" w:color="auto" w:fill="auto"/>
                  <w:noWrap/>
                  <w:vAlign w:val="center"/>
                </w:tcPr>
                <w:p w14:paraId="688E0453"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20200630</w:t>
                  </w:r>
                </w:p>
              </w:tc>
            </w:tr>
            <w:tr w:rsidR="00C97F71" w14:paraId="3A752A41" w14:textId="77777777">
              <w:trPr>
                <w:trHeight w:val="161"/>
                <w:jc w:val="center"/>
              </w:trPr>
              <w:tc>
                <w:tcPr>
                  <w:tcW w:w="1483" w:type="dxa"/>
                  <w:tcBorders>
                    <w:top w:val="nil"/>
                    <w:left w:val="single" w:sz="4" w:space="0" w:color="auto"/>
                    <w:bottom w:val="single" w:sz="4" w:space="0" w:color="auto"/>
                    <w:right w:val="single" w:sz="4" w:space="0" w:color="auto"/>
                  </w:tcBorders>
                  <w:shd w:val="clear" w:color="auto" w:fill="auto"/>
                  <w:noWrap/>
                </w:tcPr>
                <w:p w14:paraId="25CC4FF9"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 xml:space="preserve">93.19 </w:t>
                  </w:r>
                </w:p>
              </w:tc>
              <w:tc>
                <w:tcPr>
                  <w:tcW w:w="1483" w:type="dxa"/>
                  <w:tcBorders>
                    <w:top w:val="nil"/>
                    <w:left w:val="nil"/>
                    <w:bottom w:val="single" w:sz="4" w:space="0" w:color="auto"/>
                    <w:right w:val="single" w:sz="4" w:space="0" w:color="auto"/>
                  </w:tcBorders>
                  <w:shd w:val="clear" w:color="auto" w:fill="auto"/>
                  <w:noWrap/>
                </w:tcPr>
                <w:p w14:paraId="2A24DD73"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 xml:space="preserve">87.46 </w:t>
                  </w:r>
                </w:p>
              </w:tc>
              <w:tc>
                <w:tcPr>
                  <w:tcW w:w="1483" w:type="dxa"/>
                  <w:tcBorders>
                    <w:top w:val="nil"/>
                    <w:left w:val="nil"/>
                    <w:bottom w:val="single" w:sz="4" w:space="0" w:color="auto"/>
                    <w:right w:val="single" w:sz="4" w:space="0" w:color="auto"/>
                  </w:tcBorders>
                  <w:shd w:val="clear" w:color="auto" w:fill="auto"/>
                  <w:noWrap/>
                </w:tcPr>
                <w:p w14:paraId="63503E05"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 xml:space="preserve">29.57 </w:t>
                  </w:r>
                </w:p>
              </w:tc>
              <w:tc>
                <w:tcPr>
                  <w:tcW w:w="1483" w:type="dxa"/>
                  <w:tcBorders>
                    <w:top w:val="nil"/>
                    <w:left w:val="nil"/>
                    <w:bottom w:val="single" w:sz="4" w:space="0" w:color="auto"/>
                    <w:right w:val="single" w:sz="4" w:space="0" w:color="auto"/>
                  </w:tcBorders>
                  <w:shd w:val="clear" w:color="auto" w:fill="auto"/>
                  <w:noWrap/>
                </w:tcPr>
                <w:p w14:paraId="18683D54"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 xml:space="preserve">12.70 </w:t>
                  </w:r>
                </w:p>
              </w:tc>
              <w:tc>
                <w:tcPr>
                  <w:tcW w:w="1483" w:type="dxa"/>
                  <w:tcBorders>
                    <w:top w:val="nil"/>
                    <w:left w:val="nil"/>
                    <w:bottom w:val="single" w:sz="4" w:space="0" w:color="auto"/>
                    <w:right w:val="single" w:sz="4" w:space="0" w:color="auto"/>
                  </w:tcBorders>
                  <w:shd w:val="clear" w:color="auto" w:fill="auto"/>
                  <w:noWrap/>
                </w:tcPr>
                <w:p w14:paraId="72058E7D"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 xml:space="preserve">8.35 </w:t>
                  </w:r>
                </w:p>
              </w:tc>
              <w:tc>
                <w:tcPr>
                  <w:tcW w:w="1588" w:type="dxa"/>
                  <w:tcBorders>
                    <w:top w:val="nil"/>
                    <w:left w:val="nil"/>
                    <w:bottom w:val="single" w:sz="4" w:space="0" w:color="auto"/>
                    <w:right w:val="single" w:sz="4" w:space="0" w:color="auto"/>
                  </w:tcBorders>
                  <w:shd w:val="clear" w:color="auto" w:fill="auto"/>
                  <w:noWrap/>
                </w:tcPr>
                <w:p w14:paraId="5A383C7B"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 xml:space="preserve">11.61 </w:t>
                  </w:r>
                </w:p>
              </w:tc>
            </w:tr>
          </w:tbl>
          <w:p w14:paraId="3BE2C4D9" w14:textId="77777777" w:rsidR="00C97F71" w:rsidRDefault="0052098D">
            <w:pPr>
              <w:pStyle w:val="a0"/>
              <w:widowControl/>
              <w:spacing w:line="240" w:lineRule="auto"/>
              <w:ind w:leftChars="0" w:left="0"/>
              <w:jc w:val="left"/>
              <w:rPr>
                <w:rFonts w:ascii="仿宋" w:eastAsia="仿宋" w:hAnsi="仿宋" w:cs="仿宋"/>
                <w:sz w:val="24"/>
                <w:szCs w:val="24"/>
              </w:rPr>
            </w:pPr>
            <w:r>
              <w:rPr>
                <w:rFonts w:ascii="仿宋" w:eastAsia="仿宋" w:hAnsi="仿宋" w:cs="仿宋" w:hint="eastAsia"/>
                <w:sz w:val="24"/>
                <w:szCs w:val="24"/>
              </w:rPr>
              <w:t>2、仓位及集中度情况：权益仓位中枢为1</w:t>
            </w:r>
            <w:r>
              <w:rPr>
                <w:rFonts w:ascii="仿宋" w:eastAsia="仿宋" w:hAnsi="仿宋" w:cs="仿宋"/>
                <w:sz w:val="24"/>
                <w:szCs w:val="24"/>
              </w:rPr>
              <w:t>5</w:t>
            </w:r>
            <w:r>
              <w:rPr>
                <w:rFonts w:ascii="仿宋" w:eastAsia="仿宋" w:hAnsi="仿宋" w:cs="仿宋" w:hint="eastAsia"/>
                <w:sz w:val="24"/>
                <w:szCs w:val="24"/>
              </w:rPr>
              <w:t>%，上限2</w:t>
            </w:r>
            <w:r>
              <w:rPr>
                <w:rFonts w:ascii="仿宋" w:eastAsia="仿宋" w:hAnsi="仿宋" w:cs="仿宋"/>
                <w:sz w:val="24"/>
                <w:szCs w:val="24"/>
              </w:rPr>
              <w:t>0</w:t>
            </w:r>
            <w:r>
              <w:rPr>
                <w:rFonts w:ascii="仿宋" w:eastAsia="仿宋" w:hAnsi="仿宋" w:cs="仿宋" w:hint="eastAsia"/>
                <w:sz w:val="24"/>
                <w:szCs w:val="24"/>
              </w:rPr>
              <w:t>%。21年三季报披露前十大重仓股占比</w:t>
            </w:r>
            <w:r>
              <w:rPr>
                <w:rFonts w:ascii="仿宋" w:eastAsia="仿宋" w:hAnsi="仿宋" w:cs="仿宋"/>
                <w:sz w:val="24"/>
                <w:szCs w:val="24"/>
              </w:rPr>
              <w:t>16.34</w:t>
            </w:r>
            <w:r>
              <w:rPr>
                <w:rFonts w:ascii="仿宋" w:eastAsia="仿宋" w:hAnsi="仿宋" w:cs="仿宋" w:hint="eastAsia"/>
                <w:sz w:val="24"/>
                <w:szCs w:val="24"/>
              </w:rPr>
              <w:t>%，持仓相对重仓了房地产、能源的个股。</w:t>
            </w:r>
          </w:p>
          <w:p w14:paraId="05A68C62" w14:textId="77777777" w:rsidR="00C97F71" w:rsidRDefault="00C97F71"/>
          <w:tbl>
            <w:tblPr>
              <w:tblW w:w="6727" w:type="dxa"/>
              <w:jc w:val="center"/>
              <w:tblLook w:val="04A0" w:firstRow="1" w:lastRow="0" w:firstColumn="1" w:lastColumn="0" w:noHBand="0" w:noVBand="1"/>
            </w:tblPr>
            <w:tblGrid>
              <w:gridCol w:w="3415"/>
              <w:gridCol w:w="3312"/>
            </w:tblGrid>
            <w:tr w:rsidR="00C97F71" w14:paraId="5B1FF31B" w14:textId="77777777">
              <w:trPr>
                <w:trHeight w:val="194"/>
                <w:jc w:val="center"/>
              </w:trPr>
              <w:tc>
                <w:tcPr>
                  <w:tcW w:w="672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1642D05"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安信稳健增利基金21年三季度前十大持股</w:t>
                  </w:r>
                </w:p>
              </w:tc>
            </w:tr>
            <w:tr w:rsidR="00C97F71" w14:paraId="07A21A2D" w14:textId="77777777">
              <w:trPr>
                <w:trHeight w:val="194"/>
                <w:jc w:val="center"/>
              </w:trPr>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BE27ED"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lastRenderedPageBreak/>
                    <w:t>股票名称</w:t>
                  </w:r>
                </w:p>
              </w:tc>
              <w:tc>
                <w:tcPr>
                  <w:tcW w:w="3312" w:type="dxa"/>
                  <w:tcBorders>
                    <w:top w:val="single" w:sz="4" w:space="0" w:color="auto"/>
                    <w:left w:val="nil"/>
                    <w:bottom w:val="single" w:sz="4" w:space="0" w:color="auto"/>
                    <w:right w:val="single" w:sz="4" w:space="0" w:color="auto"/>
                  </w:tcBorders>
                  <w:shd w:val="clear" w:color="auto" w:fill="auto"/>
                  <w:noWrap/>
                  <w:vAlign w:val="bottom"/>
                </w:tcPr>
                <w:p w14:paraId="610E961F"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占净资产比例（%）</w:t>
                  </w:r>
                </w:p>
              </w:tc>
            </w:tr>
            <w:tr w:rsidR="00C97F71" w14:paraId="5E2B0BDB"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tcPr>
                <w:p w14:paraId="70D2EDF0"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中国海洋石油</w:t>
                  </w:r>
                </w:p>
              </w:tc>
              <w:tc>
                <w:tcPr>
                  <w:tcW w:w="3312" w:type="dxa"/>
                  <w:tcBorders>
                    <w:top w:val="nil"/>
                    <w:left w:val="nil"/>
                    <w:bottom w:val="single" w:sz="4" w:space="0" w:color="auto"/>
                    <w:right w:val="single" w:sz="4" w:space="0" w:color="auto"/>
                  </w:tcBorders>
                  <w:shd w:val="clear" w:color="auto" w:fill="auto"/>
                  <w:noWrap/>
                </w:tcPr>
                <w:p w14:paraId="66FEF5DD" w14:textId="77777777" w:rsidR="00C97F71" w:rsidRDefault="0052098D">
                  <w:pPr>
                    <w:jc w:val="center"/>
                    <w:rPr>
                      <w:rFonts w:ascii="仿宋" w:eastAsia="仿宋" w:hAnsi="仿宋" w:cs="仿宋"/>
                      <w:sz w:val="24"/>
                      <w:szCs w:val="24"/>
                    </w:rPr>
                  </w:pPr>
                  <w:r>
                    <w:rPr>
                      <w:rFonts w:ascii="仿宋" w:eastAsia="仿宋" w:hAnsi="仿宋" w:cs="仿宋"/>
                      <w:sz w:val="24"/>
                      <w:szCs w:val="24"/>
                    </w:rPr>
                    <w:t>2.52</w:t>
                  </w:r>
                </w:p>
              </w:tc>
            </w:tr>
            <w:tr w:rsidR="00C97F71" w14:paraId="4D8B6BEB"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tcPr>
                <w:p w14:paraId="3472B1F7"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中国海外发展</w:t>
                  </w:r>
                </w:p>
              </w:tc>
              <w:tc>
                <w:tcPr>
                  <w:tcW w:w="3312" w:type="dxa"/>
                  <w:tcBorders>
                    <w:top w:val="nil"/>
                    <w:left w:val="nil"/>
                    <w:bottom w:val="single" w:sz="4" w:space="0" w:color="auto"/>
                    <w:right w:val="single" w:sz="4" w:space="0" w:color="auto"/>
                  </w:tcBorders>
                  <w:shd w:val="clear" w:color="auto" w:fill="auto"/>
                  <w:noWrap/>
                </w:tcPr>
                <w:p w14:paraId="2F222FAA" w14:textId="77777777" w:rsidR="00C97F71" w:rsidRDefault="0052098D">
                  <w:pPr>
                    <w:jc w:val="center"/>
                    <w:rPr>
                      <w:rFonts w:ascii="仿宋" w:eastAsia="仿宋" w:hAnsi="仿宋" w:cs="仿宋"/>
                      <w:sz w:val="24"/>
                      <w:szCs w:val="24"/>
                    </w:rPr>
                  </w:pPr>
                  <w:r>
                    <w:rPr>
                      <w:rFonts w:ascii="仿宋" w:eastAsia="仿宋" w:hAnsi="仿宋" w:cs="仿宋"/>
                      <w:sz w:val="24"/>
                      <w:szCs w:val="24"/>
                    </w:rPr>
                    <w:t>2.51</w:t>
                  </w:r>
                </w:p>
              </w:tc>
            </w:tr>
            <w:tr w:rsidR="00C97F71" w14:paraId="685302FC"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tcPr>
                <w:p w14:paraId="78B7E412"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中国神华</w:t>
                  </w:r>
                </w:p>
              </w:tc>
              <w:tc>
                <w:tcPr>
                  <w:tcW w:w="3312" w:type="dxa"/>
                  <w:tcBorders>
                    <w:top w:val="nil"/>
                    <w:left w:val="nil"/>
                    <w:bottom w:val="single" w:sz="4" w:space="0" w:color="auto"/>
                    <w:right w:val="single" w:sz="4" w:space="0" w:color="auto"/>
                  </w:tcBorders>
                  <w:shd w:val="clear" w:color="auto" w:fill="auto"/>
                  <w:noWrap/>
                </w:tcPr>
                <w:p w14:paraId="41B56E3D" w14:textId="77777777" w:rsidR="00C97F71" w:rsidRDefault="0052098D">
                  <w:pPr>
                    <w:jc w:val="center"/>
                    <w:rPr>
                      <w:rFonts w:ascii="仿宋" w:eastAsia="仿宋" w:hAnsi="仿宋" w:cs="仿宋"/>
                      <w:sz w:val="24"/>
                      <w:szCs w:val="24"/>
                    </w:rPr>
                  </w:pPr>
                  <w:r>
                    <w:rPr>
                      <w:rFonts w:ascii="仿宋" w:eastAsia="仿宋" w:hAnsi="仿宋" w:cs="仿宋"/>
                      <w:sz w:val="24"/>
                      <w:szCs w:val="24"/>
                    </w:rPr>
                    <w:t>2.24</w:t>
                  </w:r>
                </w:p>
              </w:tc>
            </w:tr>
            <w:tr w:rsidR="00C97F71" w14:paraId="5E0AA827"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tcPr>
                <w:p w14:paraId="53A65BCE"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陕西煤业</w:t>
                  </w:r>
                </w:p>
              </w:tc>
              <w:tc>
                <w:tcPr>
                  <w:tcW w:w="3312" w:type="dxa"/>
                  <w:tcBorders>
                    <w:top w:val="nil"/>
                    <w:left w:val="nil"/>
                    <w:bottom w:val="single" w:sz="4" w:space="0" w:color="auto"/>
                    <w:right w:val="single" w:sz="4" w:space="0" w:color="auto"/>
                  </w:tcBorders>
                  <w:shd w:val="clear" w:color="auto" w:fill="auto"/>
                  <w:noWrap/>
                </w:tcPr>
                <w:p w14:paraId="301CDB02" w14:textId="77777777" w:rsidR="00C97F71" w:rsidRDefault="0052098D">
                  <w:pPr>
                    <w:jc w:val="center"/>
                    <w:rPr>
                      <w:rFonts w:ascii="仿宋" w:eastAsia="仿宋" w:hAnsi="仿宋" w:cs="仿宋"/>
                      <w:sz w:val="24"/>
                      <w:szCs w:val="24"/>
                    </w:rPr>
                  </w:pPr>
                  <w:r>
                    <w:rPr>
                      <w:rFonts w:ascii="仿宋" w:eastAsia="仿宋" w:hAnsi="仿宋" w:cs="仿宋"/>
                      <w:sz w:val="24"/>
                      <w:szCs w:val="24"/>
                    </w:rPr>
                    <w:t>2.07</w:t>
                  </w:r>
                </w:p>
              </w:tc>
            </w:tr>
            <w:tr w:rsidR="00C97F71" w14:paraId="2E62FB23" w14:textId="77777777">
              <w:trPr>
                <w:trHeight w:val="230"/>
                <w:jc w:val="center"/>
              </w:trPr>
              <w:tc>
                <w:tcPr>
                  <w:tcW w:w="3415" w:type="dxa"/>
                  <w:tcBorders>
                    <w:top w:val="nil"/>
                    <w:left w:val="single" w:sz="4" w:space="0" w:color="auto"/>
                    <w:bottom w:val="single" w:sz="4" w:space="0" w:color="auto"/>
                    <w:right w:val="single" w:sz="4" w:space="0" w:color="auto"/>
                  </w:tcBorders>
                  <w:shd w:val="clear" w:color="auto" w:fill="auto"/>
                  <w:noWrap/>
                </w:tcPr>
                <w:p w14:paraId="59E1C47F"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保利发展</w:t>
                  </w:r>
                </w:p>
              </w:tc>
              <w:tc>
                <w:tcPr>
                  <w:tcW w:w="3312" w:type="dxa"/>
                  <w:tcBorders>
                    <w:top w:val="nil"/>
                    <w:left w:val="nil"/>
                    <w:bottom w:val="single" w:sz="4" w:space="0" w:color="auto"/>
                    <w:right w:val="single" w:sz="4" w:space="0" w:color="auto"/>
                  </w:tcBorders>
                  <w:shd w:val="clear" w:color="auto" w:fill="auto"/>
                  <w:noWrap/>
                </w:tcPr>
                <w:p w14:paraId="453C1E4B" w14:textId="77777777" w:rsidR="00C97F71" w:rsidRDefault="0052098D">
                  <w:pPr>
                    <w:jc w:val="center"/>
                    <w:rPr>
                      <w:rFonts w:ascii="仿宋" w:eastAsia="仿宋" w:hAnsi="仿宋" w:cs="仿宋"/>
                      <w:sz w:val="24"/>
                      <w:szCs w:val="24"/>
                    </w:rPr>
                  </w:pPr>
                  <w:r>
                    <w:rPr>
                      <w:rFonts w:ascii="仿宋" w:eastAsia="仿宋" w:hAnsi="仿宋" w:cs="仿宋"/>
                      <w:sz w:val="24"/>
                      <w:szCs w:val="24"/>
                    </w:rPr>
                    <w:t>2.02</w:t>
                  </w:r>
                </w:p>
              </w:tc>
            </w:tr>
            <w:tr w:rsidR="00C97F71" w14:paraId="5F3737C2"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tcPr>
                <w:p w14:paraId="26494A07"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万科A</w:t>
                  </w:r>
                </w:p>
              </w:tc>
              <w:tc>
                <w:tcPr>
                  <w:tcW w:w="3312" w:type="dxa"/>
                  <w:tcBorders>
                    <w:top w:val="nil"/>
                    <w:left w:val="nil"/>
                    <w:bottom w:val="single" w:sz="4" w:space="0" w:color="auto"/>
                    <w:right w:val="single" w:sz="4" w:space="0" w:color="auto"/>
                  </w:tcBorders>
                  <w:shd w:val="clear" w:color="auto" w:fill="auto"/>
                  <w:noWrap/>
                </w:tcPr>
                <w:p w14:paraId="64A9BFFD" w14:textId="77777777" w:rsidR="00C97F71" w:rsidRDefault="0052098D">
                  <w:pPr>
                    <w:jc w:val="center"/>
                    <w:rPr>
                      <w:rFonts w:ascii="仿宋" w:eastAsia="仿宋" w:hAnsi="仿宋" w:cs="仿宋"/>
                      <w:sz w:val="24"/>
                      <w:szCs w:val="24"/>
                    </w:rPr>
                  </w:pPr>
                  <w:r>
                    <w:rPr>
                      <w:rFonts w:ascii="仿宋" w:eastAsia="仿宋" w:hAnsi="仿宋" w:cs="仿宋"/>
                      <w:sz w:val="24"/>
                      <w:szCs w:val="24"/>
                    </w:rPr>
                    <w:t>1.49</w:t>
                  </w:r>
                </w:p>
              </w:tc>
            </w:tr>
            <w:tr w:rsidR="00C97F71" w14:paraId="25721B61"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tcPr>
                <w:p w14:paraId="6462E810"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宁波银行</w:t>
                  </w:r>
                </w:p>
              </w:tc>
              <w:tc>
                <w:tcPr>
                  <w:tcW w:w="3312" w:type="dxa"/>
                  <w:tcBorders>
                    <w:top w:val="nil"/>
                    <w:left w:val="nil"/>
                    <w:bottom w:val="single" w:sz="4" w:space="0" w:color="auto"/>
                    <w:right w:val="single" w:sz="4" w:space="0" w:color="auto"/>
                  </w:tcBorders>
                  <w:shd w:val="clear" w:color="auto" w:fill="auto"/>
                  <w:noWrap/>
                </w:tcPr>
                <w:p w14:paraId="416D9ECE" w14:textId="77777777" w:rsidR="00C97F71" w:rsidRDefault="0052098D">
                  <w:pPr>
                    <w:jc w:val="center"/>
                    <w:rPr>
                      <w:rFonts w:ascii="仿宋" w:eastAsia="仿宋" w:hAnsi="仿宋" w:cs="仿宋"/>
                      <w:sz w:val="24"/>
                      <w:szCs w:val="24"/>
                    </w:rPr>
                  </w:pPr>
                  <w:r>
                    <w:rPr>
                      <w:rFonts w:ascii="仿宋" w:eastAsia="仿宋" w:hAnsi="仿宋" w:cs="仿宋"/>
                      <w:sz w:val="24"/>
                      <w:szCs w:val="24"/>
                    </w:rPr>
                    <w:t>1.01</w:t>
                  </w:r>
                </w:p>
              </w:tc>
            </w:tr>
            <w:tr w:rsidR="00C97F71" w14:paraId="0CD83410"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tcPr>
                <w:p w14:paraId="25912A36"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万科企业</w:t>
                  </w:r>
                </w:p>
              </w:tc>
              <w:tc>
                <w:tcPr>
                  <w:tcW w:w="3312" w:type="dxa"/>
                  <w:tcBorders>
                    <w:top w:val="nil"/>
                    <w:left w:val="nil"/>
                    <w:bottom w:val="single" w:sz="4" w:space="0" w:color="auto"/>
                    <w:right w:val="single" w:sz="4" w:space="0" w:color="auto"/>
                  </w:tcBorders>
                  <w:shd w:val="clear" w:color="auto" w:fill="auto"/>
                  <w:noWrap/>
                </w:tcPr>
                <w:p w14:paraId="4D0D2884" w14:textId="77777777" w:rsidR="00C97F71" w:rsidRDefault="0052098D">
                  <w:pPr>
                    <w:jc w:val="center"/>
                    <w:rPr>
                      <w:rFonts w:ascii="仿宋" w:eastAsia="仿宋" w:hAnsi="仿宋" w:cs="仿宋"/>
                      <w:sz w:val="24"/>
                      <w:szCs w:val="24"/>
                    </w:rPr>
                  </w:pPr>
                  <w:r>
                    <w:rPr>
                      <w:rFonts w:ascii="仿宋" w:eastAsia="仿宋" w:hAnsi="仿宋" w:cs="仿宋"/>
                      <w:sz w:val="24"/>
                      <w:szCs w:val="24"/>
                    </w:rPr>
                    <w:t>1.00</w:t>
                  </w:r>
                </w:p>
              </w:tc>
            </w:tr>
            <w:tr w:rsidR="00C97F71" w14:paraId="31349058"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tcPr>
                <w:p w14:paraId="5D51F0B3"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万洲国际</w:t>
                  </w:r>
                </w:p>
              </w:tc>
              <w:tc>
                <w:tcPr>
                  <w:tcW w:w="3312" w:type="dxa"/>
                  <w:tcBorders>
                    <w:top w:val="nil"/>
                    <w:left w:val="nil"/>
                    <w:bottom w:val="single" w:sz="4" w:space="0" w:color="auto"/>
                    <w:right w:val="single" w:sz="4" w:space="0" w:color="auto"/>
                  </w:tcBorders>
                  <w:shd w:val="clear" w:color="auto" w:fill="auto"/>
                  <w:noWrap/>
                </w:tcPr>
                <w:p w14:paraId="2B8BE748" w14:textId="77777777" w:rsidR="00C97F71" w:rsidRDefault="0052098D">
                  <w:pPr>
                    <w:jc w:val="center"/>
                    <w:rPr>
                      <w:rFonts w:ascii="仿宋" w:eastAsia="仿宋" w:hAnsi="仿宋" w:cs="仿宋"/>
                      <w:sz w:val="24"/>
                      <w:szCs w:val="24"/>
                    </w:rPr>
                  </w:pPr>
                  <w:r>
                    <w:rPr>
                      <w:rFonts w:ascii="仿宋" w:eastAsia="仿宋" w:hAnsi="仿宋" w:cs="仿宋"/>
                      <w:sz w:val="24"/>
                      <w:szCs w:val="24"/>
                    </w:rPr>
                    <w:t>0.87</w:t>
                  </w:r>
                </w:p>
              </w:tc>
            </w:tr>
            <w:tr w:rsidR="00C97F71" w14:paraId="6775E23A"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tcPr>
                <w:p w14:paraId="48925BFB"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海螺水泥（A股）</w:t>
                  </w:r>
                </w:p>
              </w:tc>
              <w:tc>
                <w:tcPr>
                  <w:tcW w:w="3312" w:type="dxa"/>
                  <w:tcBorders>
                    <w:top w:val="nil"/>
                    <w:left w:val="nil"/>
                    <w:bottom w:val="single" w:sz="4" w:space="0" w:color="auto"/>
                    <w:right w:val="single" w:sz="4" w:space="0" w:color="auto"/>
                  </w:tcBorders>
                  <w:shd w:val="clear" w:color="auto" w:fill="auto"/>
                  <w:noWrap/>
                </w:tcPr>
                <w:p w14:paraId="31DF881F" w14:textId="77777777" w:rsidR="00C97F71" w:rsidRDefault="0052098D">
                  <w:pPr>
                    <w:jc w:val="center"/>
                    <w:rPr>
                      <w:rFonts w:ascii="仿宋" w:eastAsia="仿宋" w:hAnsi="仿宋" w:cs="仿宋"/>
                      <w:sz w:val="24"/>
                      <w:szCs w:val="24"/>
                    </w:rPr>
                  </w:pPr>
                  <w:r>
                    <w:rPr>
                      <w:rFonts w:ascii="仿宋" w:eastAsia="仿宋" w:hAnsi="仿宋" w:cs="仿宋"/>
                      <w:sz w:val="24"/>
                      <w:szCs w:val="24"/>
                    </w:rPr>
                    <w:t>0.32</w:t>
                  </w:r>
                </w:p>
              </w:tc>
            </w:tr>
            <w:tr w:rsidR="00C97F71" w14:paraId="5414B1ED"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tcPr>
                <w:p w14:paraId="3074CA86"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海螺水泥（H股）</w:t>
                  </w:r>
                </w:p>
              </w:tc>
              <w:tc>
                <w:tcPr>
                  <w:tcW w:w="3312" w:type="dxa"/>
                  <w:tcBorders>
                    <w:top w:val="nil"/>
                    <w:left w:val="nil"/>
                    <w:bottom w:val="single" w:sz="4" w:space="0" w:color="auto"/>
                    <w:right w:val="single" w:sz="4" w:space="0" w:color="auto"/>
                  </w:tcBorders>
                  <w:shd w:val="clear" w:color="auto" w:fill="auto"/>
                  <w:noWrap/>
                </w:tcPr>
                <w:p w14:paraId="0B8A4F66" w14:textId="77777777" w:rsidR="00C97F71" w:rsidRDefault="0052098D">
                  <w:pPr>
                    <w:jc w:val="center"/>
                    <w:rPr>
                      <w:rFonts w:ascii="仿宋" w:eastAsia="仿宋" w:hAnsi="仿宋" w:cs="仿宋"/>
                      <w:sz w:val="24"/>
                      <w:szCs w:val="24"/>
                    </w:rPr>
                  </w:pPr>
                  <w:r>
                    <w:rPr>
                      <w:rFonts w:ascii="仿宋" w:eastAsia="仿宋" w:hAnsi="仿宋" w:cs="仿宋" w:hint="eastAsia"/>
                      <w:sz w:val="24"/>
                      <w:szCs w:val="24"/>
                    </w:rPr>
                    <w:t>0</w:t>
                  </w:r>
                  <w:r>
                    <w:rPr>
                      <w:rFonts w:ascii="仿宋" w:eastAsia="仿宋" w:hAnsi="仿宋" w:cs="仿宋"/>
                      <w:sz w:val="24"/>
                      <w:szCs w:val="24"/>
                    </w:rPr>
                    <w:t>.27</w:t>
                  </w:r>
                </w:p>
              </w:tc>
            </w:tr>
            <w:tr w:rsidR="00C97F71" w14:paraId="1A58EFBF" w14:textId="77777777">
              <w:trPr>
                <w:trHeight w:val="194"/>
                <w:jc w:val="center"/>
              </w:trPr>
              <w:tc>
                <w:tcPr>
                  <w:tcW w:w="3415" w:type="dxa"/>
                  <w:tcBorders>
                    <w:top w:val="nil"/>
                    <w:left w:val="single" w:sz="4" w:space="0" w:color="auto"/>
                    <w:bottom w:val="single" w:sz="4" w:space="0" w:color="auto"/>
                    <w:right w:val="single" w:sz="4" w:space="0" w:color="auto"/>
                  </w:tcBorders>
                  <w:shd w:val="clear" w:color="auto" w:fill="auto"/>
                  <w:noWrap/>
                  <w:vAlign w:val="bottom"/>
                </w:tcPr>
                <w:p w14:paraId="38FAC1F1"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前十大重仓股总计</w:t>
                  </w:r>
                </w:p>
              </w:tc>
              <w:tc>
                <w:tcPr>
                  <w:tcW w:w="3312" w:type="dxa"/>
                  <w:tcBorders>
                    <w:top w:val="nil"/>
                    <w:left w:val="nil"/>
                    <w:bottom w:val="single" w:sz="4" w:space="0" w:color="auto"/>
                    <w:right w:val="single" w:sz="4" w:space="0" w:color="auto"/>
                  </w:tcBorders>
                  <w:shd w:val="clear" w:color="auto" w:fill="auto"/>
                  <w:noWrap/>
                </w:tcPr>
                <w:p w14:paraId="06EF0329" w14:textId="77777777" w:rsidR="00C97F71" w:rsidRDefault="0052098D">
                  <w:pPr>
                    <w:jc w:val="center"/>
                    <w:rPr>
                      <w:rFonts w:ascii="仿宋" w:eastAsia="仿宋" w:hAnsi="仿宋" w:cs="仿宋"/>
                      <w:sz w:val="24"/>
                      <w:szCs w:val="24"/>
                    </w:rPr>
                  </w:pPr>
                  <w:r>
                    <w:rPr>
                      <w:rFonts w:ascii="仿宋" w:eastAsia="仿宋" w:hAnsi="仿宋" w:cs="仿宋"/>
                      <w:sz w:val="24"/>
                      <w:szCs w:val="24"/>
                    </w:rPr>
                    <w:t>16.34</w:t>
                  </w:r>
                </w:p>
              </w:tc>
            </w:tr>
          </w:tbl>
          <w:p w14:paraId="60F24089" w14:textId="77777777" w:rsidR="00C97F71" w:rsidRDefault="0052098D">
            <w:pPr>
              <w:widowControl/>
              <w:spacing w:line="240" w:lineRule="auto"/>
              <w:jc w:val="left"/>
              <w:rPr>
                <w:rFonts w:ascii="仿宋" w:eastAsia="仿宋" w:hAnsi="仿宋" w:cs="仿宋"/>
                <w:sz w:val="24"/>
                <w:szCs w:val="24"/>
              </w:rPr>
            </w:pPr>
            <w:r>
              <w:rPr>
                <w:rFonts w:ascii="仿宋" w:eastAsia="仿宋" w:hAnsi="仿宋" w:cs="仿宋" w:hint="eastAsia"/>
                <w:sz w:val="24"/>
                <w:szCs w:val="24"/>
              </w:rPr>
              <w:t>3、产品费率结构：</w:t>
            </w:r>
          </w:p>
          <w:tbl>
            <w:tblPr>
              <w:tblW w:w="5000" w:type="pct"/>
              <w:jc w:val="center"/>
              <w:tblLook w:val="04A0" w:firstRow="1" w:lastRow="0" w:firstColumn="1" w:lastColumn="0" w:noHBand="0" w:noVBand="1"/>
            </w:tblPr>
            <w:tblGrid>
              <w:gridCol w:w="704"/>
              <w:gridCol w:w="816"/>
              <w:gridCol w:w="828"/>
              <w:gridCol w:w="972"/>
              <w:gridCol w:w="3100"/>
              <w:gridCol w:w="4074"/>
            </w:tblGrid>
            <w:tr w:rsidR="00C97F71" w14:paraId="3CC8F43C" w14:textId="77777777">
              <w:trPr>
                <w:trHeight w:val="191"/>
                <w:jc w:val="center"/>
              </w:trPr>
              <w:tc>
                <w:tcPr>
                  <w:tcW w:w="346" w:type="pct"/>
                  <w:tcBorders>
                    <w:top w:val="single" w:sz="4" w:space="0" w:color="auto"/>
                    <w:left w:val="single" w:sz="4" w:space="0" w:color="auto"/>
                    <w:bottom w:val="single" w:sz="4" w:space="0" w:color="auto"/>
                    <w:right w:val="single" w:sz="4" w:space="0" w:color="auto"/>
                  </w:tcBorders>
                  <w:shd w:val="clear" w:color="auto" w:fill="auto"/>
                  <w:vAlign w:val="center"/>
                </w:tcPr>
                <w:p w14:paraId="48A2B2EB"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基金费率</w:t>
                  </w:r>
                </w:p>
              </w:tc>
              <w:tc>
                <w:tcPr>
                  <w:tcW w:w="338" w:type="pct"/>
                  <w:tcBorders>
                    <w:top w:val="single" w:sz="4" w:space="0" w:color="auto"/>
                    <w:left w:val="nil"/>
                    <w:bottom w:val="single" w:sz="4" w:space="0" w:color="auto"/>
                    <w:right w:val="single" w:sz="4" w:space="0" w:color="auto"/>
                  </w:tcBorders>
                  <w:shd w:val="clear" w:color="auto" w:fill="auto"/>
                  <w:vAlign w:val="center"/>
                </w:tcPr>
                <w:p w14:paraId="24B6B179"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管理费</w:t>
                  </w:r>
                </w:p>
              </w:tc>
              <w:tc>
                <w:tcPr>
                  <w:tcW w:w="405" w:type="pct"/>
                  <w:tcBorders>
                    <w:top w:val="single" w:sz="4" w:space="0" w:color="auto"/>
                    <w:left w:val="nil"/>
                    <w:bottom w:val="single" w:sz="4" w:space="0" w:color="auto"/>
                    <w:right w:val="single" w:sz="4" w:space="0" w:color="auto"/>
                  </w:tcBorders>
                  <w:shd w:val="clear" w:color="auto" w:fill="auto"/>
                  <w:vAlign w:val="center"/>
                </w:tcPr>
                <w:p w14:paraId="0FC3291B"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托管费</w:t>
                  </w:r>
                </w:p>
              </w:tc>
              <w:tc>
                <w:tcPr>
                  <w:tcW w:w="473" w:type="pct"/>
                  <w:tcBorders>
                    <w:top w:val="single" w:sz="4" w:space="0" w:color="auto"/>
                    <w:left w:val="nil"/>
                    <w:bottom w:val="single" w:sz="4" w:space="0" w:color="auto"/>
                    <w:right w:val="single" w:sz="4" w:space="0" w:color="auto"/>
                  </w:tcBorders>
                  <w:vAlign w:val="center"/>
                </w:tcPr>
                <w:p w14:paraId="4D0CA27C"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销售服务费</w:t>
                  </w:r>
                </w:p>
              </w:tc>
              <w:tc>
                <w:tcPr>
                  <w:tcW w:w="1487" w:type="pct"/>
                  <w:tcBorders>
                    <w:top w:val="single" w:sz="4" w:space="0" w:color="auto"/>
                    <w:left w:val="single" w:sz="4" w:space="0" w:color="auto"/>
                    <w:bottom w:val="single" w:sz="4" w:space="0" w:color="auto"/>
                    <w:right w:val="single" w:sz="4" w:space="0" w:color="auto"/>
                  </w:tcBorders>
                  <w:shd w:val="clear" w:color="auto" w:fill="auto"/>
                  <w:vAlign w:val="center"/>
                </w:tcPr>
                <w:p w14:paraId="78C2594B"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申购费</w:t>
                  </w:r>
                </w:p>
              </w:tc>
              <w:tc>
                <w:tcPr>
                  <w:tcW w:w="1951" w:type="pct"/>
                  <w:tcBorders>
                    <w:top w:val="single" w:sz="4" w:space="0" w:color="auto"/>
                    <w:left w:val="nil"/>
                    <w:bottom w:val="single" w:sz="4" w:space="0" w:color="auto"/>
                    <w:right w:val="single" w:sz="4" w:space="0" w:color="auto"/>
                  </w:tcBorders>
                  <w:shd w:val="clear" w:color="auto" w:fill="auto"/>
                  <w:vAlign w:val="center"/>
                </w:tcPr>
                <w:p w14:paraId="52E881D0"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赎回费</w:t>
                  </w:r>
                </w:p>
              </w:tc>
            </w:tr>
            <w:tr w:rsidR="00C97F71" w14:paraId="013F2FE3" w14:textId="77777777">
              <w:trPr>
                <w:trHeight w:val="2613"/>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044E7C50"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安信稳健增利</w:t>
                  </w:r>
                </w:p>
              </w:tc>
              <w:tc>
                <w:tcPr>
                  <w:tcW w:w="338" w:type="pct"/>
                  <w:tcBorders>
                    <w:top w:val="nil"/>
                    <w:left w:val="nil"/>
                    <w:bottom w:val="single" w:sz="4" w:space="0" w:color="auto"/>
                    <w:right w:val="single" w:sz="4" w:space="0" w:color="auto"/>
                  </w:tcBorders>
                  <w:shd w:val="clear" w:color="auto" w:fill="auto"/>
                  <w:vAlign w:val="center"/>
                </w:tcPr>
                <w:p w14:paraId="5203CCB9"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0.80%</w:t>
                  </w:r>
                </w:p>
              </w:tc>
              <w:tc>
                <w:tcPr>
                  <w:tcW w:w="405" w:type="pct"/>
                  <w:tcBorders>
                    <w:top w:val="nil"/>
                    <w:left w:val="nil"/>
                    <w:bottom w:val="single" w:sz="4" w:space="0" w:color="auto"/>
                    <w:right w:val="single" w:sz="4" w:space="0" w:color="auto"/>
                  </w:tcBorders>
                  <w:shd w:val="clear" w:color="auto" w:fill="auto"/>
                  <w:vAlign w:val="center"/>
                </w:tcPr>
                <w:p w14:paraId="76D1AFDE"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0.20%</w:t>
                  </w:r>
                </w:p>
              </w:tc>
              <w:tc>
                <w:tcPr>
                  <w:tcW w:w="473" w:type="pct"/>
                  <w:tcBorders>
                    <w:top w:val="single" w:sz="4" w:space="0" w:color="auto"/>
                    <w:left w:val="nil"/>
                    <w:bottom w:val="single" w:sz="4" w:space="0" w:color="auto"/>
                    <w:right w:val="single" w:sz="4" w:space="0" w:color="auto"/>
                  </w:tcBorders>
                  <w:vAlign w:val="center"/>
                </w:tcPr>
                <w:p w14:paraId="6554CF9B"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C类0</w:t>
                  </w:r>
                  <w:r>
                    <w:rPr>
                      <w:rFonts w:ascii="仿宋" w:eastAsia="仿宋" w:hAnsi="仿宋" w:cs="仿宋"/>
                      <w:sz w:val="24"/>
                      <w:szCs w:val="24"/>
                    </w:rPr>
                    <w:t>.3</w:t>
                  </w:r>
                  <w:r>
                    <w:rPr>
                      <w:rFonts w:ascii="仿宋" w:eastAsia="仿宋" w:hAnsi="仿宋" w:cs="仿宋" w:hint="eastAsia"/>
                      <w:sz w:val="24"/>
                      <w:szCs w:val="24"/>
                    </w:rPr>
                    <w:t>%</w:t>
                  </w:r>
                </w:p>
              </w:tc>
              <w:tc>
                <w:tcPr>
                  <w:tcW w:w="1487" w:type="pct"/>
                  <w:tcBorders>
                    <w:top w:val="nil"/>
                    <w:left w:val="single" w:sz="4" w:space="0" w:color="auto"/>
                    <w:bottom w:val="single" w:sz="4" w:space="0" w:color="auto"/>
                    <w:right w:val="single" w:sz="4" w:space="0" w:color="auto"/>
                  </w:tcBorders>
                  <w:shd w:val="clear" w:color="auto" w:fill="auto"/>
                  <w:vAlign w:val="center"/>
                </w:tcPr>
                <w:p w14:paraId="01AD662C"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本基金A类份额收取认购费和申购费，费用结构如下：</w:t>
                  </w:r>
                </w:p>
                <w:tbl>
                  <w:tblPr>
                    <w:tblW w:w="2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816"/>
                    <w:gridCol w:w="816"/>
                  </w:tblGrid>
                  <w:tr w:rsidR="00C97F71" w14:paraId="79BA71C7" w14:textId="77777777">
                    <w:trPr>
                      <w:trHeight w:val="250"/>
                    </w:trPr>
                    <w:tc>
                      <w:tcPr>
                        <w:tcW w:w="1332" w:type="dxa"/>
                        <w:tcBorders>
                          <w:top w:val="single" w:sz="4" w:space="0" w:color="auto"/>
                          <w:left w:val="single" w:sz="4" w:space="0" w:color="auto"/>
                          <w:bottom w:val="single" w:sz="4" w:space="0" w:color="auto"/>
                          <w:right w:val="single" w:sz="4" w:space="0" w:color="auto"/>
                        </w:tcBorders>
                      </w:tcPr>
                      <w:p w14:paraId="743558EF"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认购</w:t>
                        </w:r>
                        <w:r>
                          <w:rPr>
                            <w:rFonts w:ascii="仿宋" w:eastAsia="仿宋" w:hAnsi="仿宋" w:cs="仿宋"/>
                            <w:sz w:val="24"/>
                            <w:szCs w:val="24"/>
                          </w:rPr>
                          <w:t>/</w:t>
                        </w:r>
                        <w:r>
                          <w:rPr>
                            <w:rFonts w:ascii="仿宋" w:eastAsia="仿宋" w:hAnsi="仿宋" w:cs="仿宋" w:hint="eastAsia"/>
                            <w:sz w:val="24"/>
                            <w:szCs w:val="24"/>
                          </w:rPr>
                          <w:t>申购金额（</w:t>
                        </w:r>
                        <w:r>
                          <w:rPr>
                            <w:rFonts w:ascii="仿宋" w:eastAsia="仿宋" w:hAnsi="仿宋" w:cs="仿宋"/>
                            <w:sz w:val="24"/>
                            <w:szCs w:val="24"/>
                          </w:rPr>
                          <w:t>M</w:t>
                        </w:r>
                        <w:r>
                          <w:rPr>
                            <w:rFonts w:ascii="仿宋" w:eastAsia="仿宋" w:hAnsi="仿宋" w:cs="仿宋" w:hint="eastAsia"/>
                            <w:sz w:val="24"/>
                            <w:szCs w:val="24"/>
                          </w:rPr>
                          <w:t>）</w:t>
                        </w:r>
                      </w:p>
                    </w:tc>
                    <w:tc>
                      <w:tcPr>
                        <w:tcW w:w="695" w:type="dxa"/>
                        <w:tcBorders>
                          <w:top w:val="single" w:sz="4" w:space="0" w:color="auto"/>
                          <w:left w:val="single" w:sz="4" w:space="0" w:color="auto"/>
                          <w:bottom w:val="single" w:sz="4" w:space="0" w:color="auto"/>
                          <w:right w:val="single" w:sz="4" w:space="0" w:color="auto"/>
                        </w:tcBorders>
                      </w:tcPr>
                      <w:p w14:paraId="3DA1B672"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认购费</w:t>
                        </w:r>
                      </w:p>
                    </w:tc>
                    <w:tc>
                      <w:tcPr>
                        <w:tcW w:w="694" w:type="dxa"/>
                        <w:tcBorders>
                          <w:top w:val="single" w:sz="4" w:space="0" w:color="auto"/>
                          <w:left w:val="single" w:sz="4" w:space="0" w:color="auto"/>
                          <w:bottom w:val="single" w:sz="4" w:space="0" w:color="auto"/>
                          <w:right w:val="single" w:sz="4" w:space="0" w:color="auto"/>
                        </w:tcBorders>
                      </w:tcPr>
                      <w:p w14:paraId="7FE11A49"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申购费</w:t>
                        </w:r>
                      </w:p>
                    </w:tc>
                  </w:tr>
                  <w:tr w:rsidR="00C97F71" w14:paraId="2D66E542" w14:textId="77777777">
                    <w:trPr>
                      <w:trHeight w:val="263"/>
                    </w:trPr>
                    <w:tc>
                      <w:tcPr>
                        <w:tcW w:w="1332" w:type="dxa"/>
                        <w:tcBorders>
                          <w:top w:val="single" w:sz="4" w:space="0" w:color="auto"/>
                          <w:left w:val="single" w:sz="4" w:space="0" w:color="auto"/>
                          <w:bottom w:val="single" w:sz="4" w:space="0" w:color="auto"/>
                          <w:right w:val="single" w:sz="4" w:space="0" w:color="auto"/>
                        </w:tcBorders>
                      </w:tcPr>
                      <w:p w14:paraId="00ABEAE3"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M</w:t>
                        </w:r>
                        <w:r>
                          <w:rPr>
                            <w:rFonts w:ascii="仿宋" w:eastAsia="仿宋" w:hAnsi="仿宋" w:cs="仿宋" w:hint="eastAsia"/>
                            <w:sz w:val="24"/>
                            <w:szCs w:val="24"/>
                          </w:rPr>
                          <w:t>＜</w:t>
                        </w:r>
                        <w:r>
                          <w:rPr>
                            <w:rFonts w:ascii="仿宋" w:eastAsia="仿宋" w:hAnsi="仿宋" w:cs="仿宋"/>
                            <w:sz w:val="24"/>
                            <w:szCs w:val="24"/>
                          </w:rPr>
                          <w:t>100</w:t>
                        </w:r>
                        <w:r>
                          <w:rPr>
                            <w:rFonts w:ascii="仿宋" w:eastAsia="仿宋" w:hAnsi="仿宋" w:cs="仿宋" w:hint="eastAsia"/>
                            <w:sz w:val="24"/>
                            <w:szCs w:val="24"/>
                          </w:rPr>
                          <w:t>万元</w:t>
                        </w:r>
                      </w:p>
                    </w:tc>
                    <w:tc>
                      <w:tcPr>
                        <w:tcW w:w="695" w:type="dxa"/>
                        <w:tcBorders>
                          <w:top w:val="single" w:sz="4" w:space="0" w:color="auto"/>
                          <w:left w:val="single" w:sz="4" w:space="0" w:color="auto"/>
                          <w:bottom w:val="single" w:sz="4" w:space="0" w:color="auto"/>
                          <w:right w:val="single" w:sz="4" w:space="0" w:color="auto"/>
                        </w:tcBorders>
                      </w:tcPr>
                      <w:p w14:paraId="5E5EC939"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0.60%</w:t>
                        </w:r>
                      </w:p>
                    </w:tc>
                    <w:tc>
                      <w:tcPr>
                        <w:tcW w:w="694" w:type="dxa"/>
                        <w:tcBorders>
                          <w:top w:val="single" w:sz="4" w:space="0" w:color="auto"/>
                          <w:left w:val="single" w:sz="4" w:space="0" w:color="auto"/>
                          <w:bottom w:val="single" w:sz="4" w:space="0" w:color="auto"/>
                          <w:right w:val="single" w:sz="4" w:space="0" w:color="auto"/>
                        </w:tcBorders>
                      </w:tcPr>
                      <w:p w14:paraId="755A89D7"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0.80%</w:t>
                        </w:r>
                      </w:p>
                    </w:tc>
                  </w:tr>
                  <w:tr w:rsidR="00C97F71" w14:paraId="119E7828" w14:textId="77777777">
                    <w:trPr>
                      <w:trHeight w:val="250"/>
                    </w:trPr>
                    <w:tc>
                      <w:tcPr>
                        <w:tcW w:w="1332" w:type="dxa"/>
                        <w:tcBorders>
                          <w:top w:val="single" w:sz="4" w:space="0" w:color="auto"/>
                          <w:left w:val="single" w:sz="4" w:space="0" w:color="auto"/>
                          <w:bottom w:val="single" w:sz="4" w:space="0" w:color="auto"/>
                          <w:right w:val="single" w:sz="4" w:space="0" w:color="auto"/>
                        </w:tcBorders>
                      </w:tcPr>
                      <w:p w14:paraId="5F75DB08"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100</w:t>
                        </w:r>
                        <w:r>
                          <w:rPr>
                            <w:rFonts w:ascii="仿宋" w:eastAsia="仿宋" w:hAnsi="仿宋" w:cs="仿宋" w:hint="eastAsia"/>
                            <w:sz w:val="24"/>
                            <w:szCs w:val="24"/>
                          </w:rPr>
                          <w:t>万元</w:t>
                        </w:r>
                        <w:r>
                          <w:rPr>
                            <w:rFonts w:ascii="仿宋" w:eastAsia="仿宋" w:hAnsi="仿宋" w:cs="仿宋"/>
                            <w:sz w:val="24"/>
                            <w:szCs w:val="24"/>
                          </w:rPr>
                          <w:t>≤M</w:t>
                        </w:r>
                        <w:r>
                          <w:rPr>
                            <w:rFonts w:ascii="仿宋" w:eastAsia="仿宋" w:hAnsi="仿宋" w:cs="仿宋" w:hint="eastAsia"/>
                            <w:sz w:val="24"/>
                            <w:szCs w:val="24"/>
                          </w:rPr>
                          <w:t>＜</w:t>
                        </w:r>
                        <w:r>
                          <w:rPr>
                            <w:rFonts w:ascii="仿宋" w:eastAsia="仿宋" w:hAnsi="仿宋" w:cs="仿宋"/>
                            <w:sz w:val="24"/>
                            <w:szCs w:val="24"/>
                          </w:rPr>
                          <w:t>500</w:t>
                        </w:r>
                        <w:r>
                          <w:rPr>
                            <w:rFonts w:ascii="仿宋" w:eastAsia="仿宋" w:hAnsi="仿宋" w:cs="仿宋" w:hint="eastAsia"/>
                            <w:sz w:val="24"/>
                            <w:szCs w:val="24"/>
                          </w:rPr>
                          <w:t>万元</w:t>
                        </w:r>
                      </w:p>
                    </w:tc>
                    <w:tc>
                      <w:tcPr>
                        <w:tcW w:w="695" w:type="dxa"/>
                        <w:tcBorders>
                          <w:top w:val="single" w:sz="4" w:space="0" w:color="auto"/>
                          <w:left w:val="single" w:sz="4" w:space="0" w:color="auto"/>
                          <w:bottom w:val="single" w:sz="4" w:space="0" w:color="auto"/>
                          <w:right w:val="single" w:sz="4" w:space="0" w:color="auto"/>
                        </w:tcBorders>
                      </w:tcPr>
                      <w:p w14:paraId="4760BBBD"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0.40%</w:t>
                        </w:r>
                      </w:p>
                    </w:tc>
                    <w:tc>
                      <w:tcPr>
                        <w:tcW w:w="694" w:type="dxa"/>
                        <w:tcBorders>
                          <w:top w:val="single" w:sz="4" w:space="0" w:color="auto"/>
                          <w:left w:val="single" w:sz="4" w:space="0" w:color="auto"/>
                          <w:bottom w:val="single" w:sz="4" w:space="0" w:color="auto"/>
                          <w:right w:val="single" w:sz="4" w:space="0" w:color="auto"/>
                        </w:tcBorders>
                      </w:tcPr>
                      <w:p w14:paraId="650F28D6"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0.50%</w:t>
                        </w:r>
                      </w:p>
                    </w:tc>
                  </w:tr>
                  <w:tr w:rsidR="00C97F71" w14:paraId="0CA4EFDB" w14:textId="77777777">
                    <w:trPr>
                      <w:trHeight w:val="263"/>
                    </w:trPr>
                    <w:tc>
                      <w:tcPr>
                        <w:tcW w:w="1332" w:type="dxa"/>
                        <w:tcBorders>
                          <w:top w:val="single" w:sz="4" w:space="0" w:color="auto"/>
                          <w:left w:val="single" w:sz="4" w:space="0" w:color="auto"/>
                          <w:bottom w:val="single" w:sz="4" w:space="0" w:color="auto"/>
                          <w:right w:val="single" w:sz="4" w:space="0" w:color="auto"/>
                        </w:tcBorders>
                      </w:tcPr>
                      <w:p w14:paraId="077444EA"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500</w:t>
                        </w:r>
                        <w:r>
                          <w:rPr>
                            <w:rFonts w:ascii="仿宋" w:eastAsia="仿宋" w:hAnsi="仿宋" w:cs="仿宋" w:hint="eastAsia"/>
                            <w:sz w:val="24"/>
                            <w:szCs w:val="24"/>
                          </w:rPr>
                          <w:t>万元</w:t>
                        </w:r>
                        <w:r>
                          <w:rPr>
                            <w:rFonts w:ascii="仿宋" w:eastAsia="仿宋" w:hAnsi="仿宋" w:cs="仿宋"/>
                            <w:sz w:val="24"/>
                            <w:szCs w:val="24"/>
                          </w:rPr>
                          <w:t xml:space="preserve">≤M </w:t>
                        </w:r>
                      </w:p>
                    </w:tc>
                    <w:tc>
                      <w:tcPr>
                        <w:tcW w:w="695" w:type="dxa"/>
                        <w:tcBorders>
                          <w:top w:val="single" w:sz="4" w:space="0" w:color="auto"/>
                          <w:left w:val="single" w:sz="4" w:space="0" w:color="auto"/>
                          <w:bottom w:val="single" w:sz="4" w:space="0" w:color="auto"/>
                          <w:right w:val="single" w:sz="4" w:space="0" w:color="auto"/>
                        </w:tcBorders>
                      </w:tcPr>
                      <w:p w14:paraId="12848932"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1000</w:t>
                        </w:r>
                        <w:r>
                          <w:rPr>
                            <w:rFonts w:ascii="仿宋" w:eastAsia="仿宋" w:hAnsi="仿宋" w:cs="仿宋" w:hint="eastAsia"/>
                            <w:sz w:val="24"/>
                            <w:szCs w:val="24"/>
                          </w:rPr>
                          <w:t>元</w:t>
                        </w:r>
                        <w:r>
                          <w:rPr>
                            <w:rFonts w:ascii="仿宋" w:eastAsia="仿宋" w:hAnsi="仿宋" w:cs="仿宋"/>
                            <w:sz w:val="24"/>
                            <w:szCs w:val="24"/>
                          </w:rPr>
                          <w:t>/</w:t>
                        </w:r>
                        <w:r>
                          <w:rPr>
                            <w:rFonts w:ascii="仿宋" w:eastAsia="仿宋" w:hAnsi="仿宋" w:cs="仿宋" w:hint="eastAsia"/>
                            <w:sz w:val="24"/>
                            <w:szCs w:val="24"/>
                          </w:rPr>
                          <w:t>笔</w:t>
                        </w:r>
                      </w:p>
                    </w:tc>
                    <w:tc>
                      <w:tcPr>
                        <w:tcW w:w="694" w:type="dxa"/>
                        <w:tcBorders>
                          <w:top w:val="single" w:sz="4" w:space="0" w:color="auto"/>
                          <w:left w:val="single" w:sz="4" w:space="0" w:color="auto"/>
                          <w:bottom w:val="single" w:sz="4" w:space="0" w:color="auto"/>
                          <w:right w:val="single" w:sz="4" w:space="0" w:color="auto"/>
                        </w:tcBorders>
                      </w:tcPr>
                      <w:p w14:paraId="019001E2"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sz w:val="24"/>
                            <w:szCs w:val="24"/>
                          </w:rPr>
                          <w:t>1000</w:t>
                        </w:r>
                        <w:r>
                          <w:rPr>
                            <w:rFonts w:ascii="仿宋" w:eastAsia="仿宋" w:hAnsi="仿宋" w:cs="仿宋" w:hint="eastAsia"/>
                            <w:sz w:val="24"/>
                            <w:szCs w:val="24"/>
                          </w:rPr>
                          <w:t>元</w:t>
                        </w:r>
                        <w:r>
                          <w:rPr>
                            <w:rFonts w:ascii="仿宋" w:eastAsia="仿宋" w:hAnsi="仿宋" w:cs="仿宋"/>
                            <w:sz w:val="24"/>
                            <w:szCs w:val="24"/>
                          </w:rPr>
                          <w:t>/</w:t>
                        </w:r>
                        <w:r>
                          <w:rPr>
                            <w:rFonts w:ascii="仿宋" w:eastAsia="仿宋" w:hAnsi="仿宋" w:cs="仿宋" w:hint="eastAsia"/>
                            <w:sz w:val="24"/>
                            <w:szCs w:val="24"/>
                          </w:rPr>
                          <w:t>笔</w:t>
                        </w:r>
                      </w:p>
                    </w:tc>
                  </w:tr>
                </w:tbl>
                <w:p w14:paraId="2E92533E"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本基金C类份额不收取认购费和申购费。</w:t>
                  </w:r>
                </w:p>
              </w:tc>
              <w:tc>
                <w:tcPr>
                  <w:tcW w:w="1951" w:type="pct"/>
                  <w:tcBorders>
                    <w:top w:val="nil"/>
                    <w:left w:val="nil"/>
                    <w:bottom w:val="single" w:sz="4" w:space="0" w:color="auto"/>
                    <w:right w:val="single" w:sz="4" w:space="0" w:color="auto"/>
                  </w:tcBorders>
                  <w:shd w:val="clear" w:color="auto" w:fill="auto"/>
                  <w:vAlign w:val="center"/>
                </w:tcPr>
                <w:p w14:paraId="3E9036B8"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本基金赎回费率如下：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54"/>
                    <w:gridCol w:w="1441"/>
                    <w:gridCol w:w="1253"/>
                  </w:tblGrid>
                  <w:tr w:rsidR="00C97F71" w14:paraId="299FAF6A" w14:textId="77777777">
                    <w:trPr>
                      <w:trHeight w:val="255"/>
                      <w:jc w:val="center"/>
                    </w:trPr>
                    <w:tc>
                      <w:tcPr>
                        <w:tcW w:w="1500" w:type="pct"/>
                        <w:tcBorders>
                          <w:top w:val="single" w:sz="4" w:space="0" w:color="auto"/>
                          <w:left w:val="single" w:sz="4" w:space="0" w:color="auto"/>
                          <w:bottom w:val="single" w:sz="4" w:space="0" w:color="auto"/>
                          <w:right w:val="single" w:sz="4" w:space="0" w:color="auto"/>
                        </w:tcBorders>
                      </w:tcPr>
                      <w:p w14:paraId="3D901416"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份额类别</w:t>
                        </w:r>
                      </w:p>
                    </w:tc>
                    <w:tc>
                      <w:tcPr>
                        <w:tcW w:w="18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B5F6D0D"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持有基金份额期限（T）</w:t>
                        </w:r>
                      </w:p>
                    </w:tc>
                    <w:tc>
                      <w:tcPr>
                        <w:tcW w:w="16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6E77C7D"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赎回费率（%）</w:t>
                        </w:r>
                      </w:p>
                    </w:tc>
                  </w:tr>
                  <w:tr w:rsidR="00C97F71" w14:paraId="024C746F" w14:textId="77777777">
                    <w:trPr>
                      <w:trHeight w:val="255"/>
                      <w:jc w:val="center"/>
                    </w:trPr>
                    <w:tc>
                      <w:tcPr>
                        <w:tcW w:w="1500" w:type="pct"/>
                        <w:vMerge w:val="restart"/>
                        <w:tcBorders>
                          <w:top w:val="single" w:sz="4" w:space="0" w:color="auto"/>
                          <w:left w:val="single" w:sz="4" w:space="0" w:color="auto"/>
                          <w:bottom w:val="single" w:sz="4" w:space="0" w:color="auto"/>
                          <w:right w:val="single" w:sz="4" w:space="0" w:color="auto"/>
                        </w:tcBorders>
                        <w:vAlign w:val="center"/>
                      </w:tcPr>
                      <w:p w14:paraId="6E192D7A"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A类赎回费率</w:t>
                        </w:r>
                      </w:p>
                    </w:tc>
                    <w:tc>
                      <w:tcPr>
                        <w:tcW w:w="18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6F29575"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T&lt;7天</w:t>
                        </w:r>
                      </w:p>
                    </w:tc>
                    <w:tc>
                      <w:tcPr>
                        <w:tcW w:w="16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5C9853"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1.50%</w:t>
                        </w:r>
                      </w:p>
                    </w:tc>
                  </w:tr>
                  <w:tr w:rsidR="00C97F71" w14:paraId="2B91D393" w14:textId="77777777">
                    <w:trPr>
                      <w:trHeight w:val="255"/>
                      <w:jc w:val="center"/>
                    </w:trPr>
                    <w:tc>
                      <w:tcPr>
                        <w:tcW w:w="2589" w:type="dxa"/>
                        <w:vMerge/>
                        <w:tcBorders>
                          <w:top w:val="single" w:sz="4" w:space="0" w:color="auto"/>
                          <w:left w:val="single" w:sz="4" w:space="0" w:color="auto"/>
                          <w:bottom w:val="single" w:sz="4" w:space="0" w:color="auto"/>
                          <w:right w:val="single" w:sz="4" w:space="0" w:color="auto"/>
                        </w:tcBorders>
                        <w:vAlign w:val="center"/>
                      </w:tcPr>
                      <w:p w14:paraId="4A1B765A" w14:textId="77777777" w:rsidR="00C97F71" w:rsidRDefault="00C97F71">
                        <w:pPr>
                          <w:widowControl/>
                          <w:spacing w:line="240" w:lineRule="auto"/>
                          <w:jc w:val="center"/>
                          <w:rPr>
                            <w:rFonts w:ascii="仿宋" w:eastAsia="仿宋" w:hAnsi="仿宋" w:cs="仿宋"/>
                            <w:sz w:val="24"/>
                            <w:szCs w:val="24"/>
                          </w:rPr>
                        </w:pPr>
                      </w:p>
                    </w:tc>
                    <w:tc>
                      <w:tcPr>
                        <w:tcW w:w="18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A984519"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7天≤T&lt;30天</w:t>
                        </w:r>
                      </w:p>
                    </w:tc>
                    <w:tc>
                      <w:tcPr>
                        <w:tcW w:w="16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E9F97DD"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0.75%</w:t>
                        </w:r>
                      </w:p>
                    </w:tc>
                  </w:tr>
                  <w:tr w:rsidR="00C97F71" w14:paraId="7A18982F" w14:textId="77777777">
                    <w:trPr>
                      <w:trHeight w:val="255"/>
                      <w:jc w:val="center"/>
                    </w:trPr>
                    <w:tc>
                      <w:tcPr>
                        <w:tcW w:w="2589" w:type="dxa"/>
                        <w:vMerge/>
                        <w:tcBorders>
                          <w:top w:val="single" w:sz="4" w:space="0" w:color="auto"/>
                          <w:left w:val="single" w:sz="4" w:space="0" w:color="auto"/>
                          <w:bottom w:val="single" w:sz="4" w:space="0" w:color="auto"/>
                          <w:right w:val="single" w:sz="4" w:space="0" w:color="auto"/>
                        </w:tcBorders>
                        <w:vAlign w:val="center"/>
                      </w:tcPr>
                      <w:p w14:paraId="146E8386" w14:textId="77777777" w:rsidR="00C97F71" w:rsidRDefault="00C97F71">
                        <w:pPr>
                          <w:widowControl/>
                          <w:spacing w:line="240" w:lineRule="auto"/>
                          <w:jc w:val="center"/>
                          <w:rPr>
                            <w:rFonts w:ascii="仿宋" w:eastAsia="仿宋" w:hAnsi="仿宋" w:cs="仿宋"/>
                            <w:sz w:val="24"/>
                            <w:szCs w:val="24"/>
                          </w:rPr>
                        </w:pPr>
                      </w:p>
                    </w:tc>
                    <w:tc>
                      <w:tcPr>
                        <w:tcW w:w="18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B86C57"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30天≤T&lt;365天</w:t>
                        </w:r>
                      </w:p>
                    </w:tc>
                    <w:tc>
                      <w:tcPr>
                        <w:tcW w:w="16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4213C71"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0.50%</w:t>
                        </w:r>
                      </w:p>
                    </w:tc>
                  </w:tr>
                  <w:tr w:rsidR="00C97F71" w14:paraId="20FF70DC" w14:textId="77777777">
                    <w:trPr>
                      <w:trHeight w:val="255"/>
                      <w:jc w:val="center"/>
                    </w:trPr>
                    <w:tc>
                      <w:tcPr>
                        <w:tcW w:w="2589" w:type="dxa"/>
                        <w:vMerge/>
                        <w:tcBorders>
                          <w:top w:val="single" w:sz="4" w:space="0" w:color="auto"/>
                          <w:left w:val="single" w:sz="4" w:space="0" w:color="auto"/>
                          <w:bottom w:val="single" w:sz="4" w:space="0" w:color="auto"/>
                          <w:right w:val="single" w:sz="4" w:space="0" w:color="auto"/>
                        </w:tcBorders>
                        <w:vAlign w:val="center"/>
                      </w:tcPr>
                      <w:p w14:paraId="1C933AD0" w14:textId="77777777" w:rsidR="00C97F71" w:rsidRDefault="00C97F71">
                        <w:pPr>
                          <w:widowControl/>
                          <w:spacing w:line="240" w:lineRule="auto"/>
                          <w:jc w:val="center"/>
                          <w:rPr>
                            <w:rFonts w:ascii="仿宋" w:eastAsia="仿宋" w:hAnsi="仿宋" w:cs="仿宋"/>
                            <w:sz w:val="24"/>
                            <w:szCs w:val="24"/>
                          </w:rPr>
                        </w:pPr>
                      </w:p>
                    </w:tc>
                    <w:tc>
                      <w:tcPr>
                        <w:tcW w:w="18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743FB3A"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365天≤T &lt;730天</w:t>
                        </w:r>
                      </w:p>
                    </w:tc>
                    <w:tc>
                      <w:tcPr>
                        <w:tcW w:w="16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609CCB7"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0.10%</w:t>
                        </w:r>
                      </w:p>
                    </w:tc>
                  </w:tr>
                  <w:tr w:rsidR="00C97F71" w14:paraId="7A85DE3A" w14:textId="77777777">
                    <w:trPr>
                      <w:trHeight w:val="170"/>
                      <w:jc w:val="center"/>
                    </w:trPr>
                    <w:tc>
                      <w:tcPr>
                        <w:tcW w:w="2589" w:type="dxa"/>
                        <w:vMerge/>
                        <w:tcBorders>
                          <w:top w:val="single" w:sz="4" w:space="0" w:color="auto"/>
                          <w:left w:val="single" w:sz="4" w:space="0" w:color="auto"/>
                          <w:bottom w:val="single" w:sz="4" w:space="0" w:color="auto"/>
                          <w:right w:val="single" w:sz="4" w:space="0" w:color="auto"/>
                        </w:tcBorders>
                        <w:vAlign w:val="center"/>
                      </w:tcPr>
                      <w:p w14:paraId="02995C60" w14:textId="77777777" w:rsidR="00C97F71" w:rsidRDefault="00C97F71">
                        <w:pPr>
                          <w:widowControl/>
                          <w:spacing w:line="240" w:lineRule="auto"/>
                          <w:jc w:val="center"/>
                          <w:rPr>
                            <w:rFonts w:ascii="仿宋" w:eastAsia="仿宋" w:hAnsi="仿宋" w:cs="仿宋"/>
                            <w:sz w:val="24"/>
                            <w:szCs w:val="24"/>
                          </w:rPr>
                        </w:pPr>
                      </w:p>
                    </w:tc>
                    <w:tc>
                      <w:tcPr>
                        <w:tcW w:w="18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079880B"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T≥730天</w:t>
                        </w:r>
                      </w:p>
                    </w:tc>
                    <w:tc>
                      <w:tcPr>
                        <w:tcW w:w="16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164FE8A"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0</w:t>
                        </w:r>
                      </w:p>
                    </w:tc>
                  </w:tr>
                  <w:tr w:rsidR="00C97F71" w14:paraId="1DB07ED2" w14:textId="77777777">
                    <w:trPr>
                      <w:trHeight w:val="170"/>
                      <w:jc w:val="center"/>
                    </w:trPr>
                    <w:tc>
                      <w:tcPr>
                        <w:tcW w:w="1500" w:type="pct"/>
                        <w:vMerge w:val="restart"/>
                        <w:tcBorders>
                          <w:top w:val="single" w:sz="4" w:space="0" w:color="auto"/>
                          <w:left w:val="single" w:sz="4" w:space="0" w:color="auto"/>
                          <w:bottom w:val="single" w:sz="4" w:space="0" w:color="auto"/>
                          <w:right w:val="single" w:sz="4" w:space="0" w:color="auto"/>
                        </w:tcBorders>
                        <w:vAlign w:val="center"/>
                      </w:tcPr>
                      <w:p w14:paraId="7CAB5F10"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C类赎回费</w:t>
                        </w:r>
                      </w:p>
                    </w:tc>
                    <w:tc>
                      <w:tcPr>
                        <w:tcW w:w="18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6ADCBA"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T&lt;7天</w:t>
                        </w:r>
                      </w:p>
                    </w:tc>
                    <w:tc>
                      <w:tcPr>
                        <w:tcW w:w="16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FA2A568"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1.50%</w:t>
                        </w:r>
                      </w:p>
                    </w:tc>
                  </w:tr>
                  <w:tr w:rsidR="00C97F71" w14:paraId="155ED39F" w14:textId="77777777">
                    <w:trPr>
                      <w:trHeight w:val="170"/>
                      <w:jc w:val="center"/>
                    </w:trPr>
                    <w:tc>
                      <w:tcPr>
                        <w:tcW w:w="2589" w:type="dxa"/>
                        <w:vMerge/>
                        <w:tcBorders>
                          <w:top w:val="single" w:sz="4" w:space="0" w:color="auto"/>
                          <w:left w:val="single" w:sz="4" w:space="0" w:color="auto"/>
                          <w:bottom w:val="single" w:sz="4" w:space="0" w:color="auto"/>
                          <w:right w:val="single" w:sz="4" w:space="0" w:color="auto"/>
                        </w:tcBorders>
                        <w:vAlign w:val="center"/>
                      </w:tcPr>
                      <w:p w14:paraId="16FDF178" w14:textId="77777777" w:rsidR="00C97F71" w:rsidRDefault="00C97F71">
                        <w:pPr>
                          <w:widowControl/>
                          <w:spacing w:line="240" w:lineRule="auto"/>
                          <w:jc w:val="center"/>
                          <w:rPr>
                            <w:rFonts w:ascii="仿宋" w:eastAsia="仿宋" w:hAnsi="仿宋" w:cs="仿宋"/>
                            <w:sz w:val="24"/>
                            <w:szCs w:val="24"/>
                          </w:rPr>
                        </w:pPr>
                      </w:p>
                    </w:tc>
                    <w:tc>
                      <w:tcPr>
                        <w:tcW w:w="18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253E65"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7天≤T&lt;30天</w:t>
                        </w:r>
                      </w:p>
                    </w:tc>
                    <w:tc>
                      <w:tcPr>
                        <w:tcW w:w="16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D76C33"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0.50%</w:t>
                        </w:r>
                      </w:p>
                    </w:tc>
                  </w:tr>
                  <w:tr w:rsidR="00C97F71" w14:paraId="34278A89" w14:textId="77777777">
                    <w:trPr>
                      <w:trHeight w:val="170"/>
                      <w:jc w:val="center"/>
                    </w:trPr>
                    <w:tc>
                      <w:tcPr>
                        <w:tcW w:w="2589" w:type="dxa"/>
                        <w:vMerge/>
                        <w:tcBorders>
                          <w:top w:val="single" w:sz="4" w:space="0" w:color="auto"/>
                          <w:left w:val="single" w:sz="4" w:space="0" w:color="auto"/>
                          <w:bottom w:val="single" w:sz="4" w:space="0" w:color="auto"/>
                          <w:right w:val="single" w:sz="4" w:space="0" w:color="auto"/>
                        </w:tcBorders>
                        <w:vAlign w:val="center"/>
                      </w:tcPr>
                      <w:p w14:paraId="71E92E3C" w14:textId="77777777" w:rsidR="00C97F71" w:rsidRDefault="00C97F71">
                        <w:pPr>
                          <w:widowControl/>
                          <w:spacing w:line="240" w:lineRule="auto"/>
                          <w:jc w:val="center"/>
                          <w:rPr>
                            <w:rFonts w:ascii="仿宋" w:eastAsia="仿宋" w:hAnsi="仿宋" w:cs="仿宋"/>
                            <w:sz w:val="24"/>
                            <w:szCs w:val="24"/>
                          </w:rPr>
                        </w:pPr>
                      </w:p>
                    </w:tc>
                    <w:tc>
                      <w:tcPr>
                        <w:tcW w:w="18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9FABD6"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T≥30天</w:t>
                        </w:r>
                      </w:p>
                    </w:tc>
                    <w:tc>
                      <w:tcPr>
                        <w:tcW w:w="162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8FE3EC" w14:textId="77777777" w:rsidR="00C97F71" w:rsidRDefault="0052098D">
                        <w:pPr>
                          <w:widowControl/>
                          <w:spacing w:line="240" w:lineRule="auto"/>
                          <w:jc w:val="center"/>
                          <w:rPr>
                            <w:rFonts w:ascii="仿宋" w:eastAsia="仿宋" w:hAnsi="仿宋" w:cs="仿宋"/>
                            <w:sz w:val="24"/>
                            <w:szCs w:val="24"/>
                          </w:rPr>
                        </w:pPr>
                        <w:r>
                          <w:rPr>
                            <w:rFonts w:ascii="仿宋" w:eastAsia="仿宋" w:hAnsi="仿宋" w:cs="仿宋" w:hint="eastAsia"/>
                            <w:sz w:val="24"/>
                            <w:szCs w:val="24"/>
                          </w:rPr>
                          <w:t>0</w:t>
                        </w:r>
                      </w:p>
                    </w:tc>
                  </w:tr>
                </w:tbl>
                <w:p w14:paraId="6BFA6D47" w14:textId="77777777" w:rsidR="00C97F71" w:rsidRDefault="00C97F71">
                  <w:pPr>
                    <w:widowControl/>
                    <w:spacing w:line="240" w:lineRule="auto"/>
                    <w:jc w:val="center"/>
                    <w:rPr>
                      <w:rFonts w:ascii="仿宋" w:eastAsia="仿宋" w:hAnsi="仿宋" w:cs="仿宋"/>
                      <w:sz w:val="24"/>
                      <w:szCs w:val="24"/>
                    </w:rPr>
                  </w:pPr>
                </w:p>
              </w:tc>
            </w:tr>
          </w:tbl>
          <w:p w14:paraId="701CCAF0" w14:textId="77777777" w:rsidR="00C97F71" w:rsidRDefault="0052098D">
            <w:pPr>
              <w:pStyle w:val="a0"/>
              <w:widowControl/>
              <w:spacing w:line="240" w:lineRule="auto"/>
              <w:ind w:leftChars="0" w:left="0"/>
              <w:jc w:val="left"/>
              <w:rPr>
                <w:rFonts w:ascii="仿宋" w:eastAsia="仿宋" w:hAnsi="仿宋" w:cs="仿宋"/>
                <w:sz w:val="24"/>
                <w:szCs w:val="24"/>
              </w:rPr>
            </w:pPr>
            <w:r>
              <w:rPr>
                <w:rFonts w:ascii="仿宋" w:eastAsia="仿宋" w:hAnsi="仿宋" w:cs="仿宋" w:hint="eastAsia"/>
                <w:sz w:val="24"/>
                <w:szCs w:val="24"/>
              </w:rPr>
              <w:t>4、产品持有人结构：2021年半年报显示，机构投资者占比</w:t>
            </w:r>
            <w:r>
              <w:rPr>
                <w:rFonts w:ascii="仿宋" w:eastAsia="仿宋" w:hAnsi="仿宋" w:cs="仿宋"/>
                <w:sz w:val="24"/>
                <w:szCs w:val="24"/>
              </w:rPr>
              <w:t>8.87</w:t>
            </w:r>
            <w:r>
              <w:rPr>
                <w:rFonts w:ascii="仿宋" w:eastAsia="仿宋" w:hAnsi="仿宋" w:cs="仿宋" w:hint="eastAsia"/>
                <w:sz w:val="24"/>
                <w:szCs w:val="24"/>
              </w:rPr>
              <w:t>%，持有人结构分散，流动性风险较低。</w:t>
            </w:r>
          </w:p>
          <w:p w14:paraId="1BA2513A" w14:textId="77777777" w:rsidR="00C97F71" w:rsidRDefault="00C97F71">
            <w:pPr>
              <w:widowControl/>
              <w:spacing w:line="240" w:lineRule="auto"/>
              <w:jc w:val="left"/>
              <w:rPr>
                <w:rFonts w:ascii="仿宋" w:eastAsia="仿宋" w:hAnsi="仿宋" w:cs="仿宋"/>
                <w:sz w:val="24"/>
                <w:szCs w:val="24"/>
              </w:rPr>
            </w:pPr>
          </w:p>
          <w:p w14:paraId="3D12DCA3" w14:textId="77777777" w:rsidR="00C97F71" w:rsidRDefault="0052098D">
            <w:pPr>
              <w:widowControl/>
              <w:spacing w:line="240" w:lineRule="auto"/>
              <w:jc w:val="left"/>
              <w:rPr>
                <w:rFonts w:ascii="仿宋" w:eastAsia="仿宋" w:hAnsi="仿宋" w:cs="仿宋"/>
                <w:sz w:val="24"/>
                <w:szCs w:val="24"/>
              </w:rPr>
            </w:pPr>
            <w:r>
              <w:rPr>
                <w:rFonts w:ascii="仿宋" w:eastAsia="仿宋" w:hAnsi="仿宋" w:cs="仿宋" w:hint="eastAsia"/>
                <w:sz w:val="24"/>
                <w:szCs w:val="24"/>
              </w:rPr>
              <w:t>三、投资经理及策略情况</w:t>
            </w:r>
          </w:p>
          <w:p w14:paraId="17A72665" w14:textId="77777777" w:rsidR="00C97F71" w:rsidRDefault="0052098D">
            <w:pPr>
              <w:widowControl/>
              <w:spacing w:line="240" w:lineRule="auto"/>
              <w:jc w:val="left"/>
              <w:rPr>
                <w:rFonts w:ascii="仿宋" w:eastAsia="仿宋" w:hAnsi="仿宋" w:cs="仿宋"/>
                <w:sz w:val="24"/>
                <w:szCs w:val="24"/>
              </w:rPr>
            </w:pPr>
            <w:r>
              <w:rPr>
                <w:rFonts w:ascii="仿宋" w:eastAsia="仿宋" w:hAnsi="仿宋" w:cs="仿宋" w:hint="eastAsia"/>
                <w:sz w:val="24"/>
                <w:szCs w:val="24"/>
              </w:rPr>
              <w:t>1、基金经理：安信稳健增利基金经理张翼飞先生，经济学硕士，10年证券从业经验，历任摩根轧机上海有限公司财务部会计、财务主管，上海市国资委规划发展处研究员，秦皇岛嘉隆高科实业有限公司财务总监，香港日盛嘉富证券行业研究员等职位，现任安信基金混合资产投资部总经理。</w:t>
            </w:r>
          </w:p>
          <w:p w14:paraId="0278A79E" w14:textId="77777777" w:rsidR="00C97F71" w:rsidRDefault="0052098D">
            <w:pPr>
              <w:widowControl/>
              <w:spacing w:line="240" w:lineRule="auto"/>
              <w:jc w:val="left"/>
              <w:rPr>
                <w:rFonts w:ascii="仿宋" w:eastAsia="仿宋" w:hAnsi="仿宋" w:cs="仿宋"/>
                <w:sz w:val="24"/>
                <w:szCs w:val="24"/>
              </w:rPr>
            </w:pPr>
            <w:r>
              <w:rPr>
                <w:rFonts w:ascii="仿宋" w:eastAsia="仿宋" w:hAnsi="仿宋" w:cs="仿宋" w:hint="eastAsia"/>
                <w:sz w:val="24"/>
                <w:szCs w:val="24"/>
              </w:rPr>
              <w:t>具备中国注册会计师资格，财务管理经验丰富，有长期行业研究经验积累，擅长企业真实价值及现金流质量研判。对货币政策和流动性有深刻理解和敏锐把握，精通流动性管理模型构建，注重对市场高确定性机会的跟踪与把握，积极捕捉市场定价错误。</w:t>
            </w:r>
          </w:p>
          <w:p w14:paraId="69C31157" w14:textId="77777777" w:rsidR="00C97F71" w:rsidRDefault="0052098D">
            <w:pPr>
              <w:widowControl/>
              <w:spacing w:line="240" w:lineRule="auto"/>
              <w:jc w:val="left"/>
              <w:rPr>
                <w:rFonts w:ascii="仿宋" w:eastAsia="仿宋" w:hAnsi="仿宋" w:cs="仿宋"/>
                <w:sz w:val="24"/>
                <w:szCs w:val="24"/>
              </w:rPr>
            </w:pPr>
            <w:r>
              <w:rPr>
                <w:rFonts w:ascii="仿宋" w:eastAsia="仿宋" w:hAnsi="仿宋" w:cs="仿宋" w:hint="eastAsia"/>
                <w:sz w:val="24"/>
                <w:szCs w:val="24"/>
              </w:rPr>
              <w:lastRenderedPageBreak/>
              <w:t>2015年开始实盘管理“固收+”基金，相关经验丰富，业绩穿越牛熊，是市场中认可度极高的“固收+”基金经理。</w:t>
            </w:r>
          </w:p>
          <w:p w14:paraId="7B7D389B" w14:textId="77777777" w:rsidR="00C97F71" w:rsidRDefault="0052098D">
            <w:pPr>
              <w:pStyle w:val="a0"/>
              <w:ind w:leftChars="0" w:left="0" w:firstLineChars="200" w:firstLine="480"/>
              <w:rPr>
                <w:rFonts w:ascii="仿宋" w:eastAsia="仿宋" w:hAnsi="仿宋" w:cs="仿宋"/>
                <w:sz w:val="24"/>
                <w:szCs w:val="24"/>
              </w:rPr>
            </w:pPr>
            <w:r>
              <w:rPr>
                <w:rFonts w:ascii="仿宋" w:eastAsia="仿宋" w:hAnsi="仿宋" w:cs="仿宋" w:hint="eastAsia"/>
                <w:sz w:val="24"/>
                <w:szCs w:val="24"/>
              </w:rPr>
              <w:t>李君先生，混合资产投资部副总经理，管理学硕士，16年证券从业经验，历任光大证券研究所研究部行业分析师、国信证券研究所研究部高级行业分析师、上海泽熙投资管理有限公司投资研究部投资研究员、太和先机资产管理有限公司投资研究部研究总监、东方睿德(上海)投资管理有限公司股权投资部投资总监、上海东证橡睿投资管理有限公司投资部总经理。</w:t>
            </w:r>
          </w:p>
          <w:p w14:paraId="0DF188C6" w14:textId="77777777" w:rsidR="00C97F71" w:rsidRDefault="00C97F71"/>
          <w:p w14:paraId="0618CE27" w14:textId="77777777" w:rsidR="00C97F71" w:rsidRDefault="0052098D">
            <w:pPr>
              <w:widowControl/>
              <w:spacing w:line="240" w:lineRule="auto"/>
              <w:jc w:val="left"/>
              <w:rPr>
                <w:rFonts w:ascii="仿宋" w:eastAsia="仿宋" w:hAnsi="仿宋" w:cs="仿宋"/>
                <w:sz w:val="24"/>
                <w:szCs w:val="24"/>
              </w:rPr>
            </w:pPr>
            <w:r>
              <w:rPr>
                <w:rFonts w:ascii="仿宋" w:eastAsia="仿宋" w:hAnsi="仿宋" w:cs="仿宋" w:hint="eastAsia"/>
                <w:sz w:val="24"/>
                <w:szCs w:val="24"/>
              </w:rPr>
              <w:t>2、基金经理业绩情况：代表产品安信稳健增值自任职以来总回报5</w:t>
            </w:r>
            <w:r>
              <w:rPr>
                <w:rFonts w:ascii="仿宋" w:eastAsia="仿宋" w:hAnsi="仿宋" w:cs="仿宋"/>
                <w:sz w:val="24"/>
                <w:szCs w:val="24"/>
              </w:rPr>
              <w:t>5.83</w:t>
            </w:r>
            <w:r>
              <w:rPr>
                <w:rFonts w:ascii="仿宋" w:eastAsia="仿宋" w:hAnsi="仿宋" w:cs="仿宋" w:hint="eastAsia"/>
                <w:sz w:val="24"/>
                <w:szCs w:val="24"/>
              </w:rPr>
              <w:t>%，年化收益率7.08%，最大回撤-2.61%，自成立以来已实现连续25个季度正收益（截至2</w:t>
            </w:r>
            <w:r>
              <w:rPr>
                <w:rFonts w:ascii="仿宋" w:eastAsia="仿宋" w:hAnsi="仿宋" w:cs="仿宋"/>
                <w:sz w:val="24"/>
                <w:szCs w:val="24"/>
              </w:rPr>
              <w:t>021</w:t>
            </w:r>
            <w:r>
              <w:rPr>
                <w:rFonts w:ascii="仿宋" w:eastAsia="仿宋" w:hAnsi="仿宋" w:cs="仿宋" w:hint="eastAsia"/>
                <w:sz w:val="24"/>
                <w:szCs w:val="24"/>
              </w:rPr>
              <w:t>/</w:t>
            </w:r>
            <w:r>
              <w:rPr>
                <w:rFonts w:ascii="仿宋" w:eastAsia="仿宋" w:hAnsi="仿宋" w:cs="仿宋"/>
                <w:sz w:val="24"/>
                <w:szCs w:val="24"/>
              </w:rPr>
              <w:t>11</w:t>
            </w:r>
            <w:r>
              <w:rPr>
                <w:rFonts w:ascii="仿宋" w:eastAsia="仿宋" w:hAnsi="仿宋" w:cs="仿宋" w:hint="eastAsia"/>
                <w:sz w:val="24"/>
                <w:szCs w:val="24"/>
              </w:rPr>
              <w:t>/</w:t>
            </w:r>
            <w:r>
              <w:rPr>
                <w:rFonts w:ascii="仿宋" w:eastAsia="仿宋" w:hAnsi="仿宋" w:cs="仿宋"/>
                <w:sz w:val="24"/>
                <w:szCs w:val="24"/>
              </w:rPr>
              <w:t>15</w:t>
            </w:r>
            <w:r>
              <w:rPr>
                <w:rFonts w:ascii="仿宋" w:eastAsia="仿宋" w:hAnsi="仿宋" w:cs="仿宋" w:hint="eastAsia"/>
                <w:sz w:val="24"/>
                <w:szCs w:val="24"/>
              </w:rPr>
              <w:t>），自成立以来已实现连续25个季度正收益。</w:t>
            </w:r>
          </w:p>
          <w:p w14:paraId="00A966D1" w14:textId="77777777" w:rsidR="00C97F71" w:rsidRDefault="0052098D">
            <w:pPr>
              <w:pStyle w:val="a0"/>
              <w:ind w:leftChars="0" w:left="0"/>
              <w:rPr>
                <w:rFonts w:ascii="仿宋" w:eastAsia="仿宋" w:hAnsi="仿宋" w:cs="仿宋"/>
                <w:sz w:val="24"/>
                <w:szCs w:val="24"/>
              </w:rPr>
            </w:pPr>
            <w:r>
              <w:rPr>
                <w:rFonts w:ascii="仿宋" w:eastAsia="仿宋" w:hAnsi="仿宋" w:cs="仿宋"/>
                <w:noProof/>
                <w:sz w:val="24"/>
                <w:szCs w:val="24"/>
              </w:rPr>
              <w:drawing>
                <wp:inline distT="0" distB="0" distL="0" distR="0" wp14:anchorId="2E715BDF" wp14:editId="4DDE5041">
                  <wp:extent cx="6467475" cy="23793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8125" cy="2390834"/>
                          </a:xfrm>
                          <a:prstGeom prst="rect">
                            <a:avLst/>
                          </a:prstGeom>
                        </pic:spPr>
                      </pic:pic>
                    </a:graphicData>
                  </a:graphic>
                </wp:inline>
              </w:drawing>
            </w:r>
          </w:p>
          <w:p w14:paraId="7DDA1FB0" w14:textId="77777777" w:rsidR="00C97F71" w:rsidRDefault="00C97F71"/>
          <w:p w14:paraId="33FE92E2" w14:textId="77777777" w:rsidR="00C97F71" w:rsidRDefault="0052098D">
            <w:pPr>
              <w:pStyle w:val="a0"/>
              <w:widowControl/>
              <w:spacing w:line="240" w:lineRule="auto"/>
              <w:ind w:leftChars="0" w:left="0"/>
              <w:jc w:val="left"/>
              <w:rPr>
                <w:rFonts w:ascii="仿宋" w:eastAsia="仿宋" w:hAnsi="仿宋" w:cs="仿宋"/>
                <w:sz w:val="24"/>
                <w:szCs w:val="24"/>
              </w:rPr>
            </w:pPr>
            <w:r>
              <w:rPr>
                <w:rFonts w:ascii="仿宋" w:eastAsia="仿宋" w:hAnsi="仿宋" w:cs="仿宋" w:hint="eastAsia"/>
                <w:sz w:val="24"/>
                <w:szCs w:val="24"/>
              </w:rPr>
              <w:t>3、投资目标及投资策略</w:t>
            </w:r>
          </w:p>
          <w:p w14:paraId="4855B55A" w14:textId="77777777" w:rsidR="00C97F71" w:rsidRDefault="0052098D">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t>张翼飞团队的“固收</w:t>
            </w:r>
            <w:r>
              <w:rPr>
                <w:rFonts w:ascii="仿宋" w:eastAsia="仿宋" w:hAnsi="仿宋" w:cs="仿宋"/>
                <w:sz w:val="24"/>
                <w:szCs w:val="24"/>
              </w:rPr>
              <w:t>+</w:t>
            </w:r>
            <w:r>
              <w:rPr>
                <w:rFonts w:ascii="仿宋" w:eastAsia="仿宋" w:hAnsi="仿宋" w:cs="仿宋" w:hint="eastAsia"/>
                <w:sz w:val="24"/>
                <w:szCs w:val="24"/>
              </w:rPr>
              <w:t>”策略在整体上贯彻</w:t>
            </w:r>
            <w:bookmarkStart w:id="0" w:name="_Hlk80712161"/>
            <w:r>
              <w:rPr>
                <w:rFonts w:ascii="仿宋" w:eastAsia="仿宋" w:hAnsi="仿宋" w:cs="仿宋"/>
                <w:sz w:val="24"/>
                <w:szCs w:val="24"/>
              </w:rPr>
              <w:t>CPPI</w:t>
            </w:r>
            <w:r>
              <w:rPr>
                <w:rFonts w:ascii="仿宋" w:eastAsia="仿宋" w:hAnsi="仿宋" w:cs="仿宋" w:hint="eastAsia"/>
                <w:sz w:val="24"/>
                <w:szCs w:val="24"/>
              </w:rPr>
              <w:t>策略的基本思想</w:t>
            </w:r>
            <w:bookmarkEnd w:id="0"/>
            <w:r>
              <w:rPr>
                <w:rFonts w:ascii="仿宋" w:eastAsia="仿宋" w:hAnsi="仿宋" w:cs="仿宋" w:hint="eastAsia"/>
                <w:sz w:val="24"/>
                <w:szCs w:val="24"/>
              </w:rPr>
              <w:t>。具体来看，张翼飞在投资中将设置一定的策略周期（比如半年或</w:t>
            </w:r>
            <w:r>
              <w:rPr>
                <w:rFonts w:ascii="仿宋" w:eastAsia="仿宋" w:hAnsi="仿宋" w:cs="仿宋"/>
                <w:sz w:val="24"/>
                <w:szCs w:val="24"/>
              </w:rPr>
              <w:t>1</w:t>
            </w:r>
            <w:r>
              <w:rPr>
                <w:rFonts w:ascii="仿宋" w:eastAsia="仿宋" w:hAnsi="仿宋" w:cs="仿宋" w:hint="eastAsia"/>
                <w:sz w:val="24"/>
                <w:szCs w:val="24"/>
              </w:rPr>
              <w:t>年）。若策略周期设定为半年，则站在当前时点，基金经理为以</w:t>
            </w:r>
            <w:r>
              <w:rPr>
                <w:rFonts w:ascii="仿宋" w:eastAsia="仿宋" w:hAnsi="仿宋" w:cs="仿宋"/>
                <w:sz w:val="24"/>
                <w:szCs w:val="24"/>
              </w:rPr>
              <w:t>3</w:t>
            </w:r>
            <w:r>
              <w:rPr>
                <w:rFonts w:ascii="仿宋" w:eastAsia="仿宋" w:hAnsi="仿宋" w:cs="仿宋" w:hint="eastAsia"/>
                <w:sz w:val="24"/>
                <w:szCs w:val="24"/>
              </w:rPr>
              <w:t>个月之前的产品净值作为底线，要求</w:t>
            </w:r>
            <w:r>
              <w:rPr>
                <w:rFonts w:ascii="仿宋" w:eastAsia="仿宋" w:hAnsi="仿宋" w:cs="仿宋"/>
                <w:sz w:val="24"/>
                <w:szCs w:val="24"/>
              </w:rPr>
              <w:t>3</w:t>
            </w:r>
            <w:r>
              <w:rPr>
                <w:rFonts w:ascii="仿宋" w:eastAsia="仿宋" w:hAnsi="仿宋" w:cs="仿宋" w:hint="eastAsia"/>
                <w:sz w:val="24"/>
                <w:szCs w:val="24"/>
              </w:rPr>
              <w:t>个月之后的净值不能跌破该底线；因此，当前净值高于</w:t>
            </w:r>
            <w:r>
              <w:rPr>
                <w:rFonts w:ascii="仿宋" w:eastAsia="仿宋" w:hAnsi="仿宋" w:cs="仿宋"/>
                <w:sz w:val="24"/>
                <w:szCs w:val="24"/>
              </w:rPr>
              <w:t>3</w:t>
            </w:r>
            <w:r>
              <w:rPr>
                <w:rFonts w:ascii="仿宋" w:eastAsia="仿宋" w:hAnsi="仿宋" w:cs="仿宋" w:hint="eastAsia"/>
                <w:sz w:val="24"/>
                <w:szCs w:val="24"/>
              </w:rPr>
              <w:t>个月之前净值的部分以及未来三个月获得的债券票息收益之和就是未来三个月产品运作力求不能跌破的安全垫。</w:t>
            </w:r>
          </w:p>
          <w:p w14:paraId="1B1B21F4" w14:textId="77777777" w:rsidR="00C97F71" w:rsidRDefault="0052098D">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t>在以上策略安排驱使下，张翼飞的“固收</w:t>
            </w:r>
            <w:r>
              <w:rPr>
                <w:rFonts w:ascii="仿宋" w:eastAsia="仿宋" w:hAnsi="仿宋" w:cs="仿宋"/>
                <w:sz w:val="24"/>
                <w:szCs w:val="24"/>
              </w:rPr>
              <w:t>+</w:t>
            </w:r>
            <w:r>
              <w:rPr>
                <w:rFonts w:ascii="仿宋" w:eastAsia="仿宋" w:hAnsi="仿宋" w:cs="仿宋" w:hint="eastAsia"/>
                <w:sz w:val="24"/>
                <w:szCs w:val="24"/>
              </w:rPr>
              <w:t>”产品跟市场之前的保本基金相比具有两个明显的优势：</w:t>
            </w:r>
          </w:p>
          <w:p w14:paraId="7AF24276" w14:textId="77777777" w:rsidR="00C97F71" w:rsidRDefault="0052098D">
            <w:pPr>
              <w:pStyle w:val="a0"/>
              <w:widowControl/>
              <w:numPr>
                <w:ilvl w:val="0"/>
                <w:numId w:val="1"/>
              </w:numPr>
              <w:spacing w:line="240" w:lineRule="auto"/>
              <w:ind w:left="420" w:firstLineChars="200" w:firstLine="480"/>
              <w:jc w:val="left"/>
              <w:rPr>
                <w:rFonts w:ascii="仿宋" w:eastAsia="仿宋" w:hAnsi="仿宋" w:cs="仿宋"/>
                <w:sz w:val="24"/>
                <w:szCs w:val="24"/>
              </w:rPr>
            </w:pPr>
            <w:r>
              <w:rPr>
                <w:rFonts w:ascii="仿宋" w:eastAsia="仿宋" w:hAnsi="仿宋" w:cs="仿宋" w:hint="eastAsia"/>
                <w:sz w:val="24"/>
                <w:szCs w:val="24"/>
              </w:rPr>
              <w:t>策略周期每日滚动</w:t>
            </w:r>
          </w:p>
          <w:p w14:paraId="3AECAB3E" w14:textId="77777777" w:rsidR="00C97F71" w:rsidRDefault="0052098D">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t>市场前期规模较大的保本基金只保产品发行时以</w:t>
            </w:r>
            <w:r>
              <w:rPr>
                <w:rFonts w:ascii="仿宋" w:eastAsia="仿宋" w:hAnsi="仿宋" w:cs="仿宋"/>
                <w:sz w:val="24"/>
                <w:szCs w:val="24"/>
              </w:rPr>
              <w:t>1</w:t>
            </w:r>
            <w:r>
              <w:rPr>
                <w:rFonts w:ascii="仿宋" w:eastAsia="仿宋" w:hAnsi="仿宋" w:cs="仿宋" w:hint="eastAsia"/>
                <w:sz w:val="24"/>
                <w:szCs w:val="24"/>
              </w:rPr>
              <w:t>元净值申购的投资者，后续申购的投资者的本金无论在策略上还是在保本机制上都不能得到保证。</w:t>
            </w:r>
          </w:p>
          <w:p w14:paraId="24724576" w14:textId="77777777" w:rsidR="00C97F71" w:rsidRDefault="0052098D">
            <w:pPr>
              <w:pStyle w:val="a0"/>
              <w:widowControl/>
              <w:spacing w:line="240" w:lineRule="auto"/>
              <w:jc w:val="left"/>
              <w:rPr>
                <w:rFonts w:ascii="仿宋" w:eastAsia="仿宋" w:hAnsi="仿宋" w:cs="仿宋"/>
                <w:sz w:val="24"/>
                <w:szCs w:val="24"/>
              </w:rPr>
            </w:pPr>
            <w:r>
              <w:rPr>
                <w:rFonts w:ascii="仿宋" w:eastAsia="仿宋" w:hAnsi="仿宋" w:cs="仿宋" w:hint="eastAsia"/>
                <w:sz w:val="24"/>
                <w:szCs w:val="24"/>
              </w:rPr>
              <w:t>张翼飞“固收</w:t>
            </w:r>
            <w:r>
              <w:rPr>
                <w:rFonts w:ascii="仿宋" w:eastAsia="仿宋" w:hAnsi="仿宋" w:cs="仿宋"/>
                <w:sz w:val="24"/>
                <w:szCs w:val="24"/>
              </w:rPr>
              <w:t>+</w:t>
            </w:r>
            <w:r>
              <w:rPr>
                <w:rFonts w:ascii="仿宋" w:eastAsia="仿宋" w:hAnsi="仿宋" w:cs="仿宋" w:hint="eastAsia"/>
                <w:sz w:val="24"/>
                <w:szCs w:val="24"/>
              </w:rPr>
              <w:t>”策略周期是每日滚动，力求每一笔申购资金在半年之后本金不出现损失。</w:t>
            </w:r>
          </w:p>
          <w:p w14:paraId="4EDF94D6" w14:textId="77777777" w:rsidR="00C97F71" w:rsidRDefault="0052098D">
            <w:pPr>
              <w:pStyle w:val="a0"/>
              <w:widowControl/>
              <w:numPr>
                <w:ilvl w:val="0"/>
                <w:numId w:val="2"/>
              </w:numPr>
              <w:spacing w:line="240" w:lineRule="auto"/>
              <w:ind w:left="420" w:firstLineChars="200" w:firstLine="480"/>
              <w:jc w:val="left"/>
              <w:rPr>
                <w:rFonts w:ascii="仿宋" w:eastAsia="仿宋" w:hAnsi="仿宋" w:cs="仿宋"/>
                <w:sz w:val="24"/>
                <w:szCs w:val="24"/>
              </w:rPr>
            </w:pPr>
            <w:r>
              <w:rPr>
                <w:rFonts w:ascii="仿宋" w:eastAsia="仿宋" w:hAnsi="仿宋" w:cs="仿宋" w:hint="eastAsia"/>
                <w:sz w:val="24"/>
                <w:szCs w:val="24"/>
              </w:rPr>
              <w:t>持续抬升策略底线</w:t>
            </w:r>
          </w:p>
          <w:p w14:paraId="725DAED4" w14:textId="77777777" w:rsidR="00C97F71" w:rsidRDefault="0052098D">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t>由于策略周期不断向前滚动，即使产品净值不断上升，策略本身会要求不断提升策略底线而不是将盈利用于“追涨”权益资产，因此产品的风险收益特征能保持稳定。</w:t>
            </w:r>
          </w:p>
          <w:p w14:paraId="0F08FA19" w14:textId="77777777" w:rsidR="00C97F71" w:rsidRDefault="0052098D">
            <w:pPr>
              <w:pStyle w:val="a0"/>
              <w:widowControl/>
              <w:spacing w:line="240" w:lineRule="auto"/>
              <w:jc w:val="left"/>
              <w:rPr>
                <w:rFonts w:ascii="仿宋" w:eastAsia="仿宋" w:hAnsi="仿宋" w:cs="仿宋"/>
                <w:bCs/>
                <w:sz w:val="24"/>
                <w:szCs w:val="24"/>
              </w:rPr>
            </w:pPr>
            <w:r>
              <w:rPr>
                <w:rFonts w:ascii="仿宋" w:eastAsia="仿宋" w:hAnsi="仿宋" w:cs="仿宋" w:hint="eastAsia"/>
                <w:bCs/>
                <w:sz w:val="24"/>
                <w:szCs w:val="24"/>
              </w:rPr>
              <w:t>在以上策略周期基础上，张翼飞对于股债大类资产的使用原则如下：</w:t>
            </w:r>
          </w:p>
          <w:p w14:paraId="666F46F4" w14:textId="77777777" w:rsidR="00C97F71" w:rsidRDefault="0052098D">
            <w:pPr>
              <w:pStyle w:val="a0"/>
              <w:widowControl/>
              <w:numPr>
                <w:ilvl w:val="0"/>
                <w:numId w:val="2"/>
              </w:numPr>
              <w:spacing w:line="240" w:lineRule="auto"/>
              <w:ind w:left="420" w:firstLineChars="200" w:firstLine="480"/>
              <w:jc w:val="left"/>
              <w:rPr>
                <w:rFonts w:ascii="仿宋" w:eastAsia="仿宋" w:hAnsi="仿宋" w:cs="仿宋"/>
                <w:sz w:val="24"/>
                <w:szCs w:val="24"/>
              </w:rPr>
            </w:pPr>
            <w:r>
              <w:rPr>
                <w:rFonts w:ascii="仿宋" w:eastAsia="仿宋" w:hAnsi="仿宋" w:cs="仿宋" w:hint="eastAsia"/>
                <w:sz w:val="24"/>
                <w:szCs w:val="24"/>
              </w:rPr>
              <w:t>股债资产配置</w:t>
            </w:r>
          </w:p>
          <w:p w14:paraId="5601EF7B" w14:textId="77777777" w:rsidR="00C97F71" w:rsidRDefault="0052098D">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t>首先确认与策略周期相匹配的权益中枢，其次确认权益仓位上限以及正常情况下的仓位下限（特殊情况下权益仓位可降至极低水平，如出现极端系统性风险时）。以上步骤完成后，产品的风险收益特征基本确定。</w:t>
            </w:r>
          </w:p>
          <w:p w14:paraId="234D30A8" w14:textId="77777777" w:rsidR="00C97F71" w:rsidRDefault="0052098D">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lastRenderedPageBreak/>
              <w:t>在股票仓位策略确定后，在策略周期要求的净值回撤约束下，张翼飞通过自下而上的方式选择具体的股票仓位，不依赖宏观择时。自下而上的方式是指：按照价值投资的核心要求，如果高性价比的投资标的较多，则提高股票仓位，否则减少股票仓位。</w:t>
            </w:r>
          </w:p>
          <w:p w14:paraId="635050E1" w14:textId="77777777" w:rsidR="00C97F71" w:rsidRDefault="0052098D">
            <w:pPr>
              <w:pStyle w:val="a0"/>
              <w:widowControl/>
              <w:numPr>
                <w:ilvl w:val="0"/>
                <w:numId w:val="2"/>
              </w:numPr>
              <w:spacing w:line="240" w:lineRule="auto"/>
              <w:ind w:left="420" w:firstLineChars="200" w:firstLine="480"/>
              <w:jc w:val="left"/>
              <w:rPr>
                <w:rFonts w:ascii="仿宋" w:eastAsia="仿宋" w:hAnsi="仿宋" w:cs="仿宋"/>
                <w:sz w:val="24"/>
                <w:szCs w:val="24"/>
              </w:rPr>
            </w:pPr>
            <w:r>
              <w:rPr>
                <w:rFonts w:ascii="仿宋" w:eastAsia="仿宋" w:hAnsi="仿宋" w:cs="仿宋" w:hint="eastAsia"/>
                <w:sz w:val="24"/>
                <w:szCs w:val="24"/>
              </w:rPr>
              <w:t>债券选择</w:t>
            </w:r>
          </w:p>
          <w:p w14:paraId="1B3BBC41" w14:textId="77777777" w:rsidR="00C97F71" w:rsidRDefault="0052098D">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t>债券部分以中高等级信用债以及利率债为主，同时保持中短久期，即张翼飞在“固收</w:t>
            </w:r>
            <w:r>
              <w:rPr>
                <w:rFonts w:ascii="仿宋" w:eastAsia="仿宋" w:hAnsi="仿宋" w:cs="仿宋"/>
                <w:sz w:val="24"/>
                <w:szCs w:val="24"/>
              </w:rPr>
              <w:t>+</w:t>
            </w:r>
            <w:r>
              <w:rPr>
                <w:rFonts w:ascii="仿宋" w:eastAsia="仿宋" w:hAnsi="仿宋" w:cs="仿宋" w:hint="eastAsia"/>
                <w:sz w:val="24"/>
                <w:szCs w:val="24"/>
              </w:rPr>
              <w:t>”策略中，不通过信用下沉以及拉长久期来博取收益。这样配置的原因在于：“固收</w:t>
            </w:r>
            <w:r>
              <w:rPr>
                <w:rFonts w:ascii="仿宋" w:eastAsia="仿宋" w:hAnsi="仿宋" w:cs="仿宋"/>
                <w:sz w:val="24"/>
                <w:szCs w:val="24"/>
              </w:rPr>
              <w:t>+</w:t>
            </w:r>
            <w:r>
              <w:rPr>
                <w:rFonts w:ascii="仿宋" w:eastAsia="仿宋" w:hAnsi="仿宋" w:cs="仿宋" w:hint="eastAsia"/>
                <w:sz w:val="24"/>
                <w:szCs w:val="24"/>
              </w:rPr>
              <w:t>”策略的收益弹性主要通过权益部分的配置来实现，如果依赖信用下沉并拉长久期，组合流动性将明显受到影响，同时一旦出现信用风险则难以止损，得不偿失。</w:t>
            </w:r>
          </w:p>
          <w:p w14:paraId="5DB1CE65" w14:textId="77777777" w:rsidR="00C97F71" w:rsidRDefault="0052098D">
            <w:pPr>
              <w:pStyle w:val="a0"/>
              <w:widowControl/>
              <w:numPr>
                <w:ilvl w:val="0"/>
                <w:numId w:val="2"/>
              </w:numPr>
              <w:spacing w:line="240" w:lineRule="auto"/>
              <w:ind w:left="420" w:firstLineChars="200" w:firstLine="480"/>
              <w:jc w:val="left"/>
              <w:rPr>
                <w:rFonts w:ascii="仿宋" w:eastAsia="仿宋" w:hAnsi="仿宋" w:cs="仿宋"/>
                <w:sz w:val="24"/>
                <w:szCs w:val="24"/>
              </w:rPr>
            </w:pPr>
            <w:r>
              <w:rPr>
                <w:rFonts w:ascii="仿宋" w:eastAsia="仿宋" w:hAnsi="仿宋" w:cs="仿宋" w:hint="eastAsia"/>
                <w:sz w:val="24"/>
                <w:szCs w:val="24"/>
              </w:rPr>
              <w:t>股票选择</w:t>
            </w:r>
          </w:p>
          <w:p w14:paraId="0947EF28" w14:textId="77777777" w:rsidR="00C97F71" w:rsidRDefault="0052098D">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t>个股的选择以估值相对较低，股息率相对较高的价值股为主，以有较大增长潜力的成长股为辅。即使针对成长股，在估值方面的要求也相对严格。</w:t>
            </w:r>
          </w:p>
          <w:p w14:paraId="27AE8BAD" w14:textId="77777777" w:rsidR="00C97F71" w:rsidRDefault="0052098D">
            <w:pPr>
              <w:pStyle w:val="a0"/>
              <w:widowControl/>
              <w:numPr>
                <w:ilvl w:val="0"/>
                <w:numId w:val="2"/>
              </w:numPr>
              <w:spacing w:line="240" w:lineRule="auto"/>
              <w:ind w:left="420" w:firstLineChars="200" w:firstLine="480"/>
              <w:jc w:val="left"/>
              <w:rPr>
                <w:rFonts w:ascii="仿宋" w:eastAsia="仿宋" w:hAnsi="仿宋" w:cs="仿宋"/>
                <w:sz w:val="24"/>
                <w:szCs w:val="24"/>
              </w:rPr>
            </w:pPr>
            <w:r>
              <w:rPr>
                <w:rFonts w:ascii="仿宋" w:eastAsia="仿宋" w:hAnsi="仿宋" w:cs="仿宋" w:hint="eastAsia"/>
                <w:sz w:val="24"/>
                <w:szCs w:val="24"/>
              </w:rPr>
              <w:t>转债选择</w:t>
            </w:r>
          </w:p>
          <w:p w14:paraId="6E3143E3" w14:textId="77777777" w:rsidR="00C97F71" w:rsidRDefault="0052098D">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t>张翼飞的“固收</w:t>
            </w:r>
            <w:r>
              <w:rPr>
                <w:rFonts w:ascii="仿宋" w:eastAsia="仿宋" w:hAnsi="仿宋" w:cs="仿宋"/>
                <w:sz w:val="24"/>
                <w:szCs w:val="24"/>
              </w:rPr>
              <w:t>+</w:t>
            </w:r>
            <w:r>
              <w:rPr>
                <w:rFonts w:ascii="仿宋" w:eastAsia="仿宋" w:hAnsi="仿宋" w:cs="仿宋" w:hint="eastAsia"/>
                <w:sz w:val="24"/>
                <w:szCs w:val="24"/>
              </w:rPr>
              <w:t>”策略对于转债的使用是比较多的，但是大部分转债为偏债品种，转股溢价率一般较高，股性较弱。在个券选择方面，主要基于基本面的研究，综合考虑确定性较高的纯债到期收益率、相对不确定的未来正股价格波动带来的收益、以及个券特殊条款（回售、下修、担保等）、股东历史行为等，发掘定价不充分的品种。</w:t>
            </w:r>
          </w:p>
          <w:p w14:paraId="730645B6" w14:textId="77777777" w:rsidR="00C97F71" w:rsidRDefault="0052098D">
            <w:pPr>
              <w:pStyle w:val="a0"/>
              <w:widowControl/>
              <w:spacing w:line="240" w:lineRule="auto"/>
              <w:ind w:leftChars="0" w:left="0" w:firstLineChars="200" w:firstLine="480"/>
              <w:jc w:val="left"/>
              <w:rPr>
                <w:rFonts w:ascii="仿宋" w:eastAsia="仿宋" w:hAnsi="仿宋" w:cs="仿宋"/>
                <w:sz w:val="24"/>
                <w:szCs w:val="24"/>
              </w:rPr>
            </w:pPr>
            <w:r>
              <w:rPr>
                <w:rFonts w:ascii="仿宋" w:eastAsia="仿宋" w:hAnsi="仿宋" w:cs="仿宋" w:hint="eastAsia"/>
                <w:sz w:val="24"/>
                <w:szCs w:val="24"/>
              </w:rPr>
              <w:t>在转债投资的风控方面，</w:t>
            </w:r>
            <w:bookmarkStart w:id="1" w:name="_Hlk68266338"/>
            <w:r>
              <w:rPr>
                <w:rFonts w:ascii="仿宋" w:eastAsia="仿宋" w:hAnsi="仿宋" w:cs="仿宋" w:hint="eastAsia"/>
                <w:sz w:val="24"/>
                <w:szCs w:val="24"/>
              </w:rPr>
              <w:t>张翼飞会根据转债组合其与股票市场的相关性进行仓位折算，并与直接持有的股票资产合并计算权益仓位，共同控制产品的净值回撤风险</w:t>
            </w:r>
            <w:bookmarkEnd w:id="1"/>
            <w:r>
              <w:rPr>
                <w:rFonts w:ascii="仿宋" w:eastAsia="仿宋" w:hAnsi="仿宋" w:cs="仿宋" w:hint="eastAsia"/>
                <w:sz w:val="24"/>
                <w:szCs w:val="24"/>
              </w:rPr>
              <w:t>。</w:t>
            </w:r>
          </w:p>
          <w:p w14:paraId="52AD46D6" w14:textId="77777777" w:rsidR="00C97F71" w:rsidRDefault="0052098D">
            <w:pPr>
              <w:widowControl/>
              <w:numPr>
                <w:ilvl w:val="0"/>
                <w:numId w:val="3"/>
              </w:numPr>
              <w:spacing w:line="240" w:lineRule="auto"/>
              <w:jc w:val="left"/>
              <w:rPr>
                <w:rFonts w:ascii="仿宋" w:eastAsia="仿宋" w:hAnsi="仿宋" w:cs="仿宋"/>
                <w:sz w:val="24"/>
                <w:szCs w:val="24"/>
              </w:rPr>
            </w:pPr>
            <w:r>
              <w:rPr>
                <w:rFonts w:ascii="仿宋" w:eastAsia="仿宋" w:hAnsi="仿宋" w:cs="仿宋" w:hint="eastAsia"/>
                <w:sz w:val="24"/>
                <w:szCs w:val="24"/>
              </w:rPr>
              <w:t>当前市场观点及持仓情况：当前，宏观经济增长内生动能减弱基本已经是市场共识，今年年底到明年初，政策层面稳增长的必要性仍在提升。随着财政政策逐步发力，基建投资增速有望回升，从而在一定程度上对经济增长有所支撑。后续，地方专项债发行节奏或有加快，可能会对市场的流动性水平有所扰动，但从历史经验来看，货币政策是否配合、怎么配合也至关重要，MLF到期时点是观测央行动作的重要时点。权益方面，预计后续市场整体以震荡为主，短期看不到大的系统性风险。我们仍然坚持自下而上判断，部分低估值价值型标的目前性价比较好，并存在政策催化的可能性。同时，密切关注并逢低布局一些基本面逻辑通顺、估值回调至合理区间的标的。</w:t>
            </w:r>
          </w:p>
          <w:p w14:paraId="5C8352FC" w14:textId="77777777" w:rsidR="00C97F71" w:rsidRDefault="0052098D">
            <w:pPr>
              <w:widowControl/>
              <w:numPr>
                <w:ilvl w:val="0"/>
                <w:numId w:val="3"/>
              </w:numPr>
              <w:spacing w:line="240" w:lineRule="auto"/>
              <w:jc w:val="left"/>
              <w:rPr>
                <w:rFonts w:ascii="仿宋" w:eastAsia="仿宋" w:hAnsi="仿宋" w:cs="仿宋"/>
                <w:sz w:val="24"/>
                <w:szCs w:val="24"/>
              </w:rPr>
            </w:pPr>
            <w:r>
              <w:rPr>
                <w:rFonts w:ascii="仿宋" w:eastAsia="仿宋" w:hAnsi="仿宋" w:cs="仿宋" w:hint="eastAsia"/>
                <w:sz w:val="24"/>
                <w:szCs w:val="24"/>
              </w:rPr>
              <w:t>风险分析：投资策略带来基金的波动性及回撤风险较大；在风格切换的市场环境下需跟踪产品表现，关注投资经理操作思路。</w:t>
            </w:r>
          </w:p>
          <w:p w14:paraId="3909E62D" w14:textId="77777777" w:rsidR="000E08AA" w:rsidRDefault="000E08AA">
            <w:pPr>
              <w:pStyle w:val="a0"/>
              <w:ind w:leftChars="0" w:left="0"/>
              <w:rPr>
                <w:rFonts w:ascii="仿宋" w:eastAsia="仿宋" w:hAnsi="仿宋" w:cs="仿宋"/>
                <w:b/>
                <w:bCs/>
                <w:sz w:val="24"/>
                <w:szCs w:val="24"/>
              </w:rPr>
            </w:pPr>
          </w:p>
          <w:p w14:paraId="1785B19E" w14:textId="77777777" w:rsidR="00C97F71" w:rsidRDefault="0052098D">
            <w:pPr>
              <w:pStyle w:val="a0"/>
              <w:ind w:leftChars="0" w:left="0"/>
              <w:rPr>
                <w:rFonts w:ascii="仿宋" w:eastAsia="仿宋" w:hAnsi="仿宋" w:cs="仿宋"/>
              </w:rPr>
            </w:pPr>
            <w:r>
              <w:rPr>
                <w:rFonts w:ascii="仿宋" w:eastAsia="仿宋" w:hAnsi="仿宋" w:cs="仿宋" w:hint="eastAsia"/>
                <w:b/>
                <w:bCs/>
                <w:sz w:val="24"/>
                <w:szCs w:val="24"/>
              </w:rPr>
              <w:t>五、申请理由：</w:t>
            </w:r>
            <w:r>
              <w:rPr>
                <w:rFonts w:ascii="仿宋" w:eastAsia="仿宋" w:hAnsi="仿宋" w:cs="仿宋"/>
              </w:rPr>
              <w:t xml:space="preserve"> </w:t>
            </w:r>
          </w:p>
          <w:p w14:paraId="22352BC6" w14:textId="77777777" w:rsidR="000E08AA" w:rsidRDefault="000E08AA" w:rsidP="000E08AA"/>
          <w:p w14:paraId="74FB984D" w14:textId="77777777" w:rsidR="000E08AA" w:rsidRDefault="000E08AA" w:rsidP="00C96434">
            <w:pPr>
              <w:pStyle w:val="a0"/>
              <w:ind w:leftChars="0" w:left="0" w:firstLineChars="200" w:firstLine="420"/>
            </w:pPr>
            <w:r>
              <w:rPr>
                <w:rFonts w:hint="eastAsia"/>
              </w:rPr>
              <w:t>张翼飞管理的灵活混合基金从绝对收益和相对排名的角度看</w:t>
            </w:r>
            <w:r w:rsidR="00C96434">
              <w:rPr>
                <w:rFonts w:hint="eastAsia"/>
              </w:rPr>
              <w:t>都比较优秀，长期业绩稳定，回撤可控，收益风险比优秀。张翼飞所管理基金固收资产方面主要投资于低价股份制银行或中石油转债，无任何信用风险暴露，虽未通过我司信用债集中度筛选规则但总体而言信用敞口要低于大部分已经在投资池内的基金。</w:t>
            </w:r>
          </w:p>
          <w:p w14:paraId="3513862F" w14:textId="44823F3B" w:rsidR="00B32C28" w:rsidRPr="00B32C28" w:rsidRDefault="00B32C28" w:rsidP="00B32C28">
            <w:r>
              <w:rPr>
                <w:rFonts w:hint="eastAsia"/>
              </w:rPr>
              <w:t xml:space="preserve"> </w:t>
            </w:r>
            <w:r>
              <w:t xml:space="preserve">    </w:t>
            </w:r>
            <w:r>
              <w:rPr>
                <w:rFonts w:hint="eastAsia"/>
              </w:rPr>
              <w:t>张翼飞管理产品年限较长，此次申请入池的安信稳健增利为</w:t>
            </w:r>
            <w:r>
              <w:rPr>
                <w:rFonts w:hint="eastAsia"/>
              </w:rPr>
              <w:t>2</w:t>
            </w:r>
            <w:r>
              <w:t>020</w:t>
            </w:r>
            <w:r>
              <w:rPr>
                <w:rFonts w:hint="eastAsia"/>
              </w:rPr>
              <w:t>年</w:t>
            </w:r>
            <w:r>
              <w:rPr>
                <w:rFonts w:hint="eastAsia"/>
              </w:rPr>
              <w:t>4</w:t>
            </w:r>
            <w:r>
              <w:rPr>
                <w:rFonts w:hint="eastAsia"/>
              </w:rPr>
              <w:t>月新发产品，运行年限不足</w:t>
            </w:r>
            <w:r>
              <w:rPr>
                <w:rFonts w:hint="eastAsia"/>
              </w:rPr>
              <w:t>2</w:t>
            </w:r>
            <w:r>
              <w:rPr>
                <w:rFonts w:hint="eastAsia"/>
              </w:rPr>
              <w:t>年。同经理管理的产品安信稳健增值是相同策略的产品，规模较安信稳健增利大</w:t>
            </w:r>
            <w:r>
              <w:rPr>
                <w:rFonts w:hint="eastAsia"/>
              </w:rPr>
              <w:t>2</w:t>
            </w:r>
            <w:r>
              <w:rPr>
                <w:rFonts w:hint="eastAsia"/>
              </w:rPr>
              <w:t>倍左右，总体而言会影响操作灵活性，因此本次申请入池安信稳健增利。</w:t>
            </w:r>
          </w:p>
        </w:tc>
      </w:tr>
    </w:tbl>
    <w:p w14:paraId="724DD1AA" w14:textId="77777777" w:rsidR="00C97F71" w:rsidRDefault="00C97F71"/>
    <w:sectPr w:rsidR="00C97F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C0711" w14:textId="77777777" w:rsidR="0040248D" w:rsidRDefault="0040248D">
      <w:pPr>
        <w:spacing w:line="240" w:lineRule="auto"/>
      </w:pPr>
      <w:r>
        <w:separator/>
      </w:r>
    </w:p>
  </w:endnote>
  <w:endnote w:type="continuationSeparator" w:id="0">
    <w:p w14:paraId="4124069C" w14:textId="77777777" w:rsidR="0040248D" w:rsidRDefault="004024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DFDC0" w14:textId="77777777" w:rsidR="0040248D" w:rsidRDefault="0040248D">
      <w:pPr>
        <w:spacing w:line="240" w:lineRule="auto"/>
      </w:pPr>
      <w:r>
        <w:separator/>
      </w:r>
    </w:p>
  </w:footnote>
  <w:footnote w:type="continuationSeparator" w:id="0">
    <w:p w14:paraId="06C99519" w14:textId="77777777" w:rsidR="0040248D" w:rsidRDefault="004024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765DBD"/>
    <w:multiLevelType w:val="singleLevel"/>
    <w:tmpl w:val="D0765DBD"/>
    <w:lvl w:ilvl="0">
      <w:start w:val="4"/>
      <w:numFmt w:val="chineseCounting"/>
      <w:suff w:val="nothing"/>
      <w:lvlText w:val="%1、"/>
      <w:lvlJc w:val="left"/>
      <w:rPr>
        <w:rFonts w:hint="eastAsia"/>
      </w:rPr>
    </w:lvl>
  </w:abstractNum>
  <w:abstractNum w:abstractNumId="1" w15:restartNumberingAfterBreak="0">
    <w:nsid w:val="31641802"/>
    <w:multiLevelType w:val="multilevel"/>
    <w:tmpl w:val="3164180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 w15:restartNumberingAfterBreak="0">
    <w:nsid w:val="72C71992"/>
    <w:multiLevelType w:val="multilevel"/>
    <w:tmpl w:val="72C7199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F82591"/>
    <w:rsid w:val="00006863"/>
    <w:rsid w:val="000D11F0"/>
    <w:rsid w:val="000E08AA"/>
    <w:rsid w:val="001474B9"/>
    <w:rsid w:val="001B517C"/>
    <w:rsid w:val="0020410F"/>
    <w:rsid w:val="002247B4"/>
    <w:rsid w:val="00247CA5"/>
    <w:rsid w:val="00296CC2"/>
    <w:rsid w:val="002A39D3"/>
    <w:rsid w:val="002D73B4"/>
    <w:rsid w:val="00333906"/>
    <w:rsid w:val="0038302E"/>
    <w:rsid w:val="00387DD9"/>
    <w:rsid w:val="003E4F7D"/>
    <w:rsid w:val="003F5295"/>
    <w:rsid w:val="0040248D"/>
    <w:rsid w:val="00417039"/>
    <w:rsid w:val="00443932"/>
    <w:rsid w:val="00471378"/>
    <w:rsid w:val="004816A9"/>
    <w:rsid w:val="004A0DBD"/>
    <w:rsid w:val="004A0FCB"/>
    <w:rsid w:val="004A46A1"/>
    <w:rsid w:val="004B0A95"/>
    <w:rsid w:val="004B1A4C"/>
    <w:rsid w:val="004B5148"/>
    <w:rsid w:val="004C06BA"/>
    <w:rsid w:val="004D7E6A"/>
    <w:rsid w:val="0052098D"/>
    <w:rsid w:val="00523D27"/>
    <w:rsid w:val="005461C5"/>
    <w:rsid w:val="005821CB"/>
    <w:rsid w:val="005A7108"/>
    <w:rsid w:val="005C1468"/>
    <w:rsid w:val="005D5296"/>
    <w:rsid w:val="006050B0"/>
    <w:rsid w:val="00625AE2"/>
    <w:rsid w:val="00647038"/>
    <w:rsid w:val="006B4BF9"/>
    <w:rsid w:val="006F4B8E"/>
    <w:rsid w:val="00734F50"/>
    <w:rsid w:val="007758B8"/>
    <w:rsid w:val="00786123"/>
    <w:rsid w:val="00797F33"/>
    <w:rsid w:val="007C0FAE"/>
    <w:rsid w:val="00807F60"/>
    <w:rsid w:val="008D5903"/>
    <w:rsid w:val="00905D3A"/>
    <w:rsid w:val="00927737"/>
    <w:rsid w:val="00960CA7"/>
    <w:rsid w:val="00960E70"/>
    <w:rsid w:val="00965DB4"/>
    <w:rsid w:val="00987708"/>
    <w:rsid w:val="009C58C1"/>
    <w:rsid w:val="00A43D71"/>
    <w:rsid w:val="00A467D3"/>
    <w:rsid w:val="00A94902"/>
    <w:rsid w:val="00AF1B64"/>
    <w:rsid w:val="00B32C28"/>
    <w:rsid w:val="00B461F6"/>
    <w:rsid w:val="00B833F6"/>
    <w:rsid w:val="00B92588"/>
    <w:rsid w:val="00BB7F80"/>
    <w:rsid w:val="00BF53E4"/>
    <w:rsid w:val="00C221BB"/>
    <w:rsid w:val="00C223FE"/>
    <w:rsid w:val="00C3336D"/>
    <w:rsid w:val="00C96434"/>
    <w:rsid w:val="00C97F71"/>
    <w:rsid w:val="00CB5913"/>
    <w:rsid w:val="00D054FE"/>
    <w:rsid w:val="00D47B2C"/>
    <w:rsid w:val="00D53ECE"/>
    <w:rsid w:val="00D94284"/>
    <w:rsid w:val="00DA5B8A"/>
    <w:rsid w:val="00E43851"/>
    <w:rsid w:val="00E6479D"/>
    <w:rsid w:val="00E91094"/>
    <w:rsid w:val="00F21635"/>
    <w:rsid w:val="00F34582"/>
    <w:rsid w:val="00F56E52"/>
    <w:rsid w:val="00FC3E78"/>
    <w:rsid w:val="00FD02AD"/>
    <w:rsid w:val="00FE02CA"/>
    <w:rsid w:val="067176BA"/>
    <w:rsid w:val="0C4F52F3"/>
    <w:rsid w:val="28620DC5"/>
    <w:rsid w:val="29840955"/>
    <w:rsid w:val="29B2760B"/>
    <w:rsid w:val="2AF82591"/>
    <w:rsid w:val="32BD592E"/>
    <w:rsid w:val="3C3537C5"/>
    <w:rsid w:val="414A0C18"/>
    <w:rsid w:val="45331F53"/>
    <w:rsid w:val="733F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44F7F2"/>
  <w15:docId w15:val="{BB8B986A-5186-42B4-85CA-8A173585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able of authorities" w:uiPriority="99"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spacing w:line="20" w:lineRule="atLeast"/>
      <w:jc w:val="both"/>
    </w:pPr>
    <w:rPr>
      <w:rFonts w:ascii="Calibri" w:eastAsia="宋体" w:hAnsi="Calibri" w:cs="Times New Roman"/>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able of authorities"/>
    <w:basedOn w:val="a"/>
    <w:next w:val="a"/>
    <w:uiPriority w:val="99"/>
    <w:unhideWhenUsed/>
    <w:qFormat/>
    <w:pPr>
      <w:ind w:leftChars="200" w:left="420"/>
    </w:pPr>
  </w:style>
  <w:style w:type="paragraph" w:styleId="a4">
    <w:name w:val="footer"/>
    <w:basedOn w:val="a"/>
    <w:link w:val="a5"/>
    <w:qFormat/>
    <w:pPr>
      <w:tabs>
        <w:tab w:val="center" w:pos="4153"/>
        <w:tab w:val="right" w:pos="8306"/>
      </w:tabs>
      <w:snapToGrid w:val="0"/>
      <w:spacing w:line="240" w:lineRule="atLeast"/>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spacing w:line="240" w:lineRule="atLeast"/>
      <w:jc w:val="center"/>
    </w:pPr>
    <w:rPr>
      <w:sz w:val="18"/>
      <w:szCs w:val="18"/>
    </w:rPr>
  </w:style>
  <w:style w:type="paragraph" w:styleId="a8">
    <w:name w:val="List Paragraph"/>
    <w:basedOn w:val="a"/>
    <w:uiPriority w:val="34"/>
    <w:qFormat/>
    <w:pPr>
      <w:spacing w:line="240" w:lineRule="auto"/>
      <w:ind w:firstLineChars="200" w:firstLine="420"/>
    </w:pPr>
    <w:rPr>
      <w:rFonts w:asciiTheme="minorHAnsi" w:eastAsiaTheme="minorEastAsia" w:hAnsiTheme="minorHAnsi" w:cstheme="minorBidi"/>
    </w:rPr>
  </w:style>
  <w:style w:type="character" w:customStyle="1" w:styleId="a7">
    <w:name w:val="页眉 字符"/>
    <w:basedOn w:val="a1"/>
    <w:link w:val="a6"/>
    <w:qFormat/>
    <w:rPr>
      <w:rFonts w:ascii="Calibri" w:eastAsia="宋体" w:hAnsi="Calibri" w:cs="Times New Roman"/>
      <w:kern w:val="2"/>
      <w:sz w:val="18"/>
      <w:szCs w:val="18"/>
    </w:rPr>
  </w:style>
  <w:style w:type="character" w:customStyle="1" w:styleId="a5">
    <w:name w:val="页脚 字符"/>
    <w:basedOn w:val="a1"/>
    <w:link w:val="a4"/>
    <w:qFormat/>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Xinyu Zhou</cp:lastModifiedBy>
  <cp:revision>4</cp:revision>
  <dcterms:created xsi:type="dcterms:W3CDTF">2021-11-16T09:09:00Z</dcterms:created>
  <dcterms:modified xsi:type="dcterms:W3CDTF">2021-11-16T09:21:00Z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3CD78123310144B3B2744B056B2193E0</vt:lpwstr>
  </property>
</Properties>
</file>