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3" w:leftChars="-295" w:right="964" w:hanging="622" w:hangingChars="258"/>
        <w:jc w:val="left"/>
        <w:rPr>
          <w:rFonts w:ascii="仿宋_GB2312" w:eastAsia="仿宋_GB2312"/>
          <w:b/>
          <w:sz w:val="24"/>
        </w:rPr>
      </w:pPr>
    </w:p>
    <w:p>
      <w:pPr>
        <w:spacing w:line="276" w:lineRule="auto"/>
        <w:ind w:left="3" w:leftChars="-295" w:right="964" w:hanging="622" w:hangingChars="258"/>
        <w:jc w:val="left"/>
        <w:rPr>
          <w:rFonts w:ascii="仿宋_GB2312" w:eastAsia="仿宋_GB2312"/>
          <w:b/>
          <w:sz w:val="24"/>
        </w:rPr>
      </w:pPr>
      <w:r>
        <w:rPr>
          <w:rFonts w:hint="eastAsia" w:ascii="仿宋_GB2312" w:eastAsia="仿宋_GB2312"/>
          <w:b/>
          <w:sz w:val="24"/>
        </w:rPr>
        <w:t>申请日期：2021年11月</w:t>
      </w:r>
      <w:r>
        <w:rPr>
          <w:rFonts w:hint="eastAsia" w:ascii="仿宋_GB2312" w:eastAsia="仿宋_GB2312"/>
          <w:b/>
          <w:sz w:val="24"/>
          <w:lang w:val="en-US" w:eastAsia="zh-CN"/>
        </w:rPr>
        <w:t>11</w:t>
      </w:r>
      <w:r>
        <w:rPr>
          <w:rFonts w:hint="eastAsia" w:ascii="仿宋_GB2312" w:eastAsia="仿宋_GB2312"/>
          <w:b/>
          <w:sz w:val="24"/>
        </w:rPr>
        <w:t xml:space="preserve">日 </w:t>
      </w:r>
    </w:p>
    <w:tbl>
      <w:tblPr>
        <w:tblStyle w:val="5"/>
        <w:tblW w:w="10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3356"/>
        <w:gridCol w:w="1701"/>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10720" w:type="dxa"/>
            <w:gridSpan w:val="4"/>
            <w:shd w:val="clear" w:color="auto" w:fill="F2F2F2"/>
            <w:vAlign w:val="center"/>
          </w:tcPr>
          <w:p>
            <w:pPr>
              <w:spacing w:line="276" w:lineRule="auto"/>
              <w:jc w:val="center"/>
              <w:rPr>
                <w:rFonts w:ascii="仿宋_GB2312" w:hAnsi="仿宋_GB2312" w:eastAsia="仿宋_GB2312" w:cs="仿宋_GB2312"/>
                <w:sz w:val="24"/>
              </w:rPr>
            </w:pPr>
            <w:r>
              <w:rPr>
                <w:rFonts w:hint="eastAsia" w:ascii="仿宋_GB2312" w:hAnsi="仿宋_GB2312" w:eastAsia="仿宋_GB2312" w:cs="仿宋_GB2312"/>
                <w:b/>
                <w:bCs/>
                <w:sz w:val="30"/>
                <w:szCs w:val="30"/>
              </w:rPr>
              <w:t>投资申请信息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发起部门</w:t>
            </w:r>
          </w:p>
        </w:tc>
        <w:tc>
          <w:tcPr>
            <w:tcW w:w="3356" w:type="dxa"/>
            <w:vAlign w:val="center"/>
          </w:tcPr>
          <w:p>
            <w:pPr>
              <w:spacing w:line="288" w:lineRule="auto"/>
              <w:rPr>
                <w:rFonts w:ascii="仿宋_GB2312" w:hAnsi="仿宋_GB2312" w:eastAsia="仿宋_GB2312" w:cs="仿宋_GB2312"/>
              </w:rPr>
            </w:pPr>
            <w:r>
              <w:rPr>
                <w:rFonts w:hint="eastAsia" w:ascii="仿宋_GB2312" w:hAnsi="仿宋_GB2312" w:eastAsia="仿宋_GB2312" w:cs="仿宋_GB2312"/>
                <w:sz w:val="24"/>
              </w:rPr>
              <w:t>股票投资部</w:t>
            </w:r>
          </w:p>
        </w:tc>
        <w:tc>
          <w:tcPr>
            <w:tcW w:w="1701"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发起人</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倪晨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标的名称</w:t>
            </w:r>
          </w:p>
        </w:tc>
        <w:tc>
          <w:tcPr>
            <w:tcW w:w="3356"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建信中小盘先锋股票型证券投资基金</w:t>
            </w:r>
            <w:r>
              <w:rPr>
                <w:rFonts w:ascii="仿宋_GB2312" w:hAnsi="仿宋_GB2312" w:eastAsia="仿宋_GB2312" w:cs="仿宋_GB2312"/>
                <w:sz w:val="24"/>
              </w:rPr>
              <w:t>A(000729)/C(013919)</w:t>
            </w:r>
          </w:p>
        </w:tc>
        <w:tc>
          <w:tcPr>
            <w:tcW w:w="1701"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投资币种及金额</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不超过</w:t>
            </w:r>
            <w:r>
              <w:rPr>
                <w:rFonts w:hint="eastAsia" w:ascii="仿宋_GB2312" w:hAnsi="仿宋_GB2312" w:eastAsia="仿宋_GB2312" w:cs="仿宋_GB2312"/>
                <w:sz w:val="24"/>
                <w:lang w:val="en-US" w:eastAsia="zh-CN"/>
              </w:rPr>
              <w:t>1</w:t>
            </w:r>
            <w:r>
              <w:rPr>
                <w:rFonts w:hint="eastAsia" w:ascii="仿宋_GB2312" w:hAnsi="仿宋_GB2312" w:eastAsia="仿宋_GB2312" w:cs="仿宋_GB2312"/>
                <w:sz w:val="24"/>
              </w:rPr>
              <w:t>亿元人民币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业务品种</w:t>
            </w:r>
          </w:p>
        </w:tc>
        <w:tc>
          <w:tcPr>
            <w:tcW w:w="8269" w:type="dxa"/>
            <w:gridSpan w:val="3"/>
            <w:tcBorders>
              <w:top w:val="single" w:color="auto" w:sz="4" w:space="0"/>
              <w:bottom w:val="single" w:color="auto" w:sz="4" w:space="0"/>
            </w:tcBorders>
            <w:vAlign w:val="center"/>
          </w:tcPr>
          <w:p>
            <w:pPr>
              <w:rPr>
                <w:rFonts w:ascii="仿宋_GB2312" w:hAnsi="仿宋_GB2312" w:eastAsia="仿宋_GB2312" w:cs="仿宋_GB2312"/>
                <w:b/>
                <w:sz w:val="24"/>
              </w:rPr>
            </w:pPr>
            <w:r>
              <w:rPr>
                <w:rFonts w:hint="eastAsia" w:ascii="仿宋_GB2312" w:hAnsi="仿宋_GB2312" w:eastAsia="仿宋_GB2312" w:cs="仿宋_GB2312"/>
                <w:bCs/>
                <w:sz w:val="24"/>
              </w:rPr>
              <w:t>C类业务，公募基金投资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如为A、B类业务</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说明本次拟申请领用理财专项单一法人客户或集团客户额度，以及本次业务开展后总体单一法人客户限额及集团客户情况。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适用审批权限</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根据投审办法及授权办法，货币基金80亿元以内的投资审批，公司分管副总经理为有权审批人。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证券代码</w:t>
            </w:r>
          </w:p>
        </w:tc>
        <w:tc>
          <w:tcPr>
            <w:tcW w:w="3356" w:type="dxa"/>
            <w:vAlign w:val="center"/>
          </w:tcPr>
          <w:p>
            <w:pPr>
              <w:rPr>
                <w:rFonts w:ascii="仿宋_GB2312" w:hAnsi="仿宋_GB2312" w:eastAsia="仿宋_GB2312" w:cs="仿宋_GB2312"/>
                <w:sz w:val="24"/>
              </w:rPr>
            </w:pPr>
            <w:r>
              <w:rPr>
                <w:rFonts w:ascii="仿宋_GB2312" w:hAnsi="仿宋_GB2312" w:eastAsia="仿宋_GB2312" w:cs="仿宋_GB2312"/>
                <w:sz w:val="24"/>
              </w:rPr>
              <w:t>A(000729)/C(013919)</w:t>
            </w:r>
          </w:p>
        </w:tc>
        <w:tc>
          <w:tcPr>
            <w:tcW w:w="170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证券简称</w:t>
            </w:r>
          </w:p>
        </w:tc>
        <w:tc>
          <w:tcPr>
            <w:tcW w:w="3212" w:type="dxa"/>
            <w:vAlign w:val="center"/>
          </w:tcPr>
          <w:p>
            <w:pPr>
              <w:rPr>
                <w:rFonts w:ascii="仿宋_GB2312" w:hAnsi="仿宋_GB2312" w:eastAsia="仿宋_GB2312" w:cs="仿宋_GB2312"/>
                <w:sz w:val="24"/>
                <w:highlight w:val="yellow"/>
              </w:rPr>
            </w:pPr>
            <w:r>
              <w:rPr>
                <w:rFonts w:hint="eastAsia" w:ascii="仿宋_GB2312" w:hAnsi="仿宋_GB2312" w:eastAsia="仿宋_GB2312" w:cs="仿宋_GB2312"/>
                <w:sz w:val="24"/>
              </w:rPr>
              <w:t>建信中小盘先锋股票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发行人/原始权益人</w:t>
            </w:r>
          </w:p>
        </w:tc>
        <w:tc>
          <w:tcPr>
            <w:tcW w:w="3356" w:type="dxa"/>
            <w:vAlign w:val="center"/>
          </w:tcPr>
          <w:p>
            <w:pPr>
              <w:rPr>
                <w:rFonts w:ascii="仿宋_GB2312" w:hAnsi="仿宋_GB2312" w:eastAsia="仿宋_GB2312" w:cs="仿宋_GB2312"/>
                <w:sz w:val="24"/>
              </w:rPr>
            </w:pPr>
          </w:p>
        </w:tc>
        <w:tc>
          <w:tcPr>
            <w:tcW w:w="170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管理人</w:t>
            </w:r>
          </w:p>
        </w:tc>
        <w:tc>
          <w:tcPr>
            <w:tcW w:w="3212"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建信基金管理有限责任公司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承担实质风险主体</w:t>
            </w:r>
          </w:p>
        </w:tc>
        <w:tc>
          <w:tcPr>
            <w:tcW w:w="3356" w:type="dxa"/>
            <w:vAlign w:val="center"/>
          </w:tcPr>
          <w:p>
            <w:pPr>
              <w:rPr>
                <w:rFonts w:ascii="仿宋_GB2312" w:hAnsi="仿宋_GB2312" w:eastAsia="仿宋_GB2312" w:cs="仿宋_GB2312"/>
                <w:sz w:val="24"/>
              </w:rPr>
            </w:pPr>
          </w:p>
        </w:tc>
        <w:tc>
          <w:tcPr>
            <w:tcW w:w="170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有效期</w:t>
            </w:r>
          </w:p>
        </w:tc>
        <w:tc>
          <w:tcPr>
            <w:tcW w:w="3212" w:type="dxa"/>
            <w:vAlign w:val="center"/>
          </w:tcPr>
          <w:p>
            <w:pPr>
              <w:rPr>
                <w:rFonts w:ascii="仿宋_GB2312" w:hAnsi="仿宋_GB2312" w:eastAsia="仿宋_GB2312"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jc w:val="center"/>
        </w:trPr>
        <w:tc>
          <w:tcPr>
            <w:tcW w:w="10720" w:type="dxa"/>
            <w:gridSpan w:val="4"/>
            <w:vAlign w:val="center"/>
          </w:tcPr>
          <w:p>
            <w:pPr>
              <w:widowControl/>
              <w:spacing w:line="240" w:lineRule="auto"/>
              <w:jc w:val="left"/>
            </w:pPr>
          </w:p>
          <w:p>
            <w:pPr>
              <w:widowControl/>
              <w:spacing w:line="240" w:lineRule="auto"/>
              <w:jc w:val="left"/>
            </w:pPr>
            <w:r>
              <w:rPr>
                <w:rFonts w:hint="eastAsia"/>
              </w:rPr>
              <w:t>一、基金公司情况</w:t>
            </w:r>
          </w:p>
          <w:p>
            <w:pPr>
              <w:pStyle w:val="2"/>
              <w:widowControl/>
              <w:spacing w:line="240" w:lineRule="auto"/>
              <w:ind w:left="0" w:leftChars="0" w:firstLine="420" w:firstLineChars="200"/>
              <w:jc w:val="left"/>
            </w:pPr>
            <w:r>
              <w:rPr>
                <w:rFonts w:hint="eastAsia"/>
              </w:rPr>
              <w:t>建信基金管理有限责任公司成立于2005年9月，注册地在北京，注册资本金为2亿元人民币，由中国建设银行股份有限公司、美国信安金融集团、中国华电集团共同发起设立，持股比例分别为65%、25%及10%，是国内首批由商业银行发起设立的基金管理公司，也是建行第一家子公司。建信基金管理有限责任公司业务范围包括募集、管理证券投资基金业务，以及法律、法规允许或相关监管机关批准的其他资产管理业务。公司通过稳健的经营、丰富的产品、良好的业绩以及优质的服务，在行业内的地位逐步上升，综合实力跻身行业前列，已成为业内重要的大型资产管理公司。最新公布的2019年度全球资管500强中位列第84位，排名国内资管机构第一。2008年以来先后摘得22项公司奖项：6项金牛基金公司奖，1</w:t>
            </w:r>
            <w:r>
              <w:t>0</w:t>
            </w:r>
            <w:r>
              <w:rPr>
                <w:rFonts w:hint="eastAsia"/>
              </w:rPr>
              <w:t>项明星基金公司奖，5项基金公司奖，1项英华奖2</w:t>
            </w:r>
            <w:r>
              <w:t>018</w:t>
            </w:r>
            <w:r>
              <w:rPr>
                <w:rFonts w:hint="eastAsia"/>
              </w:rPr>
              <w:t>年荣获公募基金2</w:t>
            </w:r>
            <w:r>
              <w:t>0</w:t>
            </w:r>
            <w:r>
              <w:rPr>
                <w:rFonts w:hint="eastAsia"/>
              </w:rPr>
              <w:t>年“最佳固定收益基金管理人”奖。2008年以来先后摘得46项产品奖项：29项债券基金奖、12项股票基金奖、3项混合基金奖、2项货币基金奖。</w:t>
            </w:r>
          </w:p>
          <w:p>
            <w:pPr>
              <w:spacing w:line="240" w:lineRule="auto"/>
              <w:ind w:firstLine="420" w:firstLineChars="200"/>
            </w:pPr>
            <w:r>
              <w:rPr>
                <w:rFonts w:hint="eastAsia"/>
              </w:rPr>
              <w:t>截至2020年底，公司资产管理总规模达1.36万亿元，保持行业前列。其中，公募基金规模4649亿元，专户业务规模4469亿元，建信资本4511亿元。2020年，公司进一步完善了受托资产“金字塔”结构体系，发行了科技创新、科创3年、高股息、新能源、食品饮料、湖北地方债、1-3年农发债、利率债、中证800/券商/大湾区/上海金/能化ETF等多个热点产品，开拓性发展基础设施公募REITs业务。</w:t>
            </w:r>
          </w:p>
          <w:p>
            <w:pPr>
              <w:pStyle w:val="2"/>
              <w:widowControl/>
              <w:spacing w:line="240" w:lineRule="auto"/>
              <w:ind w:left="0" w:leftChars="0"/>
              <w:jc w:val="left"/>
            </w:pPr>
            <w:r>
              <w:rPr>
                <w:rFonts w:hint="eastAsia"/>
              </w:rPr>
              <w:t>二、基金基本信息</w:t>
            </w:r>
          </w:p>
          <w:p>
            <w:pPr>
              <w:pStyle w:val="2"/>
              <w:widowControl/>
              <w:spacing w:line="240" w:lineRule="auto"/>
              <w:ind w:left="0" w:leftChars="0"/>
              <w:jc w:val="left"/>
            </w:pPr>
            <w:r>
              <w:rPr>
                <w:rFonts w:hint="eastAsia"/>
              </w:rPr>
              <w:t>1、规模情况：建信中小盘基金经理周智硕当前管理总规模为30.5亿元，其中建信中小盘先锋股票型证券投资基金当前规模为10.4亿元（2021/11/5）。</w:t>
            </w:r>
          </w:p>
          <w:tbl>
            <w:tblPr>
              <w:tblStyle w:val="5"/>
              <w:tblW w:w="10081" w:type="dxa"/>
              <w:jc w:val="center"/>
              <w:tblLayout w:type="fixed"/>
              <w:tblCellMar>
                <w:top w:w="0" w:type="dxa"/>
                <w:left w:w="108" w:type="dxa"/>
                <w:bottom w:w="0" w:type="dxa"/>
                <w:right w:w="108" w:type="dxa"/>
              </w:tblCellMar>
            </w:tblPr>
            <w:tblGrid>
              <w:gridCol w:w="1270"/>
              <w:gridCol w:w="1270"/>
              <w:gridCol w:w="1270"/>
              <w:gridCol w:w="1270"/>
              <w:gridCol w:w="1270"/>
              <w:gridCol w:w="1270"/>
              <w:gridCol w:w="1270"/>
              <w:gridCol w:w="1191"/>
            </w:tblGrid>
            <w:tr>
              <w:tblPrEx>
                <w:tblCellMar>
                  <w:top w:w="0" w:type="dxa"/>
                  <w:left w:w="108" w:type="dxa"/>
                  <w:bottom w:w="0" w:type="dxa"/>
                  <w:right w:w="108" w:type="dxa"/>
                </w:tblCellMar>
              </w:tblPrEx>
              <w:trPr>
                <w:trHeight w:val="183" w:hRule="atLeast"/>
                <w:jc w:val="center"/>
              </w:trPr>
              <w:tc>
                <w:tcPr>
                  <w:tcW w:w="10081" w:type="dxa"/>
                  <w:gridSpan w:val="8"/>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建信中小盘先锋股票基金规模变动情况（亿元）</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20210331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20201231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20200331</w:t>
                  </w:r>
                </w:p>
              </w:tc>
              <w:tc>
                <w:tcPr>
                  <w:tcW w:w="1191"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20191231</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t>9.47</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3.44</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2.48</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2.58</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1.59</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1.89</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1.61</w:t>
                  </w:r>
                </w:p>
              </w:tc>
              <w:tc>
                <w:tcPr>
                  <w:tcW w:w="1191" w:type="dxa"/>
                  <w:tcBorders>
                    <w:top w:val="nil"/>
                    <w:left w:val="nil"/>
                    <w:bottom w:val="single" w:color="auto" w:sz="4" w:space="0"/>
                    <w:right w:val="single" w:color="auto" w:sz="4" w:space="0"/>
                  </w:tcBorders>
                  <w:shd w:val="clear" w:color="auto" w:fill="auto"/>
                  <w:noWrap/>
                </w:tcPr>
                <w:p>
                  <w:pPr>
                    <w:widowControl/>
                    <w:spacing w:line="240" w:lineRule="auto"/>
                    <w:jc w:val="center"/>
                  </w:pPr>
                  <w:r>
                    <w:t>1.84</w:t>
                  </w:r>
                </w:p>
              </w:tc>
            </w:tr>
          </w:tbl>
          <w:p>
            <w:pPr>
              <w:pStyle w:val="2"/>
              <w:widowControl/>
              <w:spacing w:line="240" w:lineRule="auto"/>
              <w:ind w:left="0" w:leftChars="0"/>
              <w:jc w:val="left"/>
            </w:pPr>
            <w:r>
              <w:rPr>
                <w:rFonts w:hint="eastAsia"/>
              </w:rPr>
              <w:t>2、仓位及集中度情况：基金经理整体仓位维持80%以上。21年三季度披露前十大重仓股占比47.32%，集中度适中，持仓相对重仓了新能源板块个股，其中迈为股份、中国石油和兖州煤业持仓占比超过6%。</w:t>
            </w:r>
          </w:p>
          <w:tbl>
            <w:tblPr>
              <w:tblStyle w:val="5"/>
              <w:tblW w:w="6727" w:type="dxa"/>
              <w:jc w:val="center"/>
              <w:tblLayout w:type="fixed"/>
              <w:tblCellMar>
                <w:top w:w="0" w:type="dxa"/>
                <w:left w:w="108" w:type="dxa"/>
                <w:bottom w:w="0" w:type="dxa"/>
                <w:right w:w="108" w:type="dxa"/>
              </w:tblCellMar>
            </w:tblPr>
            <w:tblGrid>
              <w:gridCol w:w="3415"/>
              <w:gridCol w:w="3312"/>
            </w:tblGrid>
            <w:tr>
              <w:trPr>
                <w:trHeight w:val="194" w:hRule="atLeast"/>
                <w:jc w:val="center"/>
              </w:trPr>
              <w:tc>
                <w:tcPr>
                  <w:tcW w:w="672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建信中小盘先锋股票21年三季度前十大持股</w:t>
                  </w:r>
                </w:p>
              </w:tc>
            </w:tr>
            <w:tr>
              <w:tblPrEx>
                <w:tblCellMar>
                  <w:top w:w="0" w:type="dxa"/>
                  <w:left w:w="108" w:type="dxa"/>
                  <w:bottom w:w="0" w:type="dxa"/>
                  <w:right w:w="108" w:type="dxa"/>
                </w:tblCellMar>
              </w:tblPrEx>
              <w:trPr>
                <w:trHeight w:val="194" w:hRule="atLeast"/>
                <w:jc w:val="center"/>
              </w:trPr>
              <w:tc>
                <w:tcPr>
                  <w:tcW w:w="341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股票名称</w:t>
                  </w:r>
                </w:p>
              </w:tc>
              <w:tc>
                <w:tcPr>
                  <w:tcW w:w="331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占净资产比例（%）</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迈为股份</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6.77</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中国石油</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6.67</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兖州煤业</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6.32</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振江股份</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4.82</w:t>
                  </w:r>
                </w:p>
              </w:tc>
            </w:tr>
            <w:tr>
              <w:tblPrEx>
                <w:tblCellMar>
                  <w:top w:w="0" w:type="dxa"/>
                  <w:left w:w="108" w:type="dxa"/>
                  <w:bottom w:w="0" w:type="dxa"/>
                  <w:right w:w="108" w:type="dxa"/>
                </w:tblCellMar>
              </w:tblPrEx>
              <w:trPr>
                <w:trHeight w:val="230"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意华股份</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4.58</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力星股份</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4.02</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伊戈尔</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3.66</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鲁西化工</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3.59</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德方纳米</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3.45</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芒果超媒</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3.44</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前十大重仓股总计</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t>47.32</w:t>
                  </w:r>
                </w:p>
              </w:tc>
            </w:tr>
          </w:tbl>
          <w:p>
            <w:pPr>
              <w:widowControl/>
              <w:spacing w:line="240" w:lineRule="auto"/>
              <w:jc w:val="left"/>
            </w:pPr>
            <w:r>
              <w:rPr>
                <w:rFonts w:hint="eastAsia"/>
              </w:rPr>
              <w:t>3、产品费率结构：</w:t>
            </w:r>
          </w:p>
          <w:p>
            <w:pPr>
              <w:pStyle w:val="2"/>
              <w:rPr>
                <w:rFonts w:hint="eastAsia"/>
              </w:rPr>
            </w:pPr>
          </w:p>
          <w:tbl>
            <w:tblPr>
              <w:tblStyle w:val="5"/>
              <w:tblW w:w="9567" w:type="dxa"/>
              <w:jc w:val="center"/>
              <w:tblLayout w:type="fixed"/>
              <w:tblCellMar>
                <w:top w:w="0" w:type="dxa"/>
                <w:left w:w="108" w:type="dxa"/>
                <w:bottom w:w="0" w:type="dxa"/>
                <w:right w:w="108" w:type="dxa"/>
              </w:tblCellMar>
            </w:tblPr>
            <w:tblGrid>
              <w:gridCol w:w="1076"/>
              <w:gridCol w:w="1076"/>
              <w:gridCol w:w="1076"/>
              <w:gridCol w:w="2890"/>
              <w:gridCol w:w="3449"/>
            </w:tblGrid>
            <w:tr>
              <w:tblPrEx>
                <w:tblCellMar>
                  <w:top w:w="0" w:type="dxa"/>
                  <w:left w:w="108" w:type="dxa"/>
                  <w:bottom w:w="0" w:type="dxa"/>
                  <w:right w:w="108" w:type="dxa"/>
                </w:tblCellMar>
              </w:tblPrEx>
              <w:trPr>
                <w:trHeight w:val="191"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基金费率</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管理费</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托管费</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申购费</w:t>
                  </w:r>
                </w:p>
              </w:tc>
              <w:tc>
                <w:tcPr>
                  <w:tcW w:w="34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赎回费</w:t>
                  </w:r>
                </w:p>
              </w:tc>
            </w:tr>
            <w:tr>
              <w:tblPrEx>
                <w:tblCellMar>
                  <w:top w:w="0" w:type="dxa"/>
                  <w:left w:w="108" w:type="dxa"/>
                  <w:bottom w:w="0" w:type="dxa"/>
                  <w:right w:w="108" w:type="dxa"/>
                </w:tblCellMar>
              </w:tblPrEx>
              <w:trPr>
                <w:trHeight w:val="191" w:hRule="atLeast"/>
                <w:jc w:val="center"/>
              </w:trPr>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pPr>
                </w:p>
                <w:p>
                  <w:pPr>
                    <w:widowControl/>
                    <w:spacing w:line="240" w:lineRule="auto"/>
                    <w:jc w:val="center"/>
                  </w:pPr>
                </w:p>
                <w:p>
                  <w:pPr>
                    <w:widowControl/>
                    <w:spacing w:line="240" w:lineRule="auto"/>
                  </w:pPr>
                </w:p>
                <w:p>
                  <w:pPr>
                    <w:widowControl/>
                    <w:spacing w:line="240" w:lineRule="auto"/>
                    <w:jc w:val="center"/>
                  </w:pPr>
                  <w:r>
                    <w:rPr>
                      <w:rFonts w:hint="eastAsia"/>
                    </w:rPr>
                    <w:t>建信中小盘先锋股票A</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pPr>
                </w:p>
                <w:p>
                  <w:pPr>
                    <w:widowControl/>
                    <w:spacing w:line="240" w:lineRule="auto"/>
                    <w:jc w:val="center"/>
                  </w:pPr>
                </w:p>
                <w:p>
                  <w:pPr>
                    <w:widowControl/>
                    <w:spacing w:line="240" w:lineRule="auto"/>
                  </w:pPr>
                </w:p>
                <w:p>
                  <w:pPr>
                    <w:widowControl/>
                    <w:spacing w:line="240" w:lineRule="auto"/>
                    <w:jc w:val="center"/>
                  </w:pPr>
                  <w:r>
                    <w:t>1.50%</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pPr>
                </w:p>
                <w:p>
                  <w:pPr>
                    <w:widowControl/>
                    <w:spacing w:line="240" w:lineRule="auto"/>
                    <w:jc w:val="center"/>
                  </w:pPr>
                </w:p>
                <w:p>
                  <w:pPr>
                    <w:widowControl/>
                    <w:spacing w:line="240" w:lineRule="auto"/>
                  </w:pPr>
                </w:p>
                <w:p>
                  <w:pPr>
                    <w:widowControl/>
                    <w:spacing w:line="240" w:lineRule="auto"/>
                    <w:jc w:val="center"/>
                  </w:pPr>
                  <w:r>
                    <w:t>0.25%</w:t>
                  </w:r>
                </w:p>
              </w:tc>
              <w:tc>
                <w:tcPr>
                  <w:tcW w:w="2890"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pPr>
                  <w:r>
                    <w:rPr>
                      <w:rFonts w:hint="eastAsia"/>
                    </w:rPr>
                    <w:t>100万以下1.</w:t>
                  </w:r>
                  <w:r>
                    <w:t>2</w:t>
                  </w:r>
                  <w:r>
                    <w:rPr>
                      <w:rFonts w:hint="eastAsia"/>
                    </w:rPr>
                    <w:t>%；</w:t>
                  </w:r>
                </w:p>
                <w:p>
                  <w:pPr>
                    <w:widowControl/>
                    <w:spacing w:line="240" w:lineRule="auto"/>
                    <w:jc w:val="center"/>
                  </w:pPr>
                  <w:r>
                    <w:rPr>
                      <w:rFonts w:hint="eastAsia"/>
                    </w:rPr>
                    <w:t>100万~</w:t>
                  </w:r>
                  <w:r>
                    <w:t>2</w:t>
                  </w:r>
                  <w:r>
                    <w:rPr>
                      <w:rFonts w:hint="eastAsia"/>
                    </w:rPr>
                    <w:t>00万1%；</w:t>
                  </w:r>
                </w:p>
                <w:p>
                  <w:pPr>
                    <w:widowControl/>
                    <w:spacing w:line="240" w:lineRule="auto"/>
                    <w:jc w:val="center"/>
                  </w:pPr>
                  <w:r>
                    <w:t>2</w:t>
                  </w:r>
                  <w:r>
                    <w:rPr>
                      <w:rFonts w:hint="eastAsia"/>
                    </w:rPr>
                    <w:t>00万~500万0.</w:t>
                  </w:r>
                  <w:r>
                    <w:t>6</w:t>
                  </w:r>
                  <w:r>
                    <w:rPr>
                      <w:rFonts w:hint="eastAsia"/>
                    </w:rPr>
                    <w:t>0%；</w:t>
                  </w:r>
                </w:p>
                <w:p>
                  <w:pPr>
                    <w:widowControl/>
                    <w:spacing w:line="240" w:lineRule="auto"/>
                    <w:jc w:val="center"/>
                  </w:pPr>
                  <w:r>
                    <w:rPr>
                      <w:rFonts w:hint="eastAsia"/>
                    </w:rPr>
                    <w:t>500万及以上1000元/笔</w:t>
                  </w:r>
                </w:p>
              </w:tc>
              <w:tc>
                <w:tcPr>
                  <w:tcW w:w="3449"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pPr>
                  <w:r>
                    <w:rPr>
                      <w:rFonts w:hint="eastAsia"/>
                    </w:rPr>
                    <w:t>普通投资群体：1-6日 1.5%；</w:t>
                  </w:r>
                </w:p>
                <w:p>
                  <w:pPr>
                    <w:widowControl/>
                    <w:spacing w:line="240" w:lineRule="auto"/>
                    <w:jc w:val="center"/>
                  </w:pPr>
                  <w:r>
                    <w:rPr>
                      <w:rFonts w:hint="eastAsia"/>
                    </w:rPr>
                    <w:t>普通投资群体：7-29日 0.75%；</w:t>
                  </w:r>
                </w:p>
                <w:p>
                  <w:pPr>
                    <w:widowControl/>
                    <w:spacing w:line="240" w:lineRule="auto"/>
                    <w:jc w:val="center"/>
                  </w:pPr>
                  <w:r>
                    <w:rPr>
                      <w:rFonts w:hint="eastAsia"/>
                    </w:rPr>
                    <w:t>普通投资群体：30-</w:t>
                  </w:r>
                  <w:r>
                    <w:t>365</w:t>
                  </w:r>
                  <w:r>
                    <w:rPr>
                      <w:rFonts w:hint="eastAsia"/>
                    </w:rPr>
                    <w:t>日 0.50%；</w:t>
                  </w:r>
                </w:p>
                <w:p>
                  <w:pPr>
                    <w:widowControl/>
                    <w:spacing w:line="240" w:lineRule="auto"/>
                    <w:jc w:val="center"/>
                  </w:pPr>
                  <w:r>
                    <w:rPr>
                      <w:rFonts w:hint="eastAsia"/>
                    </w:rPr>
                    <w:t>普通投资群体：366~730日 0.25%;</w:t>
                  </w:r>
                </w:p>
                <w:p>
                  <w:pPr>
                    <w:pStyle w:val="2"/>
                    <w:jc w:val="center"/>
                  </w:pPr>
                  <w:r>
                    <w:rPr>
                      <w:rFonts w:hint="eastAsia"/>
                    </w:rPr>
                    <w:t>普通投资群体:731日以上 0%</w:t>
                  </w:r>
                </w:p>
              </w:tc>
            </w:tr>
            <w:tr>
              <w:tblPrEx>
                <w:tblCellMar>
                  <w:top w:w="0" w:type="dxa"/>
                  <w:left w:w="108" w:type="dxa"/>
                  <w:bottom w:w="0" w:type="dxa"/>
                  <w:right w:w="108" w:type="dxa"/>
                </w:tblCellMar>
              </w:tblPrEx>
              <w:trPr>
                <w:trHeight w:val="1671" w:hRule="atLeast"/>
                <w:jc w:val="center"/>
              </w:trPr>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pPr>
                </w:p>
                <w:p>
                  <w:pPr>
                    <w:widowControl/>
                    <w:spacing w:line="240" w:lineRule="auto"/>
                    <w:jc w:val="center"/>
                  </w:pPr>
                  <w:r>
                    <w:rPr>
                      <w:rFonts w:hint="eastAsia"/>
                    </w:rPr>
                    <w:t>建信中小盘先锋股票</w:t>
                  </w:r>
                  <w:r>
                    <w:t>C</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pPr>
                </w:p>
                <w:p>
                  <w:pPr>
                    <w:pStyle w:val="2"/>
                  </w:pPr>
                </w:p>
                <w:p>
                  <w:pPr>
                    <w:widowControl/>
                    <w:spacing w:line="240" w:lineRule="auto"/>
                    <w:jc w:val="center"/>
                  </w:pPr>
                  <w:r>
                    <w:t>1.50%</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pPr>
                </w:p>
                <w:p>
                  <w:pPr>
                    <w:widowControl/>
                    <w:spacing w:line="240" w:lineRule="auto"/>
                  </w:pPr>
                </w:p>
                <w:p>
                  <w:pPr>
                    <w:widowControl/>
                    <w:spacing w:line="240" w:lineRule="auto"/>
                    <w:jc w:val="center"/>
                  </w:pPr>
                  <w:r>
                    <w:t>0.25%</w:t>
                  </w:r>
                </w:p>
              </w:tc>
              <w:tc>
                <w:tcPr>
                  <w:tcW w:w="2890"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pPr>
                  <w:r>
                    <w:t>0</w:t>
                  </w:r>
                  <w:r>
                    <w:rPr>
                      <w:rFonts w:hint="eastAsia"/>
                    </w:rPr>
                    <w:t>%</w:t>
                  </w:r>
                </w:p>
              </w:tc>
              <w:tc>
                <w:tcPr>
                  <w:tcW w:w="3449"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pPr>
                  <w:r>
                    <w:rPr>
                      <w:rFonts w:hint="eastAsia"/>
                    </w:rPr>
                    <w:t>普通投资群体：1-6日 1.5%；</w:t>
                  </w:r>
                </w:p>
                <w:p>
                  <w:pPr>
                    <w:widowControl/>
                    <w:spacing w:line="240" w:lineRule="auto"/>
                    <w:jc w:val="center"/>
                  </w:pPr>
                  <w:r>
                    <w:rPr>
                      <w:rFonts w:hint="eastAsia"/>
                    </w:rPr>
                    <w:t>普通投资群体：7-29日 0.5%；</w:t>
                  </w:r>
                </w:p>
                <w:p>
                  <w:pPr>
                    <w:widowControl/>
                    <w:spacing w:line="240" w:lineRule="auto"/>
                    <w:jc w:val="center"/>
                  </w:pPr>
                  <w:r>
                    <w:rPr>
                      <w:rFonts w:hint="eastAsia"/>
                    </w:rPr>
                    <w:t>普通投资群体：3</w:t>
                  </w:r>
                  <w:r>
                    <w:t>0</w:t>
                  </w:r>
                  <w:r>
                    <w:rPr>
                      <w:rFonts w:hint="eastAsia"/>
                    </w:rPr>
                    <w:t>日以上 不收取费用</w:t>
                  </w:r>
                </w:p>
              </w:tc>
            </w:tr>
          </w:tbl>
          <w:p>
            <w:pPr>
              <w:widowControl/>
              <w:spacing w:line="240" w:lineRule="auto"/>
              <w:jc w:val="left"/>
            </w:pPr>
          </w:p>
          <w:p>
            <w:pPr>
              <w:widowControl/>
              <w:spacing w:line="240" w:lineRule="auto"/>
              <w:jc w:val="left"/>
            </w:pPr>
            <w:r>
              <w:rPr>
                <w:rFonts w:hint="eastAsia"/>
              </w:rPr>
              <w:t>4、产品持有人结构：2021年半年报显示，机构投资者占比46.67%,持有人结构分散，流动性风险较低。</w:t>
            </w:r>
          </w:p>
          <w:p>
            <w:pPr>
              <w:pStyle w:val="2"/>
            </w:pPr>
          </w:p>
          <w:p>
            <w:pPr>
              <w:widowControl/>
              <w:spacing w:line="240" w:lineRule="auto"/>
              <w:jc w:val="left"/>
            </w:pPr>
            <w:r>
              <w:rPr>
                <w:rFonts w:hint="eastAsia"/>
              </w:rPr>
              <w:t>三、投资经理及策略情况</w:t>
            </w:r>
          </w:p>
          <w:p>
            <w:pPr>
              <w:widowControl/>
              <w:spacing w:line="240" w:lineRule="auto"/>
              <w:jc w:val="left"/>
            </w:pPr>
            <w:r>
              <w:rPr>
                <w:rFonts w:hint="eastAsia"/>
              </w:rPr>
              <w:t>1、基金经理：建信中小盘先锋股票基金经理周智硕，2009年7月至2012年8月在南方基金管理有限公司担任研究员；2012年8月至2013年7月在中国国际金融有限公司担任研究员；2013年8月至2016年2月在北京鸿道投资管理有限责任公司担任研究员、投资经理；2016年2月至2016年11月在注册登记私募担任研究员和投资经理；2016年11月至2017年11月在上海七曜投资管理合伙企业担任投资经理；2017年11月至2020年6月在工银瑞信基金管理有限公司担任投资经理。2020年6月加入建信基金权益投资部拟任基金经理。2020年9月18日起任建信中小盘先锋股票型证券投资基金、建信潜力新蓝筹股票型证券投资基金的基金经理。</w:t>
            </w:r>
          </w:p>
          <w:p>
            <w:pPr>
              <w:pStyle w:val="2"/>
              <w:ind w:left="0" w:leftChars="0"/>
              <w:rPr>
                <w:rFonts w:hint="eastAsia"/>
              </w:rPr>
            </w:pPr>
            <w:r>
              <w:rPr>
                <w:rFonts w:hint="eastAsia"/>
              </w:rPr>
              <w:t>2、基金经理业绩情况：周智硕代表产品建信中小盘先锋股票，自20</w:t>
            </w:r>
            <w:r>
              <w:t>20</w:t>
            </w:r>
            <w:r>
              <w:rPr>
                <w:rFonts w:hint="eastAsia"/>
              </w:rPr>
              <w:t>年</w:t>
            </w:r>
            <w:r>
              <w:t>9</w:t>
            </w:r>
            <w:r>
              <w:rPr>
                <w:rFonts w:hint="eastAsia"/>
              </w:rPr>
              <w:t>月1</w:t>
            </w:r>
            <w:r>
              <w:t>8</w:t>
            </w:r>
            <w:r>
              <w:rPr>
                <w:rFonts w:hint="eastAsia"/>
              </w:rPr>
              <w:t>日任职以来，任职回报</w:t>
            </w:r>
            <w:r>
              <w:t>83.37%</w:t>
            </w:r>
            <w:r>
              <w:rPr>
                <w:rFonts w:hint="eastAsia"/>
              </w:rPr>
              <w:t>。</w:t>
            </w:r>
          </w:p>
          <w:p>
            <w:pPr>
              <w:pStyle w:val="2"/>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1"/>
              <w:gridCol w:w="210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1" w:type="dxa"/>
                  <w:vAlign w:val="center"/>
                </w:tcPr>
                <w:p>
                  <w:pPr>
                    <w:widowControl/>
                    <w:spacing w:line="23" w:lineRule="atLeast"/>
                    <w:jc w:val="center"/>
                  </w:pPr>
                  <w:r>
                    <w:rPr>
                      <w:rFonts w:hint="eastAsia"/>
                    </w:rPr>
                    <w:t>基金代码</w:t>
                  </w:r>
                </w:p>
              </w:tc>
              <w:tc>
                <w:tcPr>
                  <w:tcW w:w="2107" w:type="dxa"/>
                  <w:vAlign w:val="center"/>
                </w:tcPr>
                <w:p>
                  <w:pPr>
                    <w:widowControl/>
                    <w:spacing w:line="23" w:lineRule="atLeast"/>
                    <w:jc w:val="center"/>
                  </w:pPr>
                  <w:r>
                    <w:rPr>
                      <w:rFonts w:hint="eastAsia"/>
                    </w:rPr>
                    <w:t>基金简称</w:t>
                  </w:r>
                </w:p>
              </w:tc>
              <w:tc>
                <w:tcPr>
                  <w:tcW w:w="1704" w:type="dxa"/>
                  <w:vAlign w:val="center"/>
                </w:tcPr>
                <w:p>
                  <w:pPr>
                    <w:widowControl/>
                    <w:spacing w:line="23" w:lineRule="atLeast"/>
                    <w:jc w:val="center"/>
                  </w:pPr>
                  <w:r>
                    <w:rPr>
                      <w:rFonts w:hint="eastAsia"/>
                    </w:rPr>
                    <w:t>任职</w:t>
                  </w:r>
                </w:p>
              </w:tc>
              <w:tc>
                <w:tcPr>
                  <w:tcW w:w="1705" w:type="dxa"/>
                  <w:vAlign w:val="center"/>
                </w:tcPr>
                <w:p>
                  <w:pPr>
                    <w:widowControl/>
                    <w:spacing w:line="23" w:lineRule="atLeast"/>
                    <w:jc w:val="center"/>
                  </w:pPr>
                  <w:r>
                    <w:rPr>
                      <w:rFonts w:hint="eastAsia"/>
                    </w:rPr>
                    <w:t>任职回报(%)</w:t>
                  </w:r>
                </w:p>
              </w:tc>
              <w:tc>
                <w:tcPr>
                  <w:tcW w:w="1705" w:type="dxa"/>
                  <w:vAlign w:val="center"/>
                </w:tcPr>
                <w:p>
                  <w:pPr>
                    <w:widowControl/>
                    <w:spacing w:line="23" w:lineRule="atLeast"/>
                    <w:jc w:val="center"/>
                  </w:pPr>
                  <w:r>
                    <w:rPr>
                      <w:rFonts w:hint="eastAsia"/>
                    </w:rPr>
                    <w:t>基金规模(亿)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1" w:type="dxa"/>
                </w:tcPr>
                <w:p>
                  <w:pPr>
                    <w:widowControl/>
                    <w:spacing w:line="276" w:lineRule="auto"/>
                    <w:jc w:val="left"/>
                  </w:pPr>
                  <w:r>
                    <w:rPr>
                      <w:rFonts w:hint="eastAsia"/>
                    </w:rPr>
                    <w:t>530005</w:t>
                  </w:r>
                </w:p>
              </w:tc>
              <w:tc>
                <w:tcPr>
                  <w:tcW w:w="2107" w:type="dxa"/>
                </w:tcPr>
                <w:p>
                  <w:pPr>
                    <w:widowControl/>
                    <w:spacing w:line="276" w:lineRule="auto"/>
                    <w:jc w:val="left"/>
                  </w:pPr>
                  <w:r>
                    <w:rPr>
                      <w:rFonts w:hint="eastAsia"/>
                    </w:rPr>
                    <w:t>建信优化配置混合</w:t>
                  </w:r>
                </w:p>
              </w:tc>
              <w:tc>
                <w:tcPr>
                  <w:tcW w:w="1704" w:type="dxa"/>
                </w:tcPr>
                <w:p>
                  <w:pPr>
                    <w:widowControl/>
                    <w:spacing w:line="276" w:lineRule="auto"/>
                    <w:jc w:val="left"/>
                  </w:pPr>
                  <w:r>
                    <w:rPr>
                      <w:rFonts w:hint="eastAsia"/>
                    </w:rPr>
                    <w:t>2021-09-29-至今</w:t>
                  </w:r>
                </w:p>
              </w:tc>
              <w:tc>
                <w:tcPr>
                  <w:tcW w:w="1705" w:type="dxa"/>
                </w:tcPr>
                <w:p>
                  <w:pPr>
                    <w:widowControl/>
                    <w:spacing w:line="276" w:lineRule="auto"/>
                    <w:jc w:val="center"/>
                  </w:pPr>
                  <w:r>
                    <w:rPr>
                      <w:rFonts w:hint="eastAsia"/>
                    </w:rPr>
                    <w:t>3.24</w:t>
                  </w:r>
                </w:p>
              </w:tc>
              <w:tc>
                <w:tcPr>
                  <w:tcW w:w="1705" w:type="dxa"/>
                </w:tcPr>
                <w:p>
                  <w:pPr>
                    <w:widowControl/>
                    <w:spacing w:line="276" w:lineRule="auto"/>
                    <w:jc w:val="center"/>
                  </w:pPr>
                  <w:r>
                    <w:rPr>
                      <w:rFonts w:hint="eastAsia"/>
                    </w:rPr>
                    <w:t>16.42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1" w:type="dxa"/>
                </w:tcPr>
                <w:p>
                  <w:pPr>
                    <w:widowControl/>
                    <w:spacing w:line="276" w:lineRule="auto"/>
                    <w:jc w:val="left"/>
                  </w:pPr>
                  <w:r>
                    <w:rPr>
                      <w:rFonts w:hint="eastAsia"/>
                    </w:rPr>
                    <w:t>000756</w:t>
                  </w:r>
                </w:p>
              </w:tc>
              <w:tc>
                <w:tcPr>
                  <w:tcW w:w="2107" w:type="dxa"/>
                </w:tcPr>
                <w:p>
                  <w:pPr>
                    <w:widowControl/>
                    <w:spacing w:line="276" w:lineRule="auto"/>
                    <w:jc w:val="left"/>
                  </w:pPr>
                  <w:r>
                    <w:rPr>
                      <w:rFonts w:hint="eastAsia"/>
                    </w:rPr>
                    <w:t>建信潜力新蓝筹股票</w:t>
                  </w:r>
                </w:p>
              </w:tc>
              <w:tc>
                <w:tcPr>
                  <w:tcW w:w="1704" w:type="dxa"/>
                </w:tcPr>
                <w:p>
                  <w:pPr>
                    <w:widowControl/>
                    <w:spacing w:line="276" w:lineRule="auto"/>
                    <w:jc w:val="left"/>
                  </w:pPr>
                  <w:r>
                    <w:rPr>
                      <w:rFonts w:hint="eastAsia"/>
                    </w:rPr>
                    <w:t>2020-09-18-至今</w:t>
                  </w:r>
                </w:p>
              </w:tc>
              <w:tc>
                <w:tcPr>
                  <w:tcW w:w="1705" w:type="dxa"/>
                </w:tcPr>
                <w:p>
                  <w:pPr>
                    <w:widowControl/>
                    <w:spacing w:line="276" w:lineRule="auto"/>
                    <w:jc w:val="center"/>
                  </w:pPr>
                  <w:r>
                    <w:rPr>
                      <w:rFonts w:hint="eastAsia"/>
                    </w:rPr>
                    <w:t>70.25</w:t>
                  </w:r>
                </w:p>
              </w:tc>
              <w:tc>
                <w:tcPr>
                  <w:tcW w:w="1705" w:type="dxa"/>
                </w:tcPr>
                <w:p>
                  <w:pPr>
                    <w:widowControl/>
                    <w:spacing w:line="276" w:lineRule="auto"/>
                    <w:jc w:val="center"/>
                  </w:pPr>
                  <w:r>
                    <w:rPr>
                      <w:rFonts w:hint="eastAsia"/>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1" w:type="dxa"/>
                </w:tcPr>
                <w:p>
                  <w:pPr>
                    <w:widowControl/>
                    <w:spacing w:line="276" w:lineRule="auto"/>
                    <w:jc w:val="left"/>
                  </w:pPr>
                  <w:r>
                    <w:rPr>
                      <w:rFonts w:hint="eastAsia"/>
                    </w:rPr>
                    <w:t>013919</w:t>
                  </w:r>
                </w:p>
              </w:tc>
              <w:tc>
                <w:tcPr>
                  <w:tcW w:w="2107" w:type="dxa"/>
                </w:tcPr>
                <w:p>
                  <w:pPr>
                    <w:widowControl/>
                    <w:spacing w:line="276" w:lineRule="auto"/>
                    <w:jc w:val="left"/>
                  </w:pPr>
                  <w:r>
                    <w:rPr>
                      <w:rFonts w:hint="eastAsia"/>
                    </w:rPr>
                    <w:t>建信中小盘先锋股票C</w:t>
                  </w:r>
                </w:p>
              </w:tc>
              <w:tc>
                <w:tcPr>
                  <w:tcW w:w="1704" w:type="dxa"/>
                </w:tcPr>
                <w:p>
                  <w:pPr>
                    <w:widowControl/>
                    <w:spacing w:line="276" w:lineRule="auto"/>
                    <w:jc w:val="left"/>
                  </w:pPr>
                  <w:r>
                    <w:rPr>
                      <w:rFonts w:hint="eastAsia"/>
                    </w:rPr>
                    <w:t>2021-10-27-至今</w:t>
                  </w:r>
                </w:p>
              </w:tc>
              <w:tc>
                <w:tcPr>
                  <w:tcW w:w="1705" w:type="dxa"/>
                </w:tcPr>
                <w:p>
                  <w:pPr>
                    <w:widowControl/>
                    <w:spacing w:line="276" w:lineRule="auto"/>
                    <w:jc w:val="center"/>
                  </w:pPr>
                  <w:r>
                    <w:rPr>
                      <w:rFonts w:hint="eastAsia"/>
                    </w:rPr>
                    <w:t>0.33</w:t>
                  </w:r>
                </w:p>
              </w:tc>
              <w:tc>
                <w:tcPr>
                  <w:tcW w:w="1705" w:type="dxa"/>
                </w:tcPr>
                <w:p>
                  <w:pPr>
                    <w:widowControl/>
                    <w:spacing w:line="276" w:lineRule="auto"/>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1" w:type="dxa"/>
                </w:tcPr>
                <w:p>
                  <w:pPr>
                    <w:widowControl/>
                    <w:spacing w:line="276" w:lineRule="auto"/>
                    <w:jc w:val="left"/>
                  </w:pPr>
                  <w:r>
                    <w:rPr>
                      <w:rFonts w:hint="eastAsia"/>
                    </w:rPr>
                    <w:t>000729</w:t>
                  </w:r>
                </w:p>
              </w:tc>
              <w:tc>
                <w:tcPr>
                  <w:tcW w:w="2107" w:type="dxa"/>
                </w:tcPr>
                <w:p>
                  <w:pPr>
                    <w:widowControl/>
                    <w:spacing w:line="276" w:lineRule="auto"/>
                    <w:jc w:val="left"/>
                  </w:pPr>
                  <w:r>
                    <w:rPr>
                      <w:rFonts w:hint="eastAsia"/>
                    </w:rPr>
                    <w:t>建信中小盘先锋股票A</w:t>
                  </w:r>
                </w:p>
              </w:tc>
              <w:tc>
                <w:tcPr>
                  <w:tcW w:w="1704" w:type="dxa"/>
                </w:tcPr>
                <w:p>
                  <w:pPr>
                    <w:widowControl/>
                    <w:spacing w:line="276" w:lineRule="auto"/>
                    <w:jc w:val="left"/>
                  </w:pPr>
                  <w:r>
                    <w:rPr>
                      <w:rFonts w:hint="eastAsia"/>
                    </w:rPr>
                    <w:t>2020-09-18-至今</w:t>
                  </w:r>
                </w:p>
              </w:tc>
              <w:tc>
                <w:tcPr>
                  <w:tcW w:w="1705" w:type="dxa"/>
                </w:tcPr>
                <w:p>
                  <w:pPr>
                    <w:widowControl/>
                    <w:spacing w:line="276" w:lineRule="auto"/>
                    <w:jc w:val="center"/>
                  </w:pPr>
                  <w:r>
                    <w:rPr>
                      <w:rFonts w:hint="eastAsia"/>
                    </w:rPr>
                    <w:t>83.37%</w:t>
                  </w:r>
                </w:p>
              </w:tc>
              <w:tc>
                <w:tcPr>
                  <w:tcW w:w="1705" w:type="dxa"/>
                </w:tcPr>
                <w:p>
                  <w:pPr>
                    <w:widowControl/>
                    <w:spacing w:line="276" w:lineRule="auto"/>
                    <w:jc w:val="center"/>
                  </w:pPr>
                  <w:r>
                    <w:rPr>
                      <w:rFonts w:hint="eastAsia"/>
                    </w:rPr>
                    <w:t>10.43</w:t>
                  </w:r>
                </w:p>
              </w:tc>
            </w:tr>
          </w:tbl>
          <w:p>
            <w:pPr>
              <w:pStyle w:val="2"/>
              <w:ind w:left="0" w:leftChars="0"/>
            </w:pPr>
          </w:p>
          <w:p>
            <w:pPr>
              <w:pStyle w:val="2"/>
              <w:widowControl/>
              <w:spacing w:line="240" w:lineRule="auto"/>
              <w:ind w:left="0" w:leftChars="0"/>
              <w:jc w:val="left"/>
            </w:pPr>
            <w:r>
              <w:rPr>
                <w:rFonts w:hint="eastAsia"/>
              </w:rPr>
              <w:t>3、投资目标及投资策略</w:t>
            </w:r>
          </w:p>
          <w:p>
            <w:pPr>
              <w:widowControl/>
              <w:spacing w:line="240" w:lineRule="auto"/>
              <w:ind w:firstLine="420" w:firstLineChars="200"/>
              <w:jc w:val="left"/>
            </w:pPr>
            <w:r>
              <w:rPr>
                <w:rFonts w:hint="eastAsia"/>
              </w:rPr>
              <w:t>投资目标：核心就是为投资人创造收益。不将自己限制在某个赛道，而是通过研究发现各种赚钱的可能性，并且去追求落实这些创造收益的机会。</w:t>
            </w:r>
          </w:p>
          <w:p>
            <w:pPr>
              <w:widowControl/>
              <w:spacing w:line="240" w:lineRule="auto"/>
              <w:ind w:firstLine="420" w:firstLineChars="200"/>
              <w:jc w:val="left"/>
            </w:pPr>
            <w:r>
              <w:rPr>
                <w:rFonts w:hint="eastAsia"/>
              </w:rPr>
              <w:t>配置思路：基于业绩的方式进行选股，主要考虑公司未来几年的业绩。其中在产业链地位相对比较重要的龙头公司业绩增长的概率更大。然后根据风险收益比和流动性确定每只股票能够购买的仓位进行配置。</w:t>
            </w:r>
          </w:p>
          <w:p>
            <w:pPr>
              <w:widowControl/>
              <w:spacing w:line="240" w:lineRule="auto"/>
              <w:ind w:firstLine="420" w:firstLineChars="200"/>
              <w:jc w:val="left"/>
            </w:pPr>
            <w:r>
              <w:rPr>
                <w:rFonts w:hint="eastAsia"/>
              </w:rPr>
              <w:t>当前市场观点及持仓情况：我国经济正在由高速增长阶段转向高质量发展阶段，经济的增长动能正从要素驱动转向创新驱动，从中国制造转向中国创造，从人口红利转向工程师红利，同时，随着碳中和的不断推进，能源战略和能源安全问题将日渐重要。因此，本基金继续围绕行业中竞争力突出、业绩确定性增长的公司这条主线进行投资，重点投资了先进制造、新能源等创新类行业的企业；其次，投资了石油、天然气、采掘等需求侧出现明显改善且供给相对缺乏资本开支的公司。</w:t>
            </w:r>
          </w:p>
          <w:p>
            <w:pPr>
              <w:pStyle w:val="2"/>
              <w:numPr>
                <w:ilvl w:val="0"/>
                <w:numId w:val="1"/>
              </w:numPr>
              <w:ind w:left="0" w:leftChars="0"/>
            </w:pPr>
            <w:r>
              <w:rPr>
                <w:rFonts w:hint="eastAsia"/>
              </w:rPr>
              <w:t>风险分析：投资策略带来基金的波动性及回撤风险较大；在风格切换的市场环境下续跟踪产品表现，关注投资经理操作思路。</w:t>
            </w:r>
          </w:p>
          <w:p>
            <w:pPr>
              <w:pStyle w:val="2"/>
              <w:numPr>
                <w:ilvl w:val="0"/>
                <w:numId w:val="1"/>
              </w:numPr>
              <w:ind w:left="0" w:leftChars="0" w:firstLine="0" w:firstLineChars="0"/>
            </w:pPr>
            <w:r>
              <w:rPr>
                <w:rFonts w:hint="eastAsia"/>
              </w:rPr>
              <w:t>申请理由：</w:t>
            </w:r>
            <w:r>
              <w:t xml:space="preserve"> </w:t>
            </w:r>
          </w:p>
          <w:p>
            <w:pPr>
              <w:numPr>
                <w:numId w:val="0"/>
              </w:numPr>
              <w:ind w:leftChars="0"/>
              <w:rPr>
                <w:rFonts w:hint="default" w:eastAsia="宋体"/>
                <w:lang w:val="en-US" w:eastAsia="zh-CN"/>
              </w:rPr>
            </w:pPr>
            <w:r>
              <w:rPr>
                <w:rFonts w:hint="eastAsia"/>
                <w:lang w:val="en-US" w:eastAsia="zh-CN"/>
              </w:rPr>
              <w:t>该基金经理投研框架较为完善，主动型量化风格显著，</w:t>
            </w:r>
            <w:bookmarkStart w:id="0" w:name="_GoBack"/>
            <w:bookmarkEnd w:id="0"/>
            <w:r>
              <w:rPr>
                <w:rFonts w:hint="eastAsia"/>
                <w:lang w:val="en-US" w:eastAsia="zh-CN"/>
              </w:rPr>
              <w:t>有利于克服公募基金在中小盘领域的不利因素，建议入池在现阶段作为中小盘基金进行配置。</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65DBD"/>
    <w:multiLevelType w:val="singleLevel"/>
    <w:tmpl w:val="D0765DB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82591"/>
    <w:rsid w:val="00075DAC"/>
    <w:rsid w:val="000A6B0B"/>
    <w:rsid w:val="000D5DE6"/>
    <w:rsid w:val="000E408E"/>
    <w:rsid w:val="001474B9"/>
    <w:rsid w:val="001C6239"/>
    <w:rsid w:val="0020410F"/>
    <w:rsid w:val="002120D1"/>
    <w:rsid w:val="002247B4"/>
    <w:rsid w:val="00296CC2"/>
    <w:rsid w:val="002A39D3"/>
    <w:rsid w:val="002D73B4"/>
    <w:rsid w:val="00303AAC"/>
    <w:rsid w:val="00316986"/>
    <w:rsid w:val="00333906"/>
    <w:rsid w:val="0038302E"/>
    <w:rsid w:val="00387DD9"/>
    <w:rsid w:val="003E4F7D"/>
    <w:rsid w:val="003F5295"/>
    <w:rsid w:val="00417039"/>
    <w:rsid w:val="004816A9"/>
    <w:rsid w:val="004A0DBD"/>
    <w:rsid w:val="004A0FCB"/>
    <w:rsid w:val="004A46A1"/>
    <w:rsid w:val="004A4953"/>
    <w:rsid w:val="004B0A95"/>
    <w:rsid w:val="004B1A4C"/>
    <w:rsid w:val="004B5148"/>
    <w:rsid w:val="004C06BA"/>
    <w:rsid w:val="004D7E6A"/>
    <w:rsid w:val="004E1C23"/>
    <w:rsid w:val="00523D27"/>
    <w:rsid w:val="00532DDD"/>
    <w:rsid w:val="005461C5"/>
    <w:rsid w:val="0056194E"/>
    <w:rsid w:val="00570318"/>
    <w:rsid w:val="005A7108"/>
    <w:rsid w:val="005C09CC"/>
    <w:rsid w:val="005C1468"/>
    <w:rsid w:val="005F36CC"/>
    <w:rsid w:val="006050B0"/>
    <w:rsid w:val="00625AE2"/>
    <w:rsid w:val="006B4BF9"/>
    <w:rsid w:val="006F4B8E"/>
    <w:rsid w:val="00735F4F"/>
    <w:rsid w:val="0075012D"/>
    <w:rsid w:val="007861D9"/>
    <w:rsid w:val="007C0FAE"/>
    <w:rsid w:val="007D6AD0"/>
    <w:rsid w:val="007F3DD0"/>
    <w:rsid w:val="00807F60"/>
    <w:rsid w:val="00853012"/>
    <w:rsid w:val="008C28A2"/>
    <w:rsid w:val="008F6141"/>
    <w:rsid w:val="00905D3A"/>
    <w:rsid w:val="00927737"/>
    <w:rsid w:val="00960CA7"/>
    <w:rsid w:val="00960E70"/>
    <w:rsid w:val="00965DB4"/>
    <w:rsid w:val="00987708"/>
    <w:rsid w:val="00A43D71"/>
    <w:rsid w:val="00A467D3"/>
    <w:rsid w:val="00A94902"/>
    <w:rsid w:val="00A95644"/>
    <w:rsid w:val="00AE6C2C"/>
    <w:rsid w:val="00AF1B64"/>
    <w:rsid w:val="00B461F6"/>
    <w:rsid w:val="00B55EE3"/>
    <w:rsid w:val="00B92588"/>
    <w:rsid w:val="00BA529E"/>
    <w:rsid w:val="00BB7F80"/>
    <w:rsid w:val="00BF53E4"/>
    <w:rsid w:val="00C223FE"/>
    <w:rsid w:val="00D054FE"/>
    <w:rsid w:val="00D47B2C"/>
    <w:rsid w:val="00D47CFB"/>
    <w:rsid w:val="00D53ECE"/>
    <w:rsid w:val="00D94284"/>
    <w:rsid w:val="00E3077E"/>
    <w:rsid w:val="00E43851"/>
    <w:rsid w:val="00E6479D"/>
    <w:rsid w:val="00E91094"/>
    <w:rsid w:val="00F56E52"/>
    <w:rsid w:val="00FC3E78"/>
    <w:rsid w:val="00FD02AD"/>
    <w:rsid w:val="00FE02CA"/>
    <w:rsid w:val="00FE6F7C"/>
    <w:rsid w:val="067176BA"/>
    <w:rsid w:val="0C4F52F3"/>
    <w:rsid w:val="29840955"/>
    <w:rsid w:val="29B2760B"/>
    <w:rsid w:val="2AF82591"/>
    <w:rsid w:val="2D9D3195"/>
    <w:rsid w:val="32BD592E"/>
    <w:rsid w:val="3C3537C5"/>
    <w:rsid w:val="45331F53"/>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0" w:lineRule="atLeast"/>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table of authorities"/>
    <w:basedOn w:val="1"/>
    <w:next w:val="1"/>
    <w:unhideWhenUsed/>
    <w:qFormat/>
    <w:uiPriority w:val="99"/>
    <w:pPr>
      <w:ind w:left="420" w:leftChars="200"/>
    </w:pPr>
  </w:style>
  <w:style w:type="paragraph" w:styleId="3">
    <w:name w:val="footer"/>
    <w:basedOn w:val="1"/>
    <w:link w:val="10"/>
    <w:qFormat/>
    <w:uiPriority w:val="0"/>
    <w:pPr>
      <w:tabs>
        <w:tab w:val="center" w:pos="4153"/>
        <w:tab w:val="right" w:pos="8306"/>
      </w:tabs>
      <w:snapToGrid w:val="0"/>
      <w:spacing w:line="240" w:lineRule="atLeast"/>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spacing w:line="240" w:lineRule="atLeast"/>
      <w:jc w:val="center"/>
    </w:pPr>
    <w:rPr>
      <w:sz w:val="18"/>
      <w:szCs w:val="18"/>
    </w:rPr>
  </w:style>
  <w:style w:type="table" w:styleId="6">
    <w:name w:val="Table Grid"/>
    <w:basedOn w:val="5"/>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spacing w:line="240" w:lineRule="auto"/>
      <w:ind w:firstLine="420" w:firstLineChars="200"/>
    </w:pPr>
    <w:rPr>
      <w:rFonts w:asciiTheme="minorHAnsi" w:hAnsiTheme="minorHAnsi" w:eastAsiaTheme="minorEastAsia" w:cstheme="minorBidi"/>
    </w:rPr>
  </w:style>
  <w:style w:type="character" w:customStyle="1" w:styleId="9">
    <w:name w:val="页眉 字符"/>
    <w:basedOn w:val="7"/>
    <w:link w:val="4"/>
    <w:qFormat/>
    <w:uiPriority w:val="0"/>
    <w:rPr>
      <w:rFonts w:ascii="Calibri" w:hAnsi="Calibri" w:eastAsia="宋体" w:cs="Times New Roman"/>
      <w:kern w:val="2"/>
      <w:sz w:val="18"/>
      <w:szCs w:val="18"/>
    </w:rPr>
  </w:style>
  <w:style w:type="character" w:customStyle="1" w:styleId="10">
    <w:name w:val="页脚 字符"/>
    <w:basedOn w:val="7"/>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424</Words>
  <Characters>2422</Characters>
  <Lines>20</Lines>
  <Paragraphs>5</Paragraphs>
  <TotalTime>53</TotalTime>
  <ScaleCrop>false</ScaleCrop>
  <LinksUpToDate>false</LinksUpToDate>
  <CharactersWithSpaces>2841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2021-11-08T01:49:00Z</dcterms:created>
  <dc:creator>admin</dc:creator>
  <cp:lastModifiedBy>霓霓</cp:lastModifiedBy>
  <dcterms:modified xsi:type="dcterms:W3CDTF">2021-11-11T02:29:39Z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4DC15FEBF39F4147A21ED9239CD17D9A</vt:lpwstr>
  </property>
</Properties>
</file>