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3" w:leftChars="-295" w:right="964" w:hanging="622" w:hangingChars="258"/>
        <w:jc w:val="left"/>
        <w:rPr>
          <w:rFonts w:ascii="仿宋_GB2312" w:eastAsia="仿宋_GB2312"/>
          <w:b/>
          <w:sz w:val="24"/>
        </w:rPr>
      </w:pPr>
    </w:p>
    <w:p>
      <w:pPr>
        <w:spacing w:line="276" w:lineRule="auto"/>
        <w:ind w:left="3" w:leftChars="-295" w:right="964" w:hanging="622" w:hangingChars="258"/>
        <w:jc w:val="left"/>
        <w:rPr>
          <w:rFonts w:ascii="仿宋_GB2312" w:eastAsia="仿宋_GB2312"/>
          <w:b/>
          <w:sz w:val="24"/>
        </w:rPr>
      </w:pPr>
      <w:r>
        <w:rPr>
          <w:rFonts w:hint="eastAsia" w:ascii="仿宋_GB2312" w:eastAsia="仿宋_GB2312"/>
          <w:b/>
          <w:sz w:val="24"/>
        </w:rPr>
        <w:t>申请日期：2021年11月</w:t>
      </w:r>
      <w:r>
        <w:rPr>
          <w:rFonts w:hint="eastAsia" w:ascii="仿宋_GB2312" w:eastAsia="仿宋_GB2312"/>
          <w:b/>
          <w:sz w:val="24"/>
          <w:lang w:val="en-US" w:eastAsia="zh-CN"/>
        </w:rPr>
        <w:t>11</w:t>
      </w:r>
      <w:r>
        <w:rPr>
          <w:rFonts w:hint="eastAsia" w:ascii="仿宋_GB2312" w:eastAsia="仿宋_GB2312"/>
          <w:b/>
          <w:sz w:val="24"/>
        </w:rPr>
        <w:t xml:space="preserve">日 </w:t>
      </w:r>
    </w:p>
    <w:tbl>
      <w:tblPr>
        <w:tblStyle w:val="5"/>
        <w:tblW w:w="10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1"/>
        <w:gridCol w:w="2789"/>
        <w:gridCol w:w="2268"/>
        <w:gridCol w:w="3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jc w:val="center"/>
        </w:trPr>
        <w:tc>
          <w:tcPr>
            <w:tcW w:w="10720" w:type="dxa"/>
            <w:gridSpan w:val="4"/>
            <w:shd w:val="clear" w:color="auto" w:fill="F2F2F2"/>
            <w:vAlign w:val="center"/>
          </w:tcPr>
          <w:p>
            <w:pPr>
              <w:spacing w:line="276" w:lineRule="auto"/>
              <w:jc w:val="center"/>
              <w:rPr>
                <w:rFonts w:ascii="仿宋_GB2312" w:hAnsi="仿宋_GB2312" w:eastAsia="仿宋_GB2312" w:cs="仿宋_GB2312"/>
                <w:sz w:val="24"/>
              </w:rPr>
            </w:pPr>
            <w:r>
              <w:rPr>
                <w:rFonts w:hint="eastAsia" w:ascii="仿宋_GB2312" w:hAnsi="仿宋_GB2312" w:eastAsia="仿宋_GB2312" w:cs="仿宋_GB2312"/>
                <w:b/>
                <w:bCs/>
                <w:sz w:val="30"/>
                <w:szCs w:val="30"/>
              </w:rPr>
              <w:t>投资申请信息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发起部门</w:t>
            </w:r>
          </w:p>
        </w:tc>
        <w:tc>
          <w:tcPr>
            <w:tcW w:w="2789" w:type="dxa"/>
            <w:vAlign w:val="center"/>
          </w:tcPr>
          <w:p>
            <w:pPr>
              <w:spacing w:line="288" w:lineRule="auto"/>
              <w:rPr>
                <w:rFonts w:ascii="仿宋_GB2312" w:hAnsi="仿宋_GB2312" w:eastAsia="仿宋_GB2312" w:cs="仿宋_GB2312"/>
              </w:rPr>
            </w:pPr>
            <w:r>
              <w:rPr>
                <w:rFonts w:hint="eastAsia" w:ascii="仿宋_GB2312" w:hAnsi="仿宋_GB2312" w:eastAsia="仿宋_GB2312" w:cs="仿宋_GB2312"/>
                <w:sz w:val="24"/>
              </w:rPr>
              <w:t>股票投资部</w:t>
            </w:r>
          </w:p>
        </w:tc>
        <w:tc>
          <w:tcPr>
            <w:tcW w:w="2268"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b/>
                <w:sz w:val="24"/>
              </w:rPr>
              <w:t>发起人</w:t>
            </w:r>
          </w:p>
        </w:tc>
        <w:tc>
          <w:tcPr>
            <w:tcW w:w="3212"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倪晨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标的名称</w:t>
            </w:r>
          </w:p>
        </w:tc>
        <w:tc>
          <w:tcPr>
            <w:tcW w:w="2789"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永赢消费主题</w:t>
            </w:r>
            <w:r>
              <w:rPr>
                <w:rFonts w:ascii="仿宋_GB2312" w:hAnsi="仿宋_GB2312" w:eastAsia="仿宋_GB2312" w:cs="仿宋_GB2312"/>
                <w:sz w:val="24"/>
              </w:rPr>
              <w:t>A(006252)/C(006253)</w:t>
            </w:r>
          </w:p>
        </w:tc>
        <w:tc>
          <w:tcPr>
            <w:tcW w:w="2268"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b/>
                <w:sz w:val="24"/>
              </w:rPr>
              <w:t>投资币种及金额</w:t>
            </w:r>
          </w:p>
        </w:tc>
        <w:tc>
          <w:tcPr>
            <w:tcW w:w="3212"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不超过</w:t>
            </w:r>
            <w:r>
              <w:rPr>
                <w:rFonts w:hint="eastAsia" w:ascii="仿宋_GB2312" w:hAnsi="仿宋_GB2312" w:eastAsia="仿宋_GB2312" w:cs="仿宋_GB2312"/>
                <w:sz w:val="24"/>
                <w:lang w:val="en-US" w:eastAsia="zh-CN"/>
              </w:rPr>
              <w:t>4</w:t>
            </w:r>
            <w:r>
              <w:rPr>
                <w:rFonts w:hint="eastAsia" w:ascii="仿宋_GB2312" w:hAnsi="仿宋_GB2312" w:eastAsia="仿宋_GB2312" w:cs="仿宋_GB2312"/>
                <w:sz w:val="24"/>
              </w:rPr>
              <w:t>亿元人民币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业务品种</w:t>
            </w:r>
          </w:p>
        </w:tc>
        <w:tc>
          <w:tcPr>
            <w:tcW w:w="8269" w:type="dxa"/>
            <w:gridSpan w:val="3"/>
            <w:tcBorders>
              <w:top w:val="single" w:color="auto" w:sz="4" w:space="0"/>
              <w:bottom w:val="single" w:color="auto" w:sz="4" w:space="0"/>
            </w:tcBorders>
            <w:vAlign w:val="center"/>
          </w:tcPr>
          <w:p>
            <w:pPr>
              <w:rPr>
                <w:rFonts w:ascii="仿宋_GB2312" w:hAnsi="仿宋_GB2312" w:eastAsia="仿宋_GB2312" w:cs="仿宋_GB2312"/>
                <w:b/>
                <w:sz w:val="24"/>
              </w:rPr>
            </w:pPr>
            <w:r>
              <w:rPr>
                <w:rFonts w:hint="eastAsia" w:ascii="仿宋_GB2312" w:hAnsi="仿宋_GB2312" w:eastAsia="仿宋_GB2312" w:cs="仿宋_GB2312"/>
                <w:bCs/>
                <w:sz w:val="24"/>
              </w:rPr>
              <w:t>C类业务，公募基金投资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如为A、B类业务</w:t>
            </w:r>
          </w:p>
        </w:tc>
        <w:tc>
          <w:tcPr>
            <w:tcW w:w="8269" w:type="dxa"/>
            <w:gridSpan w:val="3"/>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Cs/>
                <w:sz w:val="24"/>
              </w:rPr>
              <w:t>说明本次拟申请领用理财专项单一法人客户或集团客户额度，以及本次业务开展后总体单一法人客户限额及集团客户情况。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适用审批权限</w:t>
            </w:r>
          </w:p>
        </w:tc>
        <w:tc>
          <w:tcPr>
            <w:tcW w:w="8269" w:type="dxa"/>
            <w:gridSpan w:val="3"/>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Cs/>
                <w:sz w:val="24"/>
              </w:rPr>
              <w:t>根据投审办法及授权办法，货币基金80亿元以内的投资审批，公司分管副总经理为有权审批人。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证券代码</w:t>
            </w:r>
          </w:p>
        </w:tc>
        <w:tc>
          <w:tcPr>
            <w:tcW w:w="2789" w:type="dxa"/>
            <w:vAlign w:val="center"/>
          </w:tcPr>
          <w:p>
            <w:pPr>
              <w:rPr>
                <w:rFonts w:ascii="仿宋_GB2312" w:hAnsi="仿宋_GB2312" w:eastAsia="仿宋_GB2312" w:cs="仿宋_GB2312"/>
                <w:sz w:val="24"/>
              </w:rPr>
            </w:pPr>
            <w:r>
              <w:rPr>
                <w:rFonts w:hint="eastAsia" w:ascii="仿宋_GB2312" w:hAnsi="仿宋_GB2312" w:eastAsia="仿宋_GB2312" w:cs="仿宋_GB2312"/>
                <w:sz w:val="24"/>
              </w:rPr>
              <w:t>A</w:t>
            </w:r>
            <w:r>
              <w:rPr>
                <w:rFonts w:ascii="仿宋_GB2312" w:hAnsi="仿宋_GB2312" w:eastAsia="仿宋_GB2312" w:cs="仿宋_GB2312"/>
                <w:sz w:val="24"/>
              </w:rPr>
              <w:t>(006252)/</w:t>
            </w:r>
            <w:r>
              <w:rPr>
                <w:rFonts w:hint="eastAsia" w:ascii="仿宋_GB2312" w:hAnsi="仿宋_GB2312" w:eastAsia="仿宋_GB2312" w:cs="仿宋_GB2312"/>
                <w:sz w:val="24"/>
              </w:rPr>
              <w:t>C</w:t>
            </w:r>
            <w:r>
              <w:rPr>
                <w:rFonts w:ascii="仿宋_GB2312" w:hAnsi="仿宋_GB2312" w:eastAsia="仿宋_GB2312" w:cs="仿宋_GB2312"/>
                <w:sz w:val="24"/>
              </w:rPr>
              <w:t>(006253)</w:t>
            </w:r>
          </w:p>
        </w:tc>
        <w:tc>
          <w:tcPr>
            <w:tcW w:w="2268"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证券简称</w:t>
            </w:r>
          </w:p>
        </w:tc>
        <w:tc>
          <w:tcPr>
            <w:tcW w:w="3212" w:type="dxa"/>
            <w:vAlign w:val="center"/>
          </w:tcPr>
          <w:p>
            <w:pPr>
              <w:rPr>
                <w:rFonts w:ascii="仿宋_GB2312" w:hAnsi="仿宋_GB2312" w:eastAsia="仿宋_GB2312" w:cs="仿宋_GB2312"/>
                <w:sz w:val="24"/>
                <w:highlight w:val="yellow"/>
              </w:rPr>
            </w:pPr>
            <w:r>
              <w:rPr>
                <w:rFonts w:hint="eastAsia" w:ascii="仿宋_GB2312" w:hAnsi="仿宋_GB2312" w:eastAsia="仿宋_GB2312" w:cs="仿宋_GB2312"/>
                <w:sz w:val="24"/>
              </w:rPr>
              <w:t>永赢消费主题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发行人/原始权益人</w:t>
            </w:r>
          </w:p>
        </w:tc>
        <w:tc>
          <w:tcPr>
            <w:tcW w:w="2789" w:type="dxa"/>
            <w:vAlign w:val="center"/>
          </w:tcPr>
          <w:p>
            <w:pPr>
              <w:rPr>
                <w:rFonts w:ascii="仿宋_GB2312" w:hAnsi="仿宋_GB2312" w:eastAsia="仿宋_GB2312" w:cs="仿宋_GB2312"/>
                <w:sz w:val="24"/>
              </w:rPr>
            </w:pPr>
          </w:p>
        </w:tc>
        <w:tc>
          <w:tcPr>
            <w:tcW w:w="2268"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管理人</w:t>
            </w:r>
          </w:p>
        </w:tc>
        <w:tc>
          <w:tcPr>
            <w:tcW w:w="3212" w:type="dxa"/>
            <w:vAlign w:val="center"/>
          </w:tcPr>
          <w:p>
            <w:pPr>
              <w:rPr>
                <w:rFonts w:ascii="仿宋_GB2312" w:hAnsi="仿宋_GB2312" w:eastAsia="仿宋_GB2312" w:cs="仿宋_GB2312"/>
                <w:sz w:val="24"/>
              </w:rPr>
            </w:pPr>
            <w:r>
              <w:rPr>
                <w:rFonts w:hint="eastAsia" w:ascii="仿宋_GB2312" w:hAnsi="仿宋_GB2312" w:eastAsia="仿宋_GB2312" w:cs="仿宋_GB2312"/>
                <w:sz w:val="24"/>
              </w:rPr>
              <w:t>永赢基金管理有限公司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承担实质风险主体</w:t>
            </w:r>
          </w:p>
        </w:tc>
        <w:tc>
          <w:tcPr>
            <w:tcW w:w="2789" w:type="dxa"/>
            <w:vAlign w:val="center"/>
          </w:tcPr>
          <w:p>
            <w:pPr>
              <w:rPr>
                <w:rFonts w:ascii="仿宋_GB2312" w:hAnsi="仿宋_GB2312" w:eastAsia="仿宋_GB2312" w:cs="仿宋_GB2312"/>
                <w:sz w:val="24"/>
              </w:rPr>
            </w:pPr>
          </w:p>
        </w:tc>
        <w:tc>
          <w:tcPr>
            <w:tcW w:w="2268"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有效期</w:t>
            </w:r>
          </w:p>
        </w:tc>
        <w:tc>
          <w:tcPr>
            <w:tcW w:w="3212" w:type="dxa"/>
            <w:vAlign w:val="center"/>
          </w:tcPr>
          <w:p>
            <w:pPr>
              <w:rPr>
                <w:rFonts w:ascii="仿宋_GB2312" w:hAnsi="仿宋_GB2312" w:eastAsia="仿宋_GB2312"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2" w:hRule="atLeast"/>
          <w:jc w:val="center"/>
        </w:trPr>
        <w:tc>
          <w:tcPr>
            <w:tcW w:w="10720" w:type="dxa"/>
            <w:gridSpan w:val="4"/>
            <w:vAlign w:val="center"/>
          </w:tcPr>
          <w:p>
            <w:pPr>
              <w:widowControl/>
              <w:spacing w:line="240" w:lineRule="auto"/>
              <w:jc w:val="left"/>
              <w:rPr>
                <w:rFonts w:ascii="仿宋" w:hAnsi="仿宋" w:eastAsia="仿宋" w:cs="仿宋"/>
              </w:rPr>
            </w:pPr>
            <w:bookmarkStart w:id="0" w:name="_GoBack"/>
          </w:p>
          <w:p>
            <w:pPr>
              <w:widowControl/>
              <w:spacing w:line="240" w:lineRule="auto"/>
              <w:jc w:val="left"/>
              <w:rPr>
                <w:rFonts w:ascii="仿宋" w:hAnsi="仿宋" w:eastAsia="仿宋" w:cs="仿宋"/>
                <w:sz w:val="24"/>
                <w:szCs w:val="24"/>
              </w:rPr>
            </w:pPr>
            <w:r>
              <w:rPr>
                <w:rFonts w:hint="eastAsia" w:ascii="仿宋" w:hAnsi="仿宋" w:eastAsia="仿宋" w:cs="仿宋"/>
                <w:sz w:val="24"/>
                <w:szCs w:val="24"/>
              </w:rPr>
              <w:t>一、基金公司情况</w:t>
            </w:r>
          </w:p>
          <w:p>
            <w:pPr>
              <w:widowControl/>
              <w:spacing w:line="240" w:lineRule="auto"/>
              <w:ind w:firstLine="480" w:firstLineChars="200"/>
              <w:jc w:val="left"/>
              <w:rPr>
                <w:rFonts w:ascii="仿宋" w:hAnsi="仿宋" w:eastAsia="仿宋" w:cs="仿宋"/>
                <w:sz w:val="24"/>
                <w:szCs w:val="24"/>
              </w:rPr>
            </w:pPr>
            <w:r>
              <w:rPr>
                <w:rFonts w:hint="eastAsia" w:ascii="仿宋" w:hAnsi="仿宋" w:eastAsia="仿宋" w:cs="仿宋"/>
                <w:sz w:val="24"/>
                <w:szCs w:val="24"/>
              </w:rPr>
              <w:t>永赢基金管理有限公司于2013年10月8日取得了中国证监会《关于核准设立永赢基金管理有限公司的批复》（证监许可〔2013〕1280号），随后，公司于2013年10月11日取得商务部《中华人民共和国外商投资企业批准证书》（商外资资审字〔2013〕0008号），于2013年11月7日在国家工商行政管理总局注册成立。公司目前注册资本9亿元人民币，其中宁波银行持股71.49%，为永赢基金控股股东；新加坡华侨银行持股28.51%。公司于2013年11月12日取得中国证监会核发的《基金管理资格证书》（编号A087）。营业范围包括基金募集、基金销售、特定客户资产管理、资产管理和中国证监会许可的业务。2018年获得受托管理保险资金资格。</w:t>
            </w:r>
          </w:p>
          <w:p>
            <w:pPr>
              <w:widowControl/>
              <w:spacing w:line="240" w:lineRule="auto"/>
              <w:ind w:firstLine="480" w:firstLineChars="200"/>
              <w:jc w:val="left"/>
              <w:rPr>
                <w:rFonts w:ascii="仿宋" w:hAnsi="仿宋" w:eastAsia="仿宋" w:cs="仿宋"/>
                <w:sz w:val="24"/>
                <w:szCs w:val="24"/>
              </w:rPr>
            </w:pPr>
            <w:r>
              <w:rPr>
                <w:rFonts w:hint="eastAsia" w:ascii="仿宋" w:hAnsi="仿宋" w:eastAsia="仿宋" w:cs="仿宋"/>
                <w:sz w:val="24"/>
                <w:szCs w:val="24"/>
              </w:rPr>
              <w:t>永赢基金重视投研团队建设，固定收益团队共51人，其中投资相关人员29人，研究人员21人，另有1名部门综合支持人员；权益团队共49人，其中投资相关人员13人，研究人员33人，另有3名部门综合支持人员。</w:t>
            </w:r>
          </w:p>
          <w:p>
            <w:pPr>
              <w:pStyle w:val="2"/>
              <w:widowControl/>
              <w:spacing w:line="240" w:lineRule="auto"/>
              <w:ind w:left="0" w:leftChars="0" w:firstLine="480" w:firstLineChars="200"/>
              <w:jc w:val="left"/>
              <w:rPr>
                <w:rFonts w:ascii="仿宋" w:hAnsi="仿宋" w:eastAsia="仿宋" w:cs="仿宋"/>
                <w:sz w:val="24"/>
                <w:szCs w:val="24"/>
              </w:rPr>
            </w:pPr>
            <w:r>
              <w:rPr>
                <w:rFonts w:hint="eastAsia" w:ascii="仿宋" w:hAnsi="仿宋" w:eastAsia="仿宋" w:cs="仿宋"/>
                <w:sz w:val="24"/>
                <w:szCs w:val="24"/>
              </w:rPr>
              <w:t>截至2021年三季度末，永赢基金公募管理规模2342.94亿元，其中非货公募管理规模1741.75亿元，排名22/147 （排名数据来源：银河证券）。其中债券型公募产品1413.42亿，混合及股票型公募产品331.34亿。</w:t>
            </w:r>
          </w:p>
          <w:p>
            <w:pPr>
              <w:pStyle w:val="2"/>
              <w:widowControl/>
              <w:spacing w:line="240" w:lineRule="auto"/>
              <w:ind w:left="0" w:leftChars="0"/>
              <w:jc w:val="left"/>
              <w:rPr>
                <w:rFonts w:ascii="仿宋" w:hAnsi="仿宋" w:eastAsia="仿宋" w:cs="仿宋"/>
                <w:sz w:val="24"/>
                <w:szCs w:val="24"/>
              </w:rPr>
            </w:pPr>
          </w:p>
          <w:p>
            <w:pPr>
              <w:pStyle w:val="2"/>
              <w:widowControl/>
              <w:spacing w:line="240" w:lineRule="auto"/>
              <w:ind w:left="0" w:leftChars="0"/>
              <w:jc w:val="left"/>
              <w:rPr>
                <w:rFonts w:ascii="仿宋" w:hAnsi="仿宋" w:eastAsia="仿宋" w:cs="仿宋"/>
                <w:sz w:val="24"/>
                <w:szCs w:val="24"/>
              </w:rPr>
            </w:pPr>
            <w:r>
              <w:rPr>
                <w:rFonts w:hint="eastAsia" w:ascii="仿宋" w:hAnsi="仿宋" w:eastAsia="仿宋" w:cs="仿宋"/>
                <w:sz w:val="24"/>
                <w:szCs w:val="24"/>
              </w:rPr>
              <w:t>二、基金基本信息</w:t>
            </w:r>
          </w:p>
          <w:p>
            <w:pPr>
              <w:pStyle w:val="2"/>
              <w:widowControl/>
              <w:spacing w:line="240" w:lineRule="auto"/>
              <w:ind w:left="0" w:leftChars="0"/>
              <w:jc w:val="left"/>
              <w:rPr>
                <w:rFonts w:ascii="仿宋" w:hAnsi="仿宋" w:eastAsia="仿宋" w:cs="仿宋"/>
                <w:sz w:val="24"/>
                <w:szCs w:val="24"/>
              </w:rPr>
            </w:pPr>
            <w:r>
              <w:rPr>
                <w:rFonts w:hint="eastAsia" w:ascii="仿宋" w:hAnsi="仿宋" w:eastAsia="仿宋" w:cs="仿宋"/>
                <w:sz w:val="24"/>
                <w:szCs w:val="24"/>
              </w:rPr>
              <w:t>1、规模情况：永赢消费主题基金经理常远目前管理规模约157亿，其中永赢消费主题截至2021年11月3日总规模48.28亿元。</w:t>
            </w:r>
          </w:p>
          <w:tbl>
            <w:tblPr>
              <w:tblStyle w:val="5"/>
              <w:tblW w:w="10081" w:type="dxa"/>
              <w:jc w:val="center"/>
              <w:tblLayout w:type="fixed"/>
              <w:tblCellMar>
                <w:top w:w="0" w:type="dxa"/>
                <w:left w:w="108" w:type="dxa"/>
                <w:bottom w:w="0" w:type="dxa"/>
                <w:right w:w="108" w:type="dxa"/>
              </w:tblCellMar>
            </w:tblPr>
            <w:tblGrid>
              <w:gridCol w:w="1270"/>
              <w:gridCol w:w="1270"/>
              <w:gridCol w:w="1270"/>
              <w:gridCol w:w="1270"/>
              <w:gridCol w:w="1270"/>
              <w:gridCol w:w="1270"/>
              <w:gridCol w:w="1270"/>
              <w:gridCol w:w="1191"/>
            </w:tblGrid>
            <w:tr>
              <w:tblPrEx>
                <w:tblCellMar>
                  <w:top w:w="0" w:type="dxa"/>
                  <w:left w:w="108" w:type="dxa"/>
                  <w:bottom w:w="0" w:type="dxa"/>
                  <w:right w:w="108" w:type="dxa"/>
                </w:tblCellMar>
              </w:tblPrEx>
              <w:trPr>
                <w:trHeight w:val="183" w:hRule="atLeast"/>
                <w:jc w:val="center"/>
              </w:trPr>
              <w:tc>
                <w:tcPr>
                  <w:tcW w:w="10081" w:type="dxa"/>
                  <w:gridSpan w:val="8"/>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永赢消费主题基金规模变动情况（亿元）</w:t>
                  </w:r>
                </w:p>
              </w:tc>
            </w:tr>
            <w:tr>
              <w:tblPrEx>
                <w:tblCellMar>
                  <w:top w:w="0" w:type="dxa"/>
                  <w:left w:w="108" w:type="dxa"/>
                  <w:bottom w:w="0" w:type="dxa"/>
                  <w:right w:w="108" w:type="dxa"/>
                </w:tblCellMar>
              </w:tblPrEx>
              <w:trPr>
                <w:trHeight w:val="183" w:hRule="atLeast"/>
                <w:jc w:val="center"/>
              </w:trPr>
              <w:tc>
                <w:tcPr>
                  <w:tcW w:w="127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20210930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20210630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20210331</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20201231</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20200930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20200630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20200331</w:t>
                  </w:r>
                </w:p>
              </w:tc>
              <w:tc>
                <w:tcPr>
                  <w:tcW w:w="1191"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20191231</w:t>
                  </w:r>
                </w:p>
              </w:tc>
            </w:tr>
            <w:tr>
              <w:tblPrEx>
                <w:tblCellMar>
                  <w:top w:w="0" w:type="dxa"/>
                  <w:left w:w="108" w:type="dxa"/>
                  <w:bottom w:w="0" w:type="dxa"/>
                  <w:right w:w="108" w:type="dxa"/>
                </w:tblCellMar>
              </w:tblPrEx>
              <w:trPr>
                <w:trHeight w:val="183" w:hRule="atLeast"/>
                <w:jc w:val="center"/>
              </w:trPr>
              <w:tc>
                <w:tcPr>
                  <w:tcW w:w="1270"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49.04</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46.70</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24.52</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14.22</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4.96</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4.07</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3.72</w:t>
                  </w:r>
                </w:p>
              </w:tc>
              <w:tc>
                <w:tcPr>
                  <w:tcW w:w="1191"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3.68</w:t>
                  </w:r>
                </w:p>
              </w:tc>
            </w:tr>
          </w:tbl>
          <w:p>
            <w:pPr>
              <w:pStyle w:val="2"/>
              <w:widowControl/>
              <w:spacing w:line="240" w:lineRule="auto"/>
              <w:ind w:left="0" w:leftChars="0"/>
              <w:jc w:val="left"/>
              <w:rPr>
                <w:rFonts w:ascii="仿宋" w:hAnsi="仿宋" w:eastAsia="仿宋" w:cs="仿宋"/>
                <w:sz w:val="24"/>
                <w:szCs w:val="24"/>
              </w:rPr>
            </w:pPr>
            <w:r>
              <w:rPr>
                <w:rFonts w:hint="eastAsia" w:ascii="仿宋" w:hAnsi="仿宋" w:eastAsia="仿宋" w:cs="仿宋"/>
                <w:sz w:val="24"/>
                <w:szCs w:val="24"/>
              </w:rPr>
              <w:t>2、仓位及集中度情况：永赢消费主题为灵活配置型基金，除遭遇市场极端情况下，基金经理整体仓位较高，维持在90%以上。根据21年三季报披露的前十大重仓股情况，前十大重仓股占基金资产净值比例为44.32%，重仓股分布在能源、日常消费、可选消费、材料、工业、房地产、信息技术7个一级行业。从21年十月末的行业分布情况来看，按照申万二级行业划分，食品饮料占比22.11%，电源设备占比12.82%，汽车整车占比6.56%，专用设备占比5.93%，稀有金属占比5.54%，化学制品占比5.50%，饲料占比4.86%，生物制品占比4.74%，食品加工占比4.50%，高低压设备占比3.85%，旅游综合占比2.85%，光学光电子占比2.61%，证券占比2.07%，医疗服务占比2.0%，医疗器械占比1.04%，计算机应用占比0.85%。</w:t>
            </w:r>
          </w:p>
          <w:tbl>
            <w:tblPr>
              <w:tblStyle w:val="5"/>
              <w:tblW w:w="6727" w:type="dxa"/>
              <w:jc w:val="center"/>
              <w:tblLayout w:type="fixed"/>
              <w:tblCellMar>
                <w:top w:w="0" w:type="dxa"/>
                <w:left w:w="108" w:type="dxa"/>
                <w:bottom w:w="0" w:type="dxa"/>
                <w:right w:w="108" w:type="dxa"/>
              </w:tblCellMar>
            </w:tblPr>
            <w:tblGrid>
              <w:gridCol w:w="3415"/>
              <w:gridCol w:w="3312"/>
            </w:tblGrid>
            <w:tr>
              <w:tblPrEx>
                <w:tblCellMar>
                  <w:top w:w="0" w:type="dxa"/>
                  <w:left w:w="108" w:type="dxa"/>
                  <w:bottom w:w="0" w:type="dxa"/>
                  <w:right w:w="108" w:type="dxa"/>
                </w:tblCellMar>
              </w:tblPrEx>
              <w:trPr>
                <w:trHeight w:val="194" w:hRule="atLeast"/>
                <w:jc w:val="center"/>
              </w:trPr>
              <w:tc>
                <w:tcPr>
                  <w:tcW w:w="6727"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永赢消费主题21年三季度前十大持股</w:t>
                  </w:r>
                </w:p>
              </w:tc>
            </w:tr>
            <w:tr>
              <w:tblPrEx>
                <w:tblCellMar>
                  <w:top w:w="0" w:type="dxa"/>
                  <w:left w:w="108" w:type="dxa"/>
                  <w:bottom w:w="0" w:type="dxa"/>
                  <w:right w:w="108" w:type="dxa"/>
                </w:tblCellMar>
              </w:tblPrEx>
              <w:trPr>
                <w:trHeight w:val="194" w:hRule="atLeast"/>
                <w:jc w:val="center"/>
              </w:trPr>
              <w:tc>
                <w:tcPr>
                  <w:tcW w:w="341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股票名称</w:t>
                  </w:r>
                </w:p>
              </w:tc>
              <w:tc>
                <w:tcPr>
                  <w:tcW w:w="3312"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占净资产比例（%）</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杰瑞股份</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6.30</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海大集团</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5.65</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泸州老窖</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5.53</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赣锋锂业</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5.53</w:t>
                  </w:r>
                </w:p>
              </w:tc>
            </w:tr>
            <w:tr>
              <w:tblPrEx>
                <w:tblCellMar>
                  <w:top w:w="0" w:type="dxa"/>
                  <w:left w:w="108" w:type="dxa"/>
                  <w:bottom w:w="0" w:type="dxa"/>
                  <w:right w:w="108" w:type="dxa"/>
                </w:tblCellMar>
              </w:tblPrEx>
              <w:trPr>
                <w:trHeight w:val="230"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宁德时代</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4.38</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比亚迪</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4.08</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五粮液</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3.70</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中国中免</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3.16</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保利发展</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3.13</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晶盛机电</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rPr>
                      <w:rFonts w:ascii="仿宋" w:hAnsi="仿宋" w:eastAsia="仿宋" w:cs="仿宋"/>
                      <w:sz w:val="24"/>
                      <w:szCs w:val="24"/>
                    </w:rPr>
                  </w:pPr>
                  <w:r>
                    <w:rPr>
                      <w:rFonts w:ascii="仿宋" w:hAnsi="仿宋" w:eastAsia="仿宋"/>
                      <w:sz w:val="24"/>
                      <w:szCs w:val="24"/>
                    </w:rPr>
                    <w:t>2.87</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前十大重仓股总计</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rPr>
                      <w:rFonts w:ascii="仿宋" w:hAnsi="仿宋" w:eastAsia="仿宋" w:cs="仿宋"/>
                      <w:sz w:val="24"/>
                      <w:szCs w:val="24"/>
                    </w:rPr>
                  </w:pPr>
                  <w:r>
                    <w:rPr>
                      <w:rFonts w:ascii="仿宋" w:hAnsi="仿宋" w:eastAsia="仿宋" w:cs="仿宋"/>
                      <w:sz w:val="24"/>
                      <w:szCs w:val="24"/>
                    </w:rPr>
                    <w:t>44.32</w:t>
                  </w:r>
                </w:p>
              </w:tc>
            </w:tr>
          </w:tbl>
          <w:p>
            <w:pPr>
              <w:widowControl/>
              <w:spacing w:line="240" w:lineRule="auto"/>
              <w:jc w:val="left"/>
              <w:rPr>
                <w:rFonts w:ascii="仿宋" w:hAnsi="仿宋" w:eastAsia="仿宋" w:cs="仿宋"/>
                <w:sz w:val="24"/>
                <w:szCs w:val="24"/>
              </w:rPr>
            </w:pPr>
            <w:r>
              <w:rPr>
                <w:rFonts w:hint="eastAsia" w:ascii="仿宋" w:hAnsi="仿宋" w:eastAsia="仿宋" w:cs="仿宋"/>
                <w:sz w:val="24"/>
                <w:szCs w:val="24"/>
              </w:rPr>
              <w:t>3、产品费率结构：</w:t>
            </w:r>
          </w:p>
          <w:p>
            <w:pPr>
              <w:pStyle w:val="2"/>
              <w:rPr>
                <w:rFonts w:hint="eastAsia"/>
              </w:rPr>
            </w:pPr>
          </w:p>
          <w:tbl>
            <w:tblPr>
              <w:tblStyle w:val="5"/>
              <w:tblW w:w="9625" w:type="dxa"/>
              <w:jc w:val="center"/>
              <w:tblLayout w:type="fixed"/>
              <w:tblCellMar>
                <w:top w:w="0" w:type="dxa"/>
                <w:left w:w="108" w:type="dxa"/>
                <w:bottom w:w="0" w:type="dxa"/>
                <w:right w:w="108" w:type="dxa"/>
              </w:tblCellMar>
            </w:tblPr>
            <w:tblGrid>
              <w:gridCol w:w="1076"/>
              <w:gridCol w:w="1076"/>
              <w:gridCol w:w="1076"/>
              <w:gridCol w:w="2890"/>
              <w:gridCol w:w="3507"/>
            </w:tblGrid>
            <w:tr>
              <w:tblPrEx>
                <w:tblCellMar>
                  <w:top w:w="0" w:type="dxa"/>
                  <w:left w:w="108" w:type="dxa"/>
                  <w:bottom w:w="0" w:type="dxa"/>
                  <w:right w:w="108" w:type="dxa"/>
                </w:tblCellMar>
              </w:tblPrEx>
              <w:trPr>
                <w:trHeight w:val="191" w:hRule="atLeast"/>
                <w:jc w:val="center"/>
              </w:trPr>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基金费率</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管理费</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托管费</w:t>
                  </w:r>
                </w:p>
              </w:tc>
              <w:tc>
                <w:tcPr>
                  <w:tcW w:w="289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申购费</w:t>
                  </w:r>
                </w:p>
              </w:tc>
              <w:tc>
                <w:tcPr>
                  <w:tcW w:w="350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赎回费</w:t>
                  </w:r>
                </w:p>
              </w:tc>
            </w:tr>
            <w:tr>
              <w:tblPrEx>
                <w:tblCellMar>
                  <w:top w:w="0" w:type="dxa"/>
                  <w:left w:w="108" w:type="dxa"/>
                  <w:bottom w:w="0" w:type="dxa"/>
                  <w:right w:w="108" w:type="dxa"/>
                </w:tblCellMar>
              </w:tblPrEx>
              <w:trPr>
                <w:trHeight w:val="191" w:hRule="atLeast"/>
                <w:jc w:val="center"/>
              </w:trPr>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jc w:val="center"/>
                  </w:pPr>
                </w:p>
                <w:p>
                  <w:pPr>
                    <w:widowControl/>
                    <w:spacing w:line="240" w:lineRule="auto"/>
                    <w:jc w:val="center"/>
                  </w:pPr>
                </w:p>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永赢消费主题A</w:t>
                  </w:r>
                </w:p>
              </w:tc>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cs="仿宋"/>
                      <w:sz w:val="24"/>
                      <w:szCs w:val="24"/>
                    </w:rPr>
                  </w:pPr>
                  <w:r>
                    <w:rPr>
                      <w:rFonts w:ascii="仿宋" w:hAnsi="仿宋" w:eastAsia="仿宋"/>
                      <w:sz w:val="24"/>
                      <w:szCs w:val="24"/>
                    </w:rPr>
                    <w:t>1.50%</w:t>
                  </w:r>
                </w:p>
              </w:tc>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cs="仿宋"/>
                      <w:sz w:val="24"/>
                      <w:szCs w:val="24"/>
                    </w:rPr>
                  </w:pPr>
                  <w:r>
                    <w:rPr>
                      <w:rFonts w:ascii="仿宋" w:hAnsi="仿宋" w:eastAsia="仿宋"/>
                      <w:sz w:val="24"/>
                      <w:szCs w:val="24"/>
                    </w:rPr>
                    <w:t>0.25%</w:t>
                  </w:r>
                </w:p>
              </w:tc>
              <w:tc>
                <w:tcPr>
                  <w:tcW w:w="2890" w:type="dxa"/>
                  <w:tcBorders>
                    <w:top w:val="single" w:color="767171" w:sz="12" w:space="0"/>
                    <w:left w:val="single" w:color="000000" w:sz="0" w:space="0"/>
                    <w:bottom w:val="single" w:color="767171" w:sz="12" w:space="0"/>
                    <w:right w:val="single" w:color="000000" w:sz="0" w:space="0"/>
                  </w:tcBorders>
                  <w:shd w:val="clear" w:color="auto" w:fill="auto"/>
                  <w:vAlign w:val="center"/>
                </w:tcPr>
                <w:p>
                  <w:pPr>
                    <w:widowControl/>
                    <w:spacing w:line="240" w:lineRule="auto"/>
                    <w:jc w:val="center"/>
                    <w:rPr>
                      <w:rFonts w:ascii="仿宋" w:hAnsi="仿宋" w:eastAsia="仿宋" w:cs="宋体"/>
                      <w:bCs/>
                      <w:color w:val="000000"/>
                      <w:sz w:val="24"/>
                      <w:szCs w:val="24"/>
                    </w:rPr>
                  </w:pPr>
                  <w:r>
                    <w:rPr>
                      <w:rFonts w:hint="eastAsia" w:ascii="仿宋" w:hAnsi="仿宋" w:eastAsia="仿宋" w:cs="宋体"/>
                      <w:bCs/>
                      <w:color w:val="000000"/>
                      <w:sz w:val="24"/>
                      <w:szCs w:val="24"/>
                    </w:rPr>
                    <w:t>100万以下1.5%；</w:t>
                  </w:r>
                </w:p>
                <w:p>
                  <w:pPr>
                    <w:widowControl/>
                    <w:spacing w:line="240" w:lineRule="auto"/>
                    <w:jc w:val="center"/>
                    <w:rPr>
                      <w:rFonts w:ascii="仿宋" w:hAnsi="仿宋" w:eastAsia="仿宋" w:cs="宋体"/>
                      <w:bCs/>
                      <w:color w:val="000000"/>
                      <w:sz w:val="24"/>
                      <w:szCs w:val="24"/>
                    </w:rPr>
                  </w:pPr>
                  <w:r>
                    <w:rPr>
                      <w:rFonts w:hint="eastAsia" w:ascii="仿宋" w:hAnsi="仿宋" w:eastAsia="仿宋" w:cs="宋体"/>
                      <w:bCs/>
                      <w:color w:val="000000"/>
                      <w:sz w:val="24"/>
                      <w:szCs w:val="24"/>
                    </w:rPr>
                    <w:t>100万~300万1.2%；</w:t>
                  </w:r>
                </w:p>
                <w:p>
                  <w:pPr>
                    <w:widowControl/>
                    <w:spacing w:line="240" w:lineRule="auto"/>
                    <w:jc w:val="center"/>
                    <w:rPr>
                      <w:rFonts w:ascii="仿宋" w:hAnsi="仿宋" w:eastAsia="仿宋" w:cs="宋体"/>
                      <w:bCs/>
                      <w:color w:val="000000"/>
                      <w:sz w:val="24"/>
                      <w:szCs w:val="24"/>
                    </w:rPr>
                  </w:pPr>
                  <w:r>
                    <w:rPr>
                      <w:rFonts w:hint="eastAsia" w:ascii="仿宋" w:hAnsi="仿宋" w:eastAsia="仿宋" w:cs="宋体"/>
                      <w:bCs/>
                      <w:color w:val="000000"/>
                      <w:sz w:val="24"/>
                      <w:szCs w:val="24"/>
                    </w:rPr>
                    <w:t>300万~500万0.80%；</w:t>
                  </w:r>
                </w:p>
                <w:p>
                  <w:pPr>
                    <w:widowControl/>
                    <w:spacing w:line="240" w:lineRule="auto"/>
                    <w:jc w:val="center"/>
                    <w:rPr>
                      <w:rFonts w:ascii="仿宋" w:hAnsi="仿宋" w:eastAsia="仿宋" w:cs="仿宋"/>
                      <w:sz w:val="24"/>
                      <w:szCs w:val="24"/>
                    </w:rPr>
                  </w:pPr>
                  <w:r>
                    <w:rPr>
                      <w:rFonts w:hint="eastAsia" w:ascii="仿宋" w:hAnsi="仿宋" w:eastAsia="仿宋" w:cs="宋体"/>
                      <w:bCs/>
                      <w:color w:val="000000"/>
                      <w:sz w:val="24"/>
                      <w:szCs w:val="24"/>
                    </w:rPr>
                    <w:t>500万及以上1000元/笔</w:t>
                  </w:r>
                </w:p>
              </w:tc>
              <w:tc>
                <w:tcPr>
                  <w:tcW w:w="3507" w:type="dxa"/>
                  <w:tcBorders>
                    <w:top w:val="single" w:color="767171" w:sz="12" w:space="0"/>
                    <w:left w:val="single" w:color="000000" w:sz="0" w:space="0"/>
                    <w:bottom w:val="single" w:color="767171" w:sz="12" w:space="0"/>
                    <w:right w:val="single" w:color="000000" w:sz="0" w:space="0"/>
                  </w:tcBorders>
                  <w:shd w:val="clear" w:color="auto" w:fill="auto"/>
                  <w:vAlign w:val="center"/>
                </w:tcPr>
                <w:p>
                  <w:pPr>
                    <w:widowControl/>
                    <w:spacing w:line="240" w:lineRule="auto"/>
                    <w:jc w:val="center"/>
                    <w:rPr>
                      <w:rFonts w:ascii="仿宋" w:hAnsi="仿宋" w:eastAsia="仿宋" w:cs="宋体"/>
                      <w:bCs/>
                      <w:color w:val="000000"/>
                      <w:sz w:val="24"/>
                      <w:szCs w:val="24"/>
                    </w:rPr>
                  </w:pPr>
                  <w:r>
                    <w:rPr>
                      <w:rFonts w:hint="eastAsia" w:ascii="仿宋" w:hAnsi="仿宋" w:eastAsia="仿宋" w:cs="宋体"/>
                      <w:bCs/>
                      <w:color w:val="000000"/>
                      <w:sz w:val="24"/>
                      <w:szCs w:val="24"/>
                    </w:rPr>
                    <w:t>普通投资群体：1~6日 1.5%；</w:t>
                  </w:r>
                </w:p>
                <w:p>
                  <w:pPr>
                    <w:widowControl/>
                    <w:spacing w:line="240" w:lineRule="auto"/>
                    <w:jc w:val="center"/>
                    <w:rPr>
                      <w:rFonts w:ascii="仿宋" w:hAnsi="仿宋" w:eastAsia="仿宋" w:cs="宋体"/>
                      <w:bCs/>
                      <w:color w:val="000000"/>
                      <w:sz w:val="24"/>
                      <w:szCs w:val="24"/>
                    </w:rPr>
                  </w:pPr>
                  <w:r>
                    <w:rPr>
                      <w:rFonts w:hint="eastAsia" w:ascii="仿宋" w:hAnsi="仿宋" w:eastAsia="仿宋" w:cs="宋体"/>
                      <w:bCs/>
                      <w:color w:val="000000"/>
                      <w:sz w:val="24"/>
                      <w:szCs w:val="24"/>
                    </w:rPr>
                    <w:t>普通投资群体：7~29日 0.75%；</w:t>
                  </w:r>
                </w:p>
                <w:p>
                  <w:pPr>
                    <w:widowControl/>
                    <w:spacing w:line="240" w:lineRule="auto"/>
                    <w:jc w:val="center"/>
                    <w:rPr>
                      <w:rFonts w:ascii="仿宋" w:hAnsi="仿宋" w:eastAsia="仿宋" w:cs="宋体"/>
                      <w:bCs/>
                      <w:color w:val="000000"/>
                      <w:sz w:val="24"/>
                      <w:szCs w:val="24"/>
                    </w:rPr>
                  </w:pPr>
                  <w:r>
                    <w:rPr>
                      <w:rFonts w:hint="eastAsia" w:ascii="仿宋" w:hAnsi="仿宋" w:eastAsia="仿宋" w:cs="宋体"/>
                      <w:bCs/>
                      <w:color w:val="000000"/>
                      <w:sz w:val="24"/>
                      <w:szCs w:val="24"/>
                    </w:rPr>
                    <w:t>普通投资群体：30-179日 0.50%；</w:t>
                  </w:r>
                </w:p>
                <w:p>
                  <w:pPr>
                    <w:widowControl/>
                    <w:spacing w:line="240" w:lineRule="auto"/>
                    <w:jc w:val="center"/>
                    <w:rPr>
                      <w:rFonts w:ascii="仿宋" w:hAnsi="仿宋" w:eastAsia="仿宋" w:cs="仿宋"/>
                      <w:sz w:val="24"/>
                      <w:szCs w:val="24"/>
                    </w:rPr>
                  </w:pPr>
                  <w:r>
                    <w:rPr>
                      <w:rFonts w:hint="eastAsia" w:ascii="仿宋" w:hAnsi="仿宋" w:eastAsia="仿宋" w:cs="宋体"/>
                      <w:bCs/>
                      <w:color w:val="000000"/>
                      <w:sz w:val="24"/>
                      <w:szCs w:val="24"/>
                    </w:rPr>
                    <w:t>普通投资群体：180日及以上 0%</w:t>
                  </w:r>
                </w:p>
              </w:tc>
            </w:tr>
            <w:tr>
              <w:tblPrEx>
                <w:tblCellMar>
                  <w:top w:w="0" w:type="dxa"/>
                  <w:left w:w="108" w:type="dxa"/>
                  <w:bottom w:w="0" w:type="dxa"/>
                  <w:right w:w="108" w:type="dxa"/>
                </w:tblCellMar>
              </w:tblPrEx>
              <w:trPr>
                <w:trHeight w:val="1788" w:hRule="atLeast"/>
                <w:jc w:val="center"/>
              </w:trPr>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jc w:val="center"/>
                    <w:rPr>
                      <w:rFonts w:ascii="仿宋" w:hAnsi="仿宋" w:eastAsia="仿宋" w:cs="仿宋"/>
                      <w:sz w:val="24"/>
                      <w:szCs w:val="24"/>
                    </w:rPr>
                  </w:pPr>
                </w:p>
                <w:p>
                  <w:pPr>
                    <w:widowControl/>
                    <w:spacing w:line="240" w:lineRule="auto"/>
                    <w:jc w:val="center"/>
                    <w:rPr>
                      <w:rFonts w:ascii="仿宋" w:hAnsi="仿宋" w:eastAsia="仿宋" w:cs="仿宋"/>
                      <w:sz w:val="24"/>
                      <w:szCs w:val="24"/>
                    </w:rPr>
                  </w:pPr>
                </w:p>
                <w:p>
                  <w:pPr>
                    <w:widowControl/>
                    <w:spacing w:line="240" w:lineRule="auto"/>
                    <w:jc w:val="center"/>
                    <w:rPr>
                      <w:rFonts w:ascii="仿宋" w:hAnsi="仿宋" w:eastAsia="仿宋" w:cs="仿宋"/>
                      <w:sz w:val="24"/>
                      <w:szCs w:val="24"/>
                    </w:rPr>
                  </w:pPr>
                  <w:r>
                    <w:rPr>
                      <w:rFonts w:hint="eastAsia" w:ascii="仿宋" w:hAnsi="仿宋" w:eastAsia="仿宋" w:cs="仿宋"/>
                      <w:sz w:val="24"/>
                      <w:szCs w:val="24"/>
                    </w:rPr>
                    <w:t>永赢消费主题C</w:t>
                  </w:r>
                </w:p>
              </w:tc>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cs="仿宋"/>
                      <w:sz w:val="24"/>
                      <w:szCs w:val="24"/>
                    </w:rPr>
                  </w:pPr>
                  <w:r>
                    <w:rPr>
                      <w:rFonts w:ascii="仿宋" w:hAnsi="仿宋" w:eastAsia="仿宋"/>
                      <w:sz w:val="24"/>
                      <w:szCs w:val="24"/>
                    </w:rPr>
                    <w:t>1.50%</w:t>
                  </w:r>
                </w:p>
              </w:tc>
              <w:tc>
                <w:tcPr>
                  <w:tcW w:w="1076" w:type="dxa"/>
                  <w:tcBorders>
                    <w:top w:val="single" w:color="767171" w:sz="12" w:space="0"/>
                    <w:left w:val="single" w:color="000000" w:sz="0" w:space="0"/>
                    <w:bottom w:val="single" w:color="767171" w:sz="12" w:space="0"/>
                    <w:right w:val="single" w:color="000000" w:sz="0" w:space="0"/>
                  </w:tcBorders>
                  <w:shd w:val="clear" w:color="auto" w:fill="auto"/>
                </w:tcPr>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sz w:val="24"/>
                      <w:szCs w:val="24"/>
                    </w:rPr>
                  </w:pPr>
                </w:p>
                <w:p>
                  <w:pPr>
                    <w:widowControl/>
                    <w:spacing w:line="240" w:lineRule="auto"/>
                    <w:jc w:val="center"/>
                    <w:rPr>
                      <w:rFonts w:ascii="仿宋" w:hAnsi="仿宋" w:eastAsia="仿宋" w:cs="仿宋"/>
                      <w:sz w:val="24"/>
                      <w:szCs w:val="24"/>
                    </w:rPr>
                  </w:pPr>
                  <w:r>
                    <w:rPr>
                      <w:rFonts w:ascii="仿宋" w:hAnsi="仿宋" w:eastAsia="仿宋"/>
                      <w:sz w:val="24"/>
                      <w:szCs w:val="24"/>
                    </w:rPr>
                    <w:t>0.25%</w:t>
                  </w:r>
                </w:p>
              </w:tc>
              <w:tc>
                <w:tcPr>
                  <w:tcW w:w="2890" w:type="dxa"/>
                  <w:tcBorders>
                    <w:top w:val="single" w:color="767171" w:sz="12" w:space="0"/>
                    <w:left w:val="single" w:color="000000" w:sz="0" w:space="0"/>
                    <w:bottom w:val="single" w:color="767171" w:sz="12" w:space="0"/>
                    <w:right w:val="single" w:color="000000" w:sz="0" w:space="0"/>
                  </w:tcBorders>
                  <w:shd w:val="clear" w:color="auto" w:fill="auto"/>
                  <w:vAlign w:val="center"/>
                </w:tcPr>
                <w:p>
                  <w:pPr>
                    <w:widowControl/>
                    <w:spacing w:line="240" w:lineRule="auto"/>
                    <w:jc w:val="center"/>
                    <w:rPr>
                      <w:rFonts w:ascii="仿宋" w:hAnsi="仿宋" w:eastAsia="仿宋" w:cs="仿宋"/>
                      <w:sz w:val="24"/>
                      <w:szCs w:val="24"/>
                    </w:rPr>
                  </w:pPr>
                  <w:r>
                    <w:rPr>
                      <w:rFonts w:hint="eastAsia" w:ascii="仿宋" w:hAnsi="仿宋" w:eastAsia="仿宋" w:cs="宋体"/>
                      <w:bCs/>
                      <w:color w:val="000000"/>
                      <w:sz w:val="24"/>
                      <w:szCs w:val="24"/>
                    </w:rPr>
                    <w:t>0%</w:t>
                  </w:r>
                </w:p>
              </w:tc>
              <w:tc>
                <w:tcPr>
                  <w:tcW w:w="3507" w:type="dxa"/>
                  <w:tcBorders>
                    <w:top w:val="single" w:color="767171" w:sz="12" w:space="0"/>
                    <w:left w:val="single" w:color="000000" w:sz="0" w:space="0"/>
                    <w:bottom w:val="single" w:color="767171" w:sz="12" w:space="0"/>
                    <w:right w:val="single" w:color="000000" w:sz="0" w:space="0"/>
                  </w:tcBorders>
                  <w:shd w:val="clear" w:color="auto" w:fill="auto"/>
                  <w:vAlign w:val="center"/>
                </w:tcPr>
                <w:p>
                  <w:pPr>
                    <w:widowControl/>
                    <w:spacing w:line="240" w:lineRule="auto"/>
                    <w:jc w:val="center"/>
                    <w:rPr>
                      <w:rFonts w:ascii="仿宋" w:hAnsi="仿宋" w:eastAsia="仿宋" w:cs="宋体"/>
                      <w:bCs/>
                      <w:color w:val="000000"/>
                      <w:sz w:val="24"/>
                      <w:szCs w:val="24"/>
                    </w:rPr>
                  </w:pPr>
                  <w:r>
                    <w:rPr>
                      <w:rFonts w:hint="eastAsia" w:ascii="仿宋" w:hAnsi="仿宋" w:eastAsia="仿宋" w:cs="宋体"/>
                      <w:bCs/>
                      <w:color w:val="000000"/>
                      <w:sz w:val="24"/>
                      <w:szCs w:val="24"/>
                    </w:rPr>
                    <w:t>普通投资群体：1~6日 1.50%；</w:t>
                  </w:r>
                </w:p>
                <w:p>
                  <w:pPr>
                    <w:widowControl/>
                    <w:spacing w:line="240" w:lineRule="auto"/>
                    <w:jc w:val="center"/>
                    <w:rPr>
                      <w:rFonts w:ascii="仿宋" w:hAnsi="仿宋" w:eastAsia="仿宋" w:cs="宋体"/>
                      <w:bCs/>
                      <w:color w:val="000000"/>
                      <w:sz w:val="24"/>
                      <w:szCs w:val="24"/>
                    </w:rPr>
                  </w:pPr>
                  <w:r>
                    <w:rPr>
                      <w:rFonts w:hint="eastAsia" w:ascii="仿宋" w:hAnsi="仿宋" w:eastAsia="仿宋" w:cs="宋体"/>
                      <w:bCs/>
                      <w:color w:val="000000"/>
                      <w:sz w:val="24"/>
                      <w:szCs w:val="24"/>
                    </w:rPr>
                    <w:t>普通投资群体：7~29日 0.50%；</w:t>
                  </w:r>
                </w:p>
                <w:p>
                  <w:pPr>
                    <w:widowControl/>
                    <w:spacing w:line="240" w:lineRule="auto"/>
                    <w:jc w:val="center"/>
                    <w:rPr>
                      <w:rFonts w:ascii="仿宋" w:hAnsi="仿宋" w:eastAsia="仿宋" w:cs="仿宋"/>
                      <w:sz w:val="24"/>
                      <w:szCs w:val="24"/>
                    </w:rPr>
                  </w:pPr>
                  <w:r>
                    <w:rPr>
                      <w:rFonts w:hint="eastAsia" w:ascii="仿宋" w:hAnsi="仿宋" w:eastAsia="仿宋" w:cs="宋体"/>
                      <w:bCs/>
                      <w:color w:val="000000"/>
                      <w:sz w:val="24"/>
                      <w:szCs w:val="24"/>
                    </w:rPr>
                    <w:t>普通投资群体：30日及以上 0.0%</w:t>
                  </w:r>
                </w:p>
              </w:tc>
            </w:tr>
          </w:tbl>
          <w:p>
            <w:pPr>
              <w:widowControl/>
              <w:spacing w:line="240" w:lineRule="auto"/>
              <w:jc w:val="left"/>
              <w:rPr>
                <w:rFonts w:ascii="仿宋" w:hAnsi="仿宋" w:eastAsia="仿宋" w:cs="仿宋"/>
                <w:sz w:val="24"/>
                <w:szCs w:val="24"/>
              </w:rPr>
            </w:pPr>
            <w:r>
              <w:rPr>
                <w:rFonts w:hint="eastAsia" w:ascii="仿宋" w:hAnsi="仿宋" w:eastAsia="仿宋" w:cs="仿宋"/>
                <w:sz w:val="24"/>
                <w:szCs w:val="24"/>
              </w:rPr>
              <w:t>4、产品持有人结构：2021年半年报显示，永赢消费主题机构投资者占比56.16%，主要机构投资者包括兴银理财、信银理财、交银理财、民生银行资管、浦发银行资管、交银施罗德FOF、华夏基金FOF等，机构类型多样、持仓分散。</w:t>
            </w:r>
          </w:p>
          <w:p>
            <w:pPr>
              <w:pStyle w:val="2"/>
            </w:pPr>
          </w:p>
          <w:p>
            <w:pPr>
              <w:widowControl/>
              <w:spacing w:line="240" w:lineRule="auto"/>
              <w:jc w:val="left"/>
              <w:rPr>
                <w:rFonts w:ascii="仿宋" w:hAnsi="仿宋" w:eastAsia="仿宋" w:cs="仿宋"/>
                <w:sz w:val="24"/>
                <w:szCs w:val="24"/>
              </w:rPr>
            </w:pPr>
            <w:r>
              <w:rPr>
                <w:rFonts w:hint="eastAsia" w:ascii="仿宋" w:hAnsi="仿宋" w:eastAsia="仿宋" w:cs="仿宋"/>
                <w:sz w:val="24"/>
                <w:szCs w:val="24"/>
              </w:rPr>
              <w:t>三、投资经理及策略情况</w:t>
            </w:r>
          </w:p>
          <w:p>
            <w:pPr>
              <w:widowControl/>
              <w:spacing w:line="240" w:lineRule="auto"/>
              <w:jc w:val="left"/>
              <w:rPr>
                <w:rFonts w:ascii="仿宋" w:hAnsi="仿宋" w:eastAsia="仿宋" w:cs="仿宋"/>
                <w:sz w:val="24"/>
                <w:szCs w:val="24"/>
              </w:rPr>
            </w:pPr>
            <w:r>
              <w:rPr>
                <w:rFonts w:hint="eastAsia" w:ascii="仿宋" w:hAnsi="仿宋" w:eastAsia="仿宋" w:cs="仿宋"/>
                <w:sz w:val="24"/>
                <w:szCs w:val="24"/>
              </w:rPr>
              <w:t>1、基金经理：永赢消费主题基金经理常远，同济大学理学博士，10年证券相关从业经验。2011年7月加入易方达基金，曾任行业研究员、投资经理。2019年加入永赢基金，担任权益投资部基金经理。常远在周期、制造、消费等领域内具有较丰富的研究经验，善于以价值投资的视角发掘底部的行业和个股投资机会，善于中观行业比较和资产配置。投资上思维严谨、注重逻辑推演。</w:t>
            </w:r>
          </w:p>
          <w:p>
            <w:pPr>
              <w:pStyle w:val="2"/>
              <w:ind w:left="0" w:leftChars="0"/>
              <w:rPr>
                <w:rFonts w:ascii="仿宋" w:hAnsi="仿宋" w:eastAsia="仿宋" w:cs="仿宋"/>
                <w:sz w:val="24"/>
                <w:szCs w:val="24"/>
              </w:rPr>
            </w:pPr>
            <w:r>
              <w:rPr>
                <w:rFonts w:hint="eastAsia" w:ascii="仿宋" w:hAnsi="仿宋" w:eastAsia="仿宋" w:cs="仿宋"/>
                <w:sz w:val="24"/>
                <w:szCs w:val="24"/>
              </w:rPr>
              <w:t>2、基金经理业绩情况：常远代表产品永赢消费主题，自2019年12月12日任职以来，任职期间绝对收益131.05%，同类产品排名125/1944。基金经理历任公募产品业绩表现如下：</w:t>
            </w:r>
          </w:p>
          <w:p/>
          <w:tbl>
            <w:tblPr>
              <w:tblStyle w:val="6"/>
              <w:tblW w:w="99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2067"/>
              <w:gridCol w:w="1533"/>
              <w:gridCol w:w="1797"/>
              <w:gridCol w:w="1134"/>
              <w:gridCol w:w="1275"/>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9967" w:type="dxa"/>
                  <w:gridSpan w:val="7"/>
                  <w:vAlign w:val="center"/>
                </w:tcPr>
                <w:p>
                  <w:pPr>
                    <w:widowControl/>
                    <w:wordWrap w:val="0"/>
                    <w:jc w:val="center"/>
                    <w:rPr>
                      <w:rFonts w:ascii="仿宋" w:hAnsi="仿宋" w:eastAsia="仿宋" w:cs="Arial"/>
                      <w:color w:val="333333"/>
                      <w:kern w:val="0"/>
                      <w:sz w:val="24"/>
                      <w:szCs w:val="24"/>
                    </w:rPr>
                  </w:pPr>
                  <w:r>
                    <w:rPr>
                      <w:rFonts w:hint="eastAsia" w:ascii="仿宋" w:hAnsi="仿宋" w:eastAsia="仿宋" w:cs="仿宋"/>
                      <w:sz w:val="24"/>
                      <w:szCs w:val="24"/>
                    </w:rPr>
                    <w:t>常远管理基金业绩情况（%）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126" w:type="dxa"/>
                  <w:vAlign w:val="center"/>
                </w:tcPr>
                <w:p>
                  <w:pPr>
                    <w:widowControl/>
                    <w:jc w:val="center"/>
                    <w:rPr>
                      <w:rFonts w:ascii="仿宋" w:hAnsi="仿宋" w:eastAsia="仿宋" w:cs="Arial"/>
                      <w:color w:val="333333"/>
                      <w:kern w:val="0"/>
                      <w:sz w:val="24"/>
                      <w:szCs w:val="24"/>
                    </w:rPr>
                  </w:pPr>
                  <w:r>
                    <w:rPr>
                      <w:rFonts w:ascii="仿宋" w:hAnsi="仿宋" w:eastAsia="仿宋" w:cs="Arial"/>
                      <w:color w:val="333333"/>
                      <w:kern w:val="0"/>
                      <w:sz w:val="24"/>
                      <w:szCs w:val="24"/>
                    </w:rPr>
                    <w:t>管理公司</w:t>
                  </w:r>
                </w:p>
              </w:tc>
              <w:tc>
                <w:tcPr>
                  <w:tcW w:w="2067" w:type="dxa"/>
                  <w:vAlign w:val="center"/>
                </w:tcPr>
                <w:p>
                  <w:pPr>
                    <w:widowControl/>
                    <w:wordWrap w:val="0"/>
                    <w:jc w:val="center"/>
                    <w:rPr>
                      <w:rFonts w:ascii="仿宋" w:hAnsi="仿宋" w:eastAsia="仿宋" w:cs="Arial"/>
                      <w:color w:val="333333"/>
                      <w:kern w:val="0"/>
                      <w:sz w:val="24"/>
                      <w:szCs w:val="24"/>
                    </w:rPr>
                  </w:pPr>
                  <w:r>
                    <w:rPr>
                      <w:rFonts w:ascii="仿宋" w:hAnsi="仿宋" w:eastAsia="仿宋" w:cs="Arial"/>
                      <w:color w:val="333333"/>
                      <w:kern w:val="0"/>
                      <w:sz w:val="24"/>
                      <w:szCs w:val="24"/>
                    </w:rPr>
                    <w:t>产品名称</w:t>
                  </w:r>
                </w:p>
              </w:tc>
              <w:tc>
                <w:tcPr>
                  <w:tcW w:w="1533" w:type="dxa"/>
                  <w:vAlign w:val="center"/>
                </w:tcPr>
                <w:p>
                  <w:pPr>
                    <w:widowControl/>
                    <w:wordWrap w:val="0"/>
                    <w:jc w:val="center"/>
                    <w:rPr>
                      <w:rFonts w:ascii="仿宋" w:hAnsi="仿宋" w:eastAsia="仿宋" w:cs="Arial"/>
                      <w:color w:val="333333"/>
                      <w:kern w:val="0"/>
                      <w:sz w:val="24"/>
                      <w:szCs w:val="24"/>
                    </w:rPr>
                  </w:pPr>
                  <w:r>
                    <w:rPr>
                      <w:rFonts w:ascii="仿宋" w:hAnsi="仿宋" w:eastAsia="仿宋" w:cs="Arial"/>
                      <w:color w:val="333333"/>
                      <w:kern w:val="0"/>
                      <w:sz w:val="24"/>
                      <w:szCs w:val="24"/>
                    </w:rPr>
                    <w:t>任职日期</w:t>
                  </w:r>
                </w:p>
              </w:tc>
              <w:tc>
                <w:tcPr>
                  <w:tcW w:w="1797" w:type="dxa"/>
                  <w:vAlign w:val="center"/>
                </w:tcPr>
                <w:p>
                  <w:pPr>
                    <w:widowControl/>
                    <w:wordWrap w:val="0"/>
                    <w:jc w:val="center"/>
                    <w:rPr>
                      <w:rFonts w:ascii="仿宋" w:hAnsi="仿宋" w:eastAsia="仿宋" w:cs="Arial"/>
                      <w:color w:val="333333"/>
                      <w:kern w:val="0"/>
                      <w:sz w:val="24"/>
                      <w:szCs w:val="24"/>
                    </w:rPr>
                  </w:pPr>
                  <w:r>
                    <w:rPr>
                      <w:rFonts w:ascii="仿宋" w:hAnsi="仿宋" w:eastAsia="仿宋" w:cs="Arial"/>
                      <w:color w:val="333333"/>
                      <w:kern w:val="0"/>
                      <w:sz w:val="24"/>
                      <w:szCs w:val="24"/>
                    </w:rPr>
                    <w:t>离任日期</w:t>
                  </w:r>
                </w:p>
              </w:tc>
              <w:tc>
                <w:tcPr>
                  <w:tcW w:w="1134" w:type="dxa"/>
                  <w:vAlign w:val="center"/>
                </w:tcPr>
                <w:p>
                  <w:pPr>
                    <w:widowControl/>
                    <w:wordWrap w:val="0"/>
                    <w:ind w:right="210"/>
                    <w:jc w:val="center"/>
                    <w:rPr>
                      <w:rFonts w:ascii="仿宋" w:hAnsi="仿宋" w:eastAsia="仿宋" w:cs="Arial"/>
                      <w:color w:val="333333"/>
                      <w:kern w:val="0"/>
                      <w:sz w:val="24"/>
                      <w:szCs w:val="24"/>
                    </w:rPr>
                  </w:pPr>
                  <w:r>
                    <w:rPr>
                      <w:rFonts w:ascii="仿宋" w:hAnsi="仿宋" w:eastAsia="仿宋" w:cs="Arial"/>
                      <w:color w:val="333333"/>
                      <w:kern w:val="0"/>
                      <w:sz w:val="24"/>
                      <w:szCs w:val="24"/>
                    </w:rPr>
                    <w:t>任职回报</w:t>
                  </w:r>
                </w:p>
              </w:tc>
              <w:tc>
                <w:tcPr>
                  <w:tcW w:w="1275" w:type="dxa"/>
                  <w:vAlign w:val="center"/>
                </w:tcPr>
                <w:p>
                  <w:pPr>
                    <w:widowControl/>
                    <w:wordWrap w:val="0"/>
                    <w:jc w:val="center"/>
                    <w:rPr>
                      <w:rFonts w:ascii="仿宋" w:hAnsi="仿宋" w:eastAsia="仿宋" w:cs="Arial"/>
                      <w:color w:val="333333"/>
                      <w:kern w:val="0"/>
                      <w:sz w:val="24"/>
                      <w:szCs w:val="24"/>
                    </w:rPr>
                  </w:pPr>
                  <w:r>
                    <w:rPr>
                      <w:rFonts w:ascii="仿宋" w:hAnsi="仿宋" w:eastAsia="仿宋" w:cs="Arial"/>
                      <w:color w:val="333333"/>
                      <w:kern w:val="0"/>
                      <w:sz w:val="24"/>
                      <w:szCs w:val="24"/>
                    </w:rPr>
                    <w:t>回报排名</w:t>
                  </w:r>
                </w:p>
              </w:tc>
              <w:tc>
                <w:tcPr>
                  <w:tcW w:w="1035" w:type="dxa"/>
                  <w:vAlign w:val="center"/>
                </w:tcPr>
                <w:p>
                  <w:pPr>
                    <w:widowControl/>
                    <w:wordWrap w:val="0"/>
                    <w:jc w:val="center"/>
                    <w:rPr>
                      <w:rFonts w:ascii="仿宋" w:hAnsi="仿宋" w:eastAsia="仿宋" w:cs="Arial"/>
                      <w:color w:val="333333"/>
                      <w:kern w:val="0"/>
                      <w:sz w:val="24"/>
                      <w:szCs w:val="24"/>
                    </w:rPr>
                  </w:pPr>
                  <w:r>
                    <w:rPr>
                      <w:rFonts w:ascii="仿宋" w:hAnsi="仿宋" w:eastAsia="仿宋" w:cs="Arial"/>
                      <w:color w:val="333333"/>
                      <w:kern w:val="0"/>
                      <w:sz w:val="24"/>
                      <w:szCs w:val="24"/>
                    </w:rPr>
                    <w:t>合计规模(亿元)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1126" w:type="dxa"/>
                  <w:vMerge w:val="restart"/>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永赢基金</w:t>
                  </w:r>
                </w:p>
              </w:tc>
              <w:tc>
                <w:tcPr>
                  <w:tcW w:w="2067" w:type="dxa"/>
                  <w:vAlign w:val="center"/>
                </w:tcPr>
                <w:p>
                  <w:pPr>
                    <w:widowControl/>
                    <w:wordWrap w:val="0"/>
                    <w:jc w:val="center"/>
                    <w:rPr>
                      <w:rFonts w:ascii="仿宋" w:hAnsi="仿宋" w:eastAsia="仿宋" w:cs="Arial"/>
                      <w:color w:val="000000"/>
                      <w:kern w:val="0"/>
                      <w:sz w:val="24"/>
                      <w:szCs w:val="24"/>
                    </w:rPr>
                  </w:pPr>
                  <w:r>
                    <w:fldChar w:fldCharType="begin"/>
                  </w:r>
                  <w:r>
                    <w:instrText xml:space="preserve"> HYPERLINK "http://122.96.62.234/FundStaticWeb/PublicFundF9/index.html" </w:instrText>
                  </w:r>
                  <w:r>
                    <w:fldChar w:fldCharType="separate"/>
                  </w:r>
                  <w:r>
                    <w:rPr>
                      <w:rFonts w:ascii="仿宋" w:hAnsi="仿宋" w:eastAsia="仿宋" w:cs="Arial"/>
                      <w:color w:val="333333"/>
                      <w:kern w:val="0"/>
                      <w:sz w:val="24"/>
                      <w:szCs w:val="24"/>
                    </w:rPr>
                    <w:t>永赢消费主题A</w:t>
                  </w:r>
                  <w:r>
                    <w:rPr>
                      <w:rFonts w:ascii="仿宋" w:hAnsi="仿宋" w:eastAsia="仿宋" w:cs="Arial"/>
                      <w:color w:val="333333"/>
                      <w:kern w:val="0"/>
                      <w:sz w:val="24"/>
                      <w:szCs w:val="24"/>
                    </w:rPr>
                    <w:fldChar w:fldCharType="end"/>
                  </w:r>
                </w:p>
              </w:tc>
              <w:tc>
                <w:tcPr>
                  <w:tcW w:w="1533"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2019-12-12</w:t>
                  </w:r>
                </w:p>
              </w:tc>
              <w:tc>
                <w:tcPr>
                  <w:tcW w:w="1797"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w:t>
                  </w:r>
                </w:p>
              </w:tc>
              <w:tc>
                <w:tcPr>
                  <w:tcW w:w="1134"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131.05%</w:t>
                  </w:r>
                </w:p>
              </w:tc>
              <w:tc>
                <w:tcPr>
                  <w:tcW w:w="127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125/1944</w:t>
                  </w:r>
                </w:p>
              </w:tc>
              <w:tc>
                <w:tcPr>
                  <w:tcW w:w="103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49.04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jc w:val="center"/>
              </w:trPr>
              <w:tc>
                <w:tcPr>
                  <w:tcW w:w="1126" w:type="dxa"/>
                  <w:vMerge w:val="continue"/>
                  <w:vAlign w:val="center"/>
                </w:tcPr>
                <w:p>
                  <w:pPr>
                    <w:widowControl/>
                    <w:jc w:val="center"/>
                    <w:rPr>
                      <w:rFonts w:ascii="仿宋" w:hAnsi="仿宋" w:eastAsia="仿宋" w:cs="Arial"/>
                      <w:color w:val="000000"/>
                      <w:kern w:val="0"/>
                      <w:sz w:val="24"/>
                      <w:szCs w:val="24"/>
                    </w:rPr>
                  </w:pPr>
                </w:p>
              </w:tc>
              <w:tc>
                <w:tcPr>
                  <w:tcW w:w="2067" w:type="dxa"/>
                  <w:vAlign w:val="center"/>
                </w:tcPr>
                <w:p>
                  <w:pPr>
                    <w:widowControl/>
                    <w:wordWrap w:val="0"/>
                    <w:jc w:val="center"/>
                    <w:rPr>
                      <w:rFonts w:ascii="仿宋" w:hAnsi="仿宋" w:eastAsia="仿宋" w:cs="Arial"/>
                      <w:color w:val="000000"/>
                      <w:kern w:val="0"/>
                      <w:sz w:val="24"/>
                      <w:szCs w:val="24"/>
                    </w:rPr>
                  </w:pPr>
                  <w:r>
                    <w:fldChar w:fldCharType="begin"/>
                  </w:r>
                  <w:r>
                    <w:instrText xml:space="preserve"> HYPERLINK "http://122.96.62.234/FundStaticWeb/PublicFundF9/index.html" </w:instrText>
                  </w:r>
                  <w:r>
                    <w:fldChar w:fldCharType="separate"/>
                  </w:r>
                  <w:r>
                    <w:rPr>
                      <w:rFonts w:ascii="仿宋" w:hAnsi="仿宋" w:eastAsia="仿宋" w:cs="Arial"/>
                      <w:color w:val="333333"/>
                      <w:kern w:val="0"/>
                      <w:sz w:val="24"/>
                      <w:szCs w:val="24"/>
                    </w:rPr>
                    <w:t>永赢消费主题C</w:t>
                  </w:r>
                  <w:r>
                    <w:rPr>
                      <w:rFonts w:ascii="仿宋" w:hAnsi="仿宋" w:eastAsia="仿宋" w:cs="Arial"/>
                      <w:color w:val="333333"/>
                      <w:kern w:val="0"/>
                      <w:sz w:val="24"/>
                      <w:szCs w:val="24"/>
                    </w:rPr>
                    <w:fldChar w:fldCharType="end"/>
                  </w:r>
                </w:p>
              </w:tc>
              <w:tc>
                <w:tcPr>
                  <w:tcW w:w="1533"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2019-12-12</w:t>
                  </w:r>
                </w:p>
              </w:tc>
              <w:tc>
                <w:tcPr>
                  <w:tcW w:w="1797"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w:t>
                  </w:r>
                </w:p>
              </w:tc>
              <w:tc>
                <w:tcPr>
                  <w:tcW w:w="1134"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130.07%</w:t>
                  </w:r>
                </w:p>
              </w:tc>
              <w:tc>
                <w:tcPr>
                  <w:tcW w:w="127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130/1944</w:t>
                  </w:r>
                </w:p>
              </w:tc>
              <w:tc>
                <w:tcPr>
                  <w:tcW w:w="103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49.04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jc w:val="center"/>
              </w:trPr>
              <w:tc>
                <w:tcPr>
                  <w:tcW w:w="1126" w:type="dxa"/>
                  <w:vMerge w:val="continue"/>
                  <w:vAlign w:val="center"/>
                </w:tcPr>
                <w:p>
                  <w:pPr>
                    <w:widowControl/>
                    <w:jc w:val="center"/>
                    <w:rPr>
                      <w:rFonts w:ascii="仿宋" w:hAnsi="仿宋" w:eastAsia="仿宋" w:cs="Arial"/>
                      <w:color w:val="000000"/>
                      <w:kern w:val="0"/>
                      <w:sz w:val="24"/>
                      <w:szCs w:val="24"/>
                    </w:rPr>
                  </w:pPr>
                </w:p>
              </w:tc>
              <w:tc>
                <w:tcPr>
                  <w:tcW w:w="2067" w:type="dxa"/>
                  <w:vAlign w:val="center"/>
                </w:tcPr>
                <w:p>
                  <w:pPr>
                    <w:widowControl/>
                    <w:wordWrap w:val="0"/>
                    <w:jc w:val="center"/>
                    <w:rPr>
                      <w:rFonts w:ascii="仿宋" w:hAnsi="仿宋" w:eastAsia="仿宋" w:cs="Arial"/>
                      <w:color w:val="000000"/>
                      <w:kern w:val="0"/>
                      <w:sz w:val="24"/>
                      <w:szCs w:val="24"/>
                    </w:rPr>
                  </w:pPr>
                  <w:r>
                    <w:fldChar w:fldCharType="begin"/>
                  </w:r>
                  <w:r>
                    <w:instrText xml:space="preserve"> HYPERLINK "http://122.96.62.234/FundStaticWeb/PublicFundF9/index.html" </w:instrText>
                  </w:r>
                  <w:r>
                    <w:fldChar w:fldCharType="separate"/>
                  </w:r>
                  <w:r>
                    <w:rPr>
                      <w:rFonts w:ascii="仿宋" w:hAnsi="仿宋" w:eastAsia="仿宋" w:cs="Arial"/>
                      <w:color w:val="333333"/>
                      <w:kern w:val="0"/>
                      <w:sz w:val="24"/>
                      <w:szCs w:val="24"/>
                    </w:rPr>
                    <w:t>永赢稳健增长一年A</w:t>
                  </w:r>
                  <w:r>
                    <w:rPr>
                      <w:rFonts w:ascii="仿宋" w:hAnsi="仿宋" w:eastAsia="仿宋" w:cs="Arial"/>
                      <w:color w:val="333333"/>
                      <w:kern w:val="0"/>
                      <w:sz w:val="24"/>
                      <w:szCs w:val="24"/>
                    </w:rPr>
                    <w:fldChar w:fldCharType="end"/>
                  </w:r>
                </w:p>
              </w:tc>
              <w:tc>
                <w:tcPr>
                  <w:tcW w:w="1533"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2020-08-11</w:t>
                  </w:r>
                </w:p>
              </w:tc>
              <w:tc>
                <w:tcPr>
                  <w:tcW w:w="1797"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w:t>
                  </w:r>
                </w:p>
              </w:tc>
              <w:tc>
                <w:tcPr>
                  <w:tcW w:w="1134"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14.15%</w:t>
                  </w:r>
                </w:p>
              </w:tc>
              <w:tc>
                <w:tcPr>
                  <w:tcW w:w="127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57/475</w:t>
                  </w:r>
                </w:p>
              </w:tc>
              <w:tc>
                <w:tcPr>
                  <w:tcW w:w="103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jc w:val="center"/>
              </w:trPr>
              <w:tc>
                <w:tcPr>
                  <w:tcW w:w="1126" w:type="dxa"/>
                  <w:vMerge w:val="continue"/>
                  <w:vAlign w:val="center"/>
                </w:tcPr>
                <w:p>
                  <w:pPr>
                    <w:widowControl/>
                    <w:jc w:val="center"/>
                    <w:rPr>
                      <w:rFonts w:ascii="仿宋" w:hAnsi="仿宋" w:eastAsia="仿宋" w:cs="Arial"/>
                      <w:color w:val="000000"/>
                      <w:kern w:val="0"/>
                      <w:sz w:val="24"/>
                      <w:szCs w:val="24"/>
                    </w:rPr>
                  </w:pPr>
                </w:p>
              </w:tc>
              <w:tc>
                <w:tcPr>
                  <w:tcW w:w="2067" w:type="dxa"/>
                  <w:vAlign w:val="center"/>
                </w:tcPr>
                <w:p>
                  <w:pPr>
                    <w:widowControl/>
                    <w:wordWrap w:val="0"/>
                    <w:jc w:val="center"/>
                    <w:rPr>
                      <w:rFonts w:ascii="仿宋" w:hAnsi="仿宋" w:eastAsia="仿宋" w:cs="Arial"/>
                      <w:color w:val="000000"/>
                      <w:kern w:val="0"/>
                      <w:sz w:val="24"/>
                      <w:szCs w:val="24"/>
                    </w:rPr>
                  </w:pPr>
                  <w:r>
                    <w:fldChar w:fldCharType="begin"/>
                  </w:r>
                  <w:r>
                    <w:instrText xml:space="preserve"> HYPERLINK "http://122.96.62.234/FundStaticWeb/PublicFundF9/index.html" </w:instrText>
                  </w:r>
                  <w:r>
                    <w:fldChar w:fldCharType="separate"/>
                  </w:r>
                  <w:r>
                    <w:rPr>
                      <w:rFonts w:ascii="仿宋" w:hAnsi="仿宋" w:eastAsia="仿宋" w:cs="Arial"/>
                      <w:color w:val="333333"/>
                      <w:kern w:val="0"/>
                      <w:sz w:val="24"/>
                      <w:szCs w:val="24"/>
                    </w:rPr>
                    <w:t>永赢稳健增利18个月持有A</w:t>
                  </w:r>
                  <w:r>
                    <w:rPr>
                      <w:rFonts w:ascii="仿宋" w:hAnsi="仿宋" w:eastAsia="仿宋" w:cs="Arial"/>
                      <w:color w:val="333333"/>
                      <w:kern w:val="0"/>
                      <w:sz w:val="24"/>
                      <w:szCs w:val="24"/>
                    </w:rPr>
                    <w:fldChar w:fldCharType="end"/>
                  </w:r>
                </w:p>
              </w:tc>
              <w:tc>
                <w:tcPr>
                  <w:tcW w:w="1533"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2021-03-05</w:t>
                  </w:r>
                </w:p>
              </w:tc>
              <w:tc>
                <w:tcPr>
                  <w:tcW w:w="1797"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w:t>
                  </w:r>
                </w:p>
              </w:tc>
              <w:tc>
                <w:tcPr>
                  <w:tcW w:w="1134"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2.68%</w:t>
                  </w:r>
                </w:p>
              </w:tc>
              <w:tc>
                <w:tcPr>
                  <w:tcW w:w="127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390/709</w:t>
                  </w:r>
                </w:p>
              </w:tc>
              <w:tc>
                <w:tcPr>
                  <w:tcW w:w="103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jc w:val="center"/>
              </w:trPr>
              <w:tc>
                <w:tcPr>
                  <w:tcW w:w="1126" w:type="dxa"/>
                  <w:vMerge w:val="continue"/>
                  <w:vAlign w:val="center"/>
                </w:tcPr>
                <w:p>
                  <w:pPr>
                    <w:widowControl/>
                    <w:jc w:val="center"/>
                    <w:rPr>
                      <w:rFonts w:ascii="仿宋" w:hAnsi="仿宋" w:eastAsia="仿宋" w:cs="Arial"/>
                      <w:color w:val="000000"/>
                      <w:kern w:val="0"/>
                      <w:sz w:val="24"/>
                      <w:szCs w:val="24"/>
                    </w:rPr>
                  </w:pPr>
                </w:p>
              </w:tc>
              <w:tc>
                <w:tcPr>
                  <w:tcW w:w="2067" w:type="dxa"/>
                  <w:vAlign w:val="center"/>
                </w:tcPr>
                <w:p>
                  <w:pPr>
                    <w:widowControl/>
                    <w:wordWrap w:val="0"/>
                    <w:jc w:val="center"/>
                    <w:rPr>
                      <w:rFonts w:ascii="仿宋" w:hAnsi="仿宋" w:eastAsia="仿宋" w:cs="Arial"/>
                      <w:color w:val="000000"/>
                      <w:kern w:val="0"/>
                      <w:sz w:val="24"/>
                      <w:szCs w:val="24"/>
                    </w:rPr>
                  </w:pPr>
                  <w:r>
                    <w:fldChar w:fldCharType="begin"/>
                  </w:r>
                  <w:r>
                    <w:instrText xml:space="preserve"> HYPERLINK "http://122.96.62.234/FundStaticWeb/PublicFundF9/index.html" </w:instrText>
                  </w:r>
                  <w:r>
                    <w:fldChar w:fldCharType="separate"/>
                  </w:r>
                  <w:r>
                    <w:rPr>
                      <w:rFonts w:ascii="仿宋" w:hAnsi="仿宋" w:eastAsia="仿宋" w:cs="Arial"/>
                      <w:color w:val="333333"/>
                      <w:kern w:val="0"/>
                      <w:sz w:val="24"/>
                      <w:szCs w:val="24"/>
                    </w:rPr>
                    <w:t>永赢稳健增长一年E</w:t>
                  </w:r>
                  <w:r>
                    <w:rPr>
                      <w:rFonts w:ascii="仿宋" w:hAnsi="仿宋" w:eastAsia="仿宋" w:cs="Arial"/>
                      <w:color w:val="333333"/>
                      <w:kern w:val="0"/>
                      <w:sz w:val="24"/>
                      <w:szCs w:val="24"/>
                    </w:rPr>
                    <w:fldChar w:fldCharType="end"/>
                  </w:r>
                </w:p>
              </w:tc>
              <w:tc>
                <w:tcPr>
                  <w:tcW w:w="1533"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2021-05-24</w:t>
                  </w:r>
                </w:p>
              </w:tc>
              <w:tc>
                <w:tcPr>
                  <w:tcW w:w="1797"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w:t>
                  </w:r>
                </w:p>
              </w:tc>
              <w:tc>
                <w:tcPr>
                  <w:tcW w:w="1134"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1.51%</w:t>
                  </w:r>
                </w:p>
              </w:tc>
              <w:tc>
                <w:tcPr>
                  <w:tcW w:w="127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494/848</w:t>
                  </w:r>
                </w:p>
              </w:tc>
              <w:tc>
                <w:tcPr>
                  <w:tcW w:w="103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 w:hRule="atLeast"/>
                <w:jc w:val="center"/>
              </w:trPr>
              <w:tc>
                <w:tcPr>
                  <w:tcW w:w="1126" w:type="dxa"/>
                  <w:vMerge w:val="continue"/>
                  <w:vAlign w:val="center"/>
                </w:tcPr>
                <w:p>
                  <w:pPr>
                    <w:widowControl/>
                    <w:jc w:val="center"/>
                    <w:rPr>
                      <w:rFonts w:ascii="仿宋" w:hAnsi="仿宋" w:eastAsia="仿宋" w:cs="Arial"/>
                      <w:color w:val="000000"/>
                      <w:kern w:val="0"/>
                      <w:sz w:val="24"/>
                      <w:szCs w:val="24"/>
                    </w:rPr>
                  </w:pPr>
                </w:p>
              </w:tc>
              <w:tc>
                <w:tcPr>
                  <w:tcW w:w="2067" w:type="dxa"/>
                  <w:vAlign w:val="center"/>
                </w:tcPr>
                <w:p>
                  <w:pPr>
                    <w:widowControl/>
                    <w:wordWrap w:val="0"/>
                    <w:jc w:val="center"/>
                    <w:rPr>
                      <w:rFonts w:ascii="仿宋" w:hAnsi="仿宋" w:eastAsia="仿宋" w:cs="Arial"/>
                      <w:color w:val="000000"/>
                      <w:kern w:val="0"/>
                      <w:sz w:val="24"/>
                      <w:szCs w:val="24"/>
                    </w:rPr>
                  </w:pPr>
                  <w:r>
                    <w:fldChar w:fldCharType="begin"/>
                  </w:r>
                  <w:r>
                    <w:instrText xml:space="preserve"> HYPERLINK "http://122.96.62.234/FundStaticWeb/PublicFundF9/index.html" </w:instrText>
                  </w:r>
                  <w:r>
                    <w:fldChar w:fldCharType="separate"/>
                  </w:r>
                  <w:r>
                    <w:rPr>
                      <w:rFonts w:ascii="仿宋" w:hAnsi="仿宋" w:eastAsia="仿宋" w:cs="Arial"/>
                      <w:color w:val="333333"/>
                      <w:kern w:val="0"/>
                      <w:sz w:val="24"/>
                      <w:szCs w:val="24"/>
                    </w:rPr>
                    <w:t>永赢长远价值A</w:t>
                  </w:r>
                  <w:r>
                    <w:rPr>
                      <w:rFonts w:ascii="仿宋" w:hAnsi="仿宋" w:eastAsia="仿宋" w:cs="Arial"/>
                      <w:color w:val="333333"/>
                      <w:kern w:val="0"/>
                      <w:sz w:val="24"/>
                      <w:szCs w:val="24"/>
                    </w:rPr>
                    <w:fldChar w:fldCharType="end"/>
                  </w:r>
                </w:p>
              </w:tc>
              <w:tc>
                <w:tcPr>
                  <w:tcW w:w="1533"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2021-09-13</w:t>
                  </w:r>
                </w:p>
              </w:tc>
              <w:tc>
                <w:tcPr>
                  <w:tcW w:w="1797"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w:t>
                  </w:r>
                </w:p>
              </w:tc>
              <w:tc>
                <w:tcPr>
                  <w:tcW w:w="1134"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-6.00%</w:t>
                  </w:r>
                </w:p>
              </w:tc>
              <w:tc>
                <w:tcPr>
                  <w:tcW w:w="127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1789/2308</w:t>
                  </w:r>
                </w:p>
              </w:tc>
              <w:tc>
                <w:tcPr>
                  <w:tcW w:w="103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79.26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jc w:val="center"/>
              </w:trPr>
              <w:tc>
                <w:tcPr>
                  <w:tcW w:w="1126" w:type="dxa"/>
                  <w:vMerge w:val="continue"/>
                  <w:vAlign w:val="center"/>
                </w:tcPr>
                <w:p>
                  <w:pPr>
                    <w:widowControl/>
                    <w:jc w:val="center"/>
                    <w:rPr>
                      <w:rFonts w:ascii="仿宋" w:hAnsi="仿宋" w:eastAsia="仿宋" w:cs="Arial"/>
                      <w:color w:val="000000"/>
                      <w:kern w:val="0"/>
                      <w:sz w:val="24"/>
                      <w:szCs w:val="24"/>
                    </w:rPr>
                  </w:pPr>
                </w:p>
              </w:tc>
              <w:tc>
                <w:tcPr>
                  <w:tcW w:w="2067" w:type="dxa"/>
                  <w:vAlign w:val="center"/>
                </w:tcPr>
                <w:p>
                  <w:pPr>
                    <w:widowControl/>
                    <w:wordWrap w:val="0"/>
                    <w:jc w:val="center"/>
                    <w:rPr>
                      <w:rFonts w:ascii="仿宋" w:hAnsi="仿宋" w:eastAsia="仿宋" w:cs="Arial"/>
                      <w:color w:val="000000"/>
                      <w:kern w:val="0"/>
                      <w:sz w:val="24"/>
                      <w:szCs w:val="24"/>
                    </w:rPr>
                  </w:pPr>
                  <w:r>
                    <w:fldChar w:fldCharType="begin"/>
                  </w:r>
                  <w:r>
                    <w:instrText xml:space="preserve"> HYPERLINK "http://122.96.62.234/FundStaticWeb/PublicFundF9/index.html" </w:instrText>
                  </w:r>
                  <w:r>
                    <w:fldChar w:fldCharType="separate"/>
                  </w:r>
                  <w:r>
                    <w:rPr>
                      <w:rFonts w:ascii="仿宋" w:hAnsi="仿宋" w:eastAsia="仿宋" w:cs="Arial"/>
                      <w:color w:val="333333"/>
                      <w:kern w:val="0"/>
                      <w:sz w:val="24"/>
                      <w:szCs w:val="24"/>
                    </w:rPr>
                    <w:t>永赢长远价值C</w:t>
                  </w:r>
                  <w:r>
                    <w:rPr>
                      <w:rFonts w:ascii="仿宋" w:hAnsi="仿宋" w:eastAsia="仿宋" w:cs="Arial"/>
                      <w:color w:val="333333"/>
                      <w:kern w:val="0"/>
                      <w:sz w:val="24"/>
                      <w:szCs w:val="24"/>
                    </w:rPr>
                    <w:fldChar w:fldCharType="end"/>
                  </w:r>
                </w:p>
              </w:tc>
              <w:tc>
                <w:tcPr>
                  <w:tcW w:w="1533"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2021-09-13</w:t>
                  </w:r>
                </w:p>
              </w:tc>
              <w:tc>
                <w:tcPr>
                  <w:tcW w:w="1797"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w:t>
                  </w:r>
                </w:p>
              </w:tc>
              <w:tc>
                <w:tcPr>
                  <w:tcW w:w="1134"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-6.03%</w:t>
                  </w:r>
                </w:p>
              </w:tc>
              <w:tc>
                <w:tcPr>
                  <w:tcW w:w="127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1795/2308</w:t>
                  </w:r>
                </w:p>
              </w:tc>
              <w:tc>
                <w:tcPr>
                  <w:tcW w:w="103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79.26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jc w:val="center"/>
              </w:trPr>
              <w:tc>
                <w:tcPr>
                  <w:tcW w:w="1126" w:type="dxa"/>
                  <w:vMerge w:val="continue"/>
                  <w:vAlign w:val="center"/>
                </w:tcPr>
                <w:p>
                  <w:pPr>
                    <w:widowControl/>
                    <w:jc w:val="center"/>
                    <w:rPr>
                      <w:rFonts w:ascii="仿宋" w:hAnsi="仿宋" w:eastAsia="仿宋" w:cs="Arial"/>
                      <w:color w:val="000000"/>
                      <w:kern w:val="0"/>
                      <w:sz w:val="24"/>
                      <w:szCs w:val="24"/>
                    </w:rPr>
                  </w:pPr>
                </w:p>
              </w:tc>
              <w:tc>
                <w:tcPr>
                  <w:tcW w:w="2067" w:type="dxa"/>
                  <w:vAlign w:val="center"/>
                </w:tcPr>
                <w:p>
                  <w:pPr>
                    <w:widowControl/>
                    <w:wordWrap w:val="0"/>
                    <w:jc w:val="center"/>
                    <w:rPr>
                      <w:rFonts w:ascii="仿宋" w:hAnsi="仿宋" w:eastAsia="仿宋" w:cs="Arial"/>
                      <w:color w:val="000000"/>
                      <w:kern w:val="0"/>
                      <w:sz w:val="24"/>
                      <w:szCs w:val="24"/>
                    </w:rPr>
                  </w:pPr>
                  <w:r>
                    <w:fldChar w:fldCharType="begin"/>
                  </w:r>
                  <w:r>
                    <w:instrText xml:space="preserve"> HYPERLINK "http://122.96.62.234/FundStaticWeb/PublicFundF9/index.html" </w:instrText>
                  </w:r>
                  <w:r>
                    <w:fldChar w:fldCharType="separate"/>
                  </w:r>
                  <w:r>
                    <w:rPr>
                      <w:rFonts w:ascii="仿宋" w:hAnsi="仿宋" w:eastAsia="仿宋" w:cs="Arial"/>
                      <w:color w:val="333333"/>
                      <w:kern w:val="0"/>
                      <w:sz w:val="24"/>
                      <w:szCs w:val="24"/>
                    </w:rPr>
                    <w:t>永赢稳健增利18个月持有E</w:t>
                  </w:r>
                  <w:r>
                    <w:rPr>
                      <w:rFonts w:ascii="仿宋" w:hAnsi="仿宋" w:eastAsia="仿宋" w:cs="Arial"/>
                      <w:color w:val="333333"/>
                      <w:kern w:val="0"/>
                      <w:sz w:val="24"/>
                      <w:szCs w:val="24"/>
                    </w:rPr>
                    <w:fldChar w:fldCharType="end"/>
                  </w:r>
                </w:p>
              </w:tc>
              <w:tc>
                <w:tcPr>
                  <w:tcW w:w="1533"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2021-09-15</w:t>
                  </w:r>
                </w:p>
              </w:tc>
              <w:tc>
                <w:tcPr>
                  <w:tcW w:w="1797"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w:t>
                  </w:r>
                </w:p>
              </w:tc>
              <w:tc>
                <w:tcPr>
                  <w:tcW w:w="1134"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-3.07%</w:t>
                  </w:r>
                </w:p>
              </w:tc>
              <w:tc>
                <w:tcPr>
                  <w:tcW w:w="127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974/1027</w:t>
                  </w:r>
                </w:p>
              </w:tc>
              <w:tc>
                <w:tcPr>
                  <w:tcW w:w="103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126" w:type="dxa"/>
                  <w:vMerge w:val="restart"/>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易方达基金</w:t>
                  </w:r>
                </w:p>
              </w:tc>
              <w:tc>
                <w:tcPr>
                  <w:tcW w:w="2067" w:type="dxa"/>
                  <w:vAlign w:val="center"/>
                </w:tcPr>
                <w:p>
                  <w:pPr>
                    <w:widowControl/>
                    <w:wordWrap w:val="0"/>
                    <w:jc w:val="center"/>
                    <w:rPr>
                      <w:rFonts w:ascii="仿宋" w:hAnsi="仿宋" w:eastAsia="仿宋" w:cs="Arial"/>
                      <w:color w:val="000000"/>
                      <w:kern w:val="0"/>
                      <w:sz w:val="24"/>
                      <w:szCs w:val="24"/>
                    </w:rPr>
                  </w:pPr>
                  <w:r>
                    <w:fldChar w:fldCharType="begin"/>
                  </w:r>
                  <w:r>
                    <w:instrText xml:space="preserve"> HYPERLINK "http://122.96.62.234/FundStaticWeb/PublicFundF9/index.html" </w:instrText>
                  </w:r>
                  <w:r>
                    <w:fldChar w:fldCharType="separate"/>
                  </w:r>
                  <w:r>
                    <w:rPr>
                      <w:rFonts w:ascii="仿宋" w:hAnsi="仿宋" w:eastAsia="仿宋" w:cs="Arial"/>
                      <w:color w:val="333333"/>
                      <w:kern w:val="0"/>
                      <w:sz w:val="24"/>
                      <w:szCs w:val="24"/>
                    </w:rPr>
                    <w:t>易方达供给改革</w:t>
                  </w:r>
                  <w:r>
                    <w:rPr>
                      <w:rFonts w:ascii="仿宋" w:hAnsi="仿宋" w:eastAsia="仿宋" w:cs="Arial"/>
                      <w:color w:val="333333"/>
                      <w:kern w:val="0"/>
                      <w:sz w:val="24"/>
                      <w:szCs w:val="24"/>
                    </w:rPr>
                    <w:fldChar w:fldCharType="end"/>
                  </w:r>
                </w:p>
              </w:tc>
              <w:tc>
                <w:tcPr>
                  <w:tcW w:w="1533"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2017-01-25</w:t>
                  </w:r>
                </w:p>
              </w:tc>
              <w:tc>
                <w:tcPr>
                  <w:tcW w:w="1797"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2018-12-25</w:t>
                  </w:r>
                </w:p>
              </w:tc>
              <w:tc>
                <w:tcPr>
                  <w:tcW w:w="1134"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-19.39%</w:t>
                  </w:r>
                </w:p>
              </w:tc>
              <w:tc>
                <w:tcPr>
                  <w:tcW w:w="127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1143/1348</w:t>
                  </w:r>
                </w:p>
              </w:tc>
              <w:tc>
                <w:tcPr>
                  <w:tcW w:w="103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43.48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jc w:val="center"/>
              </w:trPr>
              <w:tc>
                <w:tcPr>
                  <w:tcW w:w="1126" w:type="dxa"/>
                  <w:vMerge w:val="continue"/>
                  <w:vAlign w:val="center"/>
                </w:tcPr>
                <w:p>
                  <w:pPr>
                    <w:widowControl/>
                    <w:jc w:val="center"/>
                    <w:rPr>
                      <w:rFonts w:ascii="仿宋" w:hAnsi="仿宋" w:eastAsia="仿宋" w:cs="Arial"/>
                      <w:color w:val="000000"/>
                      <w:kern w:val="0"/>
                      <w:sz w:val="24"/>
                      <w:szCs w:val="24"/>
                    </w:rPr>
                  </w:pPr>
                </w:p>
              </w:tc>
              <w:tc>
                <w:tcPr>
                  <w:tcW w:w="2067" w:type="dxa"/>
                  <w:vAlign w:val="center"/>
                </w:tcPr>
                <w:p>
                  <w:pPr>
                    <w:widowControl/>
                    <w:wordWrap w:val="0"/>
                    <w:jc w:val="center"/>
                    <w:rPr>
                      <w:rFonts w:ascii="仿宋" w:hAnsi="仿宋" w:eastAsia="仿宋" w:cs="Arial"/>
                      <w:color w:val="000000"/>
                      <w:kern w:val="0"/>
                      <w:sz w:val="24"/>
                      <w:szCs w:val="24"/>
                    </w:rPr>
                  </w:pPr>
                  <w:r>
                    <w:fldChar w:fldCharType="begin"/>
                  </w:r>
                  <w:r>
                    <w:instrText xml:space="preserve"> HYPERLINK "http://122.96.62.234/FundStaticWeb/PublicFundF9/index.html" </w:instrText>
                  </w:r>
                  <w:r>
                    <w:fldChar w:fldCharType="separate"/>
                  </w:r>
                  <w:r>
                    <w:rPr>
                      <w:rFonts w:ascii="仿宋" w:hAnsi="仿宋" w:eastAsia="仿宋" w:cs="Arial"/>
                      <w:color w:val="333333"/>
                      <w:kern w:val="0"/>
                      <w:sz w:val="24"/>
                      <w:szCs w:val="24"/>
                    </w:rPr>
                    <w:t>易方达科瑞</w:t>
                  </w:r>
                  <w:r>
                    <w:rPr>
                      <w:rFonts w:ascii="仿宋" w:hAnsi="仿宋" w:eastAsia="仿宋" w:cs="Arial"/>
                      <w:color w:val="333333"/>
                      <w:kern w:val="0"/>
                      <w:sz w:val="24"/>
                      <w:szCs w:val="24"/>
                    </w:rPr>
                    <w:fldChar w:fldCharType="end"/>
                  </w:r>
                </w:p>
              </w:tc>
              <w:tc>
                <w:tcPr>
                  <w:tcW w:w="1533"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2017-01-03</w:t>
                  </w:r>
                </w:p>
              </w:tc>
              <w:tc>
                <w:tcPr>
                  <w:tcW w:w="1797"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2017-12-27</w:t>
                  </w:r>
                </w:p>
              </w:tc>
              <w:tc>
                <w:tcPr>
                  <w:tcW w:w="1134"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15.70%</w:t>
                  </w:r>
                </w:p>
              </w:tc>
              <w:tc>
                <w:tcPr>
                  <w:tcW w:w="127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257/1315</w:t>
                  </w:r>
                </w:p>
              </w:tc>
              <w:tc>
                <w:tcPr>
                  <w:tcW w:w="1035" w:type="dxa"/>
                  <w:vAlign w:val="center"/>
                </w:tcPr>
                <w:p>
                  <w:pPr>
                    <w:widowControl/>
                    <w:wordWrap w:val="0"/>
                    <w:jc w:val="center"/>
                    <w:rPr>
                      <w:rFonts w:ascii="仿宋" w:hAnsi="仿宋" w:eastAsia="仿宋" w:cs="Arial"/>
                      <w:color w:val="000000"/>
                      <w:kern w:val="0"/>
                      <w:sz w:val="24"/>
                      <w:szCs w:val="24"/>
                    </w:rPr>
                  </w:pPr>
                  <w:r>
                    <w:rPr>
                      <w:rFonts w:ascii="仿宋" w:hAnsi="仿宋" w:eastAsia="仿宋" w:cs="Arial"/>
                      <w:color w:val="000000"/>
                      <w:kern w:val="0"/>
                      <w:sz w:val="24"/>
                      <w:szCs w:val="24"/>
                    </w:rPr>
                    <w:t>12.48</w:t>
                  </w:r>
                </w:p>
              </w:tc>
            </w:tr>
          </w:tbl>
          <w:p>
            <w:pPr>
              <w:pStyle w:val="2"/>
              <w:ind w:left="0" w:leftChars="0"/>
              <w:rPr>
                <w:rFonts w:ascii="仿宋" w:hAnsi="仿宋" w:eastAsia="仿宋" w:cs="仿宋"/>
                <w:sz w:val="24"/>
                <w:szCs w:val="24"/>
              </w:rPr>
            </w:pPr>
          </w:p>
          <w:p>
            <w:pPr>
              <w:pStyle w:val="2"/>
              <w:widowControl/>
              <w:spacing w:line="240" w:lineRule="auto"/>
              <w:ind w:left="0" w:leftChars="0"/>
              <w:jc w:val="left"/>
              <w:rPr>
                <w:rFonts w:ascii="仿宋" w:hAnsi="仿宋" w:eastAsia="仿宋" w:cs="仿宋"/>
                <w:sz w:val="24"/>
                <w:szCs w:val="24"/>
              </w:rPr>
            </w:pPr>
            <w:r>
              <w:rPr>
                <w:rFonts w:hint="eastAsia" w:ascii="仿宋" w:hAnsi="仿宋" w:eastAsia="仿宋" w:cs="仿宋"/>
                <w:sz w:val="24"/>
                <w:szCs w:val="24"/>
              </w:rPr>
              <w:t>3、投资目标及投资策略</w:t>
            </w:r>
          </w:p>
          <w:p>
            <w:pPr>
              <w:widowControl/>
              <w:spacing w:line="240" w:lineRule="auto"/>
              <w:ind w:firstLine="480" w:firstLineChars="200"/>
              <w:jc w:val="left"/>
              <w:rPr>
                <w:rFonts w:ascii="仿宋" w:hAnsi="仿宋" w:eastAsia="仿宋" w:cs="仿宋"/>
                <w:sz w:val="24"/>
                <w:szCs w:val="24"/>
              </w:rPr>
            </w:pPr>
            <w:r>
              <w:rPr>
                <w:rFonts w:hint="eastAsia" w:ascii="仿宋" w:hAnsi="仿宋" w:eastAsia="仿宋" w:cs="仿宋"/>
                <w:sz w:val="24"/>
                <w:szCs w:val="24"/>
              </w:rPr>
              <w:t>投资目标：价值理念自下而上选股，以优质公司构建核心持仓；行业配置均衡，个股适度集中，涉猎较为广泛；均衡配置构建组合，力争稳中有进的收益。</w:t>
            </w:r>
          </w:p>
          <w:p>
            <w:pPr>
              <w:widowControl/>
              <w:spacing w:line="240" w:lineRule="auto"/>
              <w:ind w:firstLine="480" w:firstLineChars="200"/>
              <w:jc w:val="left"/>
              <w:rPr>
                <w:rFonts w:ascii="仿宋" w:hAnsi="仿宋" w:eastAsia="仿宋" w:cs="仿宋"/>
                <w:sz w:val="24"/>
                <w:szCs w:val="24"/>
              </w:rPr>
            </w:pPr>
            <w:r>
              <w:rPr>
                <w:rFonts w:hint="eastAsia" w:ascii="仿宋" w:hAnsi="仿宋" w:eastAsia="仿宋" w:cs="仿宋"/>
                <w:sz w:val="24"/>
                <w:szCs w:val="24"/>
              </w:rPr>
              <w:t>配置思路：选股方面，坚持自下而上选股，关注企业的盈利能力（商业模式、壁垒、财务健康程度）、盈利持续性（行业空间和竞争力）、成长性（增速、趋势、形态、质量）、确定性（发展阶段、投资者的认知和能力圈），同时也会关注无风险利率的变化以及产业结构带来的风险溢价对资金成本的影响。组合构建方面，主要考虑解决投资者资金的预期持有期与投资机会的兑现期之间的久期错配问题。一方面重视持仓个股的盈利稳定性和弹性的均衡，实现对组合总体预期收益的控制；一方面重视持仓个股盈利确定性和仓位的均衡，实现对组合总体风险的控制；另一方面重视持仓个股底层资产相关性的适度分散，实现对组合单一风险暴露度的控制。</w:t>
            </w:r>
          </w:p>
          <w:p>
            <w:pPr>
              <w:pStyle w:val="2"/>
              <w:numPr>
                <w:ilvl w:val="0"/>
                <w:numId w:val="1"/>
              </w:numPr>
              <w:ind w:left="0" w:leftChars="0"/>
              <w:rPr>
                <w:rFonts w:ascii="仿宋" w:hAnsi="仿宋" w:eastAsia="仿宋" w:cs="仿宋"/>
              </w:rPr>
            </w:pPr>
            <w:r>
              <w:rPr>
                <w:rFonts w:hint="eastAsia" w:ascii="仿宋" w:hAnsi="仿宋" w:eastAsia="仿宋" w:cs="仿宋"/>
                <w:sz w:val="24"/>
                <w:szCs w:val="24"/>
              </w:rPr>
              <w:t>风险分析：投资策略带来的基金波动性及回撤风险较大；在风格切换的市场环境下需跟踪产品表现，关注投资经理操作思路。</w:t>
            </w:r>
          </w:p>
          <w:p>
            <w:pPr>
              <w:pStyle w:val="2"/>
              <w:numPr>
                <w:ilvl w:val="0"/>
                <w:numId w:val="1"/>
              </w:numPr>
              <w:ind w:left="0" w:leftChars="0"/>
              <w:rPr>
                <w:rFonts w:hint="eastAsia" w:ascii="仿宋" w:hAnsi="仿宋" w:eastAsia="仿宋" w:cs="仿宋"/>
                <w:sz w:val="24"/>
                <w:szCs w:val="24"/>
              </w:rPr>
            </w:pPr>
            <w:r>
              <w:rPr>
                <w:rFonts w:hint="eastAsia" w:ascii="仿宋" w:hAnsi="仿宋" w:eastAsia="仿宋" w:cs="仿宋"/>
                <w:sz w:val="24"/>
                <w:szCs w:val="24"/>
              </w:rPr>
              <w:t>申请理由：</w:t>
            </w:r>
          </w:p>
          <w:p>
            <w:pPr>
              <w:pStyle w:val="2"/>
              <w:numPr>
                <w:numId w:val="0"/>
              </w:numPr>
              <w:ind w:leftChars="0"/>
              <w:rPr>
                <w:rFonts w:ascii="仿宋" w:hAnsi="仿宋" w:eastAsia="仿宋" w:cs="仿宋"/>
              </w:rPr>
            </w:pPr>
            <w:r>
              <w:rPr>
                <w:rFonts w:hint="eastAsia" w:ascii="仿宋" w:hAnsi="仿宋" w:eastAsia="仿宋" w:cs="仿宋"/>
                <w:kern w:val="2"/>
                <w:sz w:val="24"/>
                <w:szCs w:val="24"/>
                <w:lang w:val="en-US" w:eastAsia="zh-CN" w:bidi="ar-SA"/>
              </w:rPr>
              <w:t xml:space="preserve">该基金属于灵活型的消费型基金，除了传统的食品饮料等板块，对于汽车、医药等大消费领域也有布局，且投资运作较为灵活，相较中证消费指数取得较高超额收益，建议入池作为消费类基金进行配置。 </w:t>
            </w:r>
          </w:p>
        </w:tc>
      </w:tr>
      <w:bookmarkEnd w:id="0"/>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765DBD"/>
    <w:multiLevelType w:val="singleLevel"/>
    <w:tmpl w:val="D0765DBD"/>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82591"/>
    <w:rsid w:val="00034979"/>
    <w:rsid w:val="000A6B0B"/>
    <w:rsid w:val="001474B9"/>
    <w:rsid w:val="0020410F"/>
    <w:rsid w:val="0021587E"/>
    <w:rsid w:val="002247B4"/>
    <w:rsid w:val="00296CC2"/>
    <w:rsid w:val="002A39D3"/>
    <w:rsid w:val="002D73B4"/>
    <w:rsid w:val="00303AAC"/>
    <w:rsid w:val="00333906"/>
    <w:rsid w:val="00351926"/>
    <w:rsid w:val="0038302E"/>
    <w:rsid w:val="00387DD9"/>
    <w:rsid w:val="003E4F7D"/>
    <w:rsid w:val="003F5295"/>
    <w:rsid w:val="00417039"/>
    <w:rsid w:val="00427A35"/>
    <w:rsid w:val="004816A9"/>
    <w:rsid w:val="004A0DBD"/>
    <w:rsid w:val="004A0FCB"/>
    <w:rsid w:val="004A46A1"/>
    <w:rsid w:val="004B0A95"/>
    <w:rsid w:val="004B1A4C"/>
    <w:rsid w:val="004B5148"/>
    <w:rsid w:val="004C06BA"/>
    <w:rsid w:val="004D7E6A"/>
    <w:rsid w:val="004F3F0D"/>
    <w:rsid w:val="00523D27"/>
    <w:rsid w:val="005461C5"/>
    <w:rsid w:val="0056194E"/>
    <w:rsid w:val="005A7108"/>
    <w:rsid w:val="005C1468"/>
    <w:rsid w:val="005F36CC"/>
    <w:rsid w:val="006050B0"/>
    <w:rsid w:val="00625AE2"/>
    <w:rsid w:val="00632955"/>
    <w:rsid w:val="006532B5"/>
    <w:rsid w:val="006B4BF9"/>
    <w:rsid w:val="006F4B8E"/>
    <w:rsid w:val="0074164E"/>
    <w:rsid w:val="0075012D"/>
    <w:rsid w:val="007C0FAE"/>
    <w:rsid w:val="007D6AD0"/>
    <w:rsid w:val="007F3DD0"/>
    <w:rsid w:val="00807F60"/>
    <w:rsid w:val="008C28A2"/>
    <w:rsid w:val="008D7FF8"/>
    <w:rsid w:val="00905D3A"/>
    <w:rsid w:val="00927737"/>
    <w:rsid w:val="00960CA7"/>
    <w:rsid w:val="00960E70"/>
    <w:rsid w:val="00965DB4"/>
    <w:rsid w:val="00987708"/>
    <w:rsid w:val="00A43D71"/>
    <w:rsid w:val="00A467D3"/>
    <w:rsid w:val="00A94902"/>
    <w:rsid w:val="00AF1B64"/>
    <w:rsid w:val="00B461F6"/>
    <w:rsid w:val="00B55EE3"/>
    <w:rsid w:val="00B92588"/>
    <w:rsid w:val="00BB7F80"/>
    <w:rsid w:val="00BF53E4"/>
    <w:rsid w:val="00C223FE"/>
    <w:rsid w:val="00D054FE"/>
    <w:rsid w:val="00D4105A"/>
    <w:rsid w:val="00D47B2C"/>
    <w:rsid w:val="00D53ECE"/>
    <w:rsid w:val="00D66D5E"/>
    <w:rsid w:val="00D7431B"/>
    <w:rsid w:val="00D94284"/>
    <w:rsid w:val="00E174C0"/>
    <w:rsid w:val="00E43851"/>
    <w:rsid w:val="00E6479D"/>
    <w:rsid w:val="00E91094"/>
    <w:rsid w:val="00F1159D"/>
    <w:rsid w:val="00F56E52"/>
    <w:rsid w:val="00F6533A"/>
    <w:rsid w:val="00FC3E78"/>
    <w:rsid w:val="00FD02AD"/>
    <w:rsid w:val="00FE02CA"/>
    <w:rsid w:val="00FE6F7C"/>
    <w:rsid w:val="067176BA"/>
    <w:rsid w:val="0C4F52F3"/>
    <w:rsid w:val="29840955"/>
    <w:rsid w:val="29B2760B"/>
    <w:rsid w:val="2AF82591"/>
    <w:rsid w:val="32BD592E"/>
    <w:rsid w:val="37DC1F39"/>
    <w:rsid w:val="3C3537C5"/>
    <w:rsid w:val="45331F53"/>
    <w:rsid w:val="733F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iPriority="99"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0" w:lineRule="atLeast"/>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table of authorities"/>
    <w:basedOn w:val="1"/>
    <w:next w:val="1"/>
    <w:unhideWhenUsed/>
    <w:qFormat/>
    <w:uiPriority w:val="99"/>
    <w:pPr>
      <w:ind w:left="420" w:leftChars="200"/>
    </w:pPr>
  </w:style>
  <w:style w:type="paragraph" w:styleId="3">
    <w:name w:val="footer"/>
    <w:basedOn w:val="1"/>
    <w:link w:val="10"/>
    <w:qFormat/>
    <w:uiPriority w:val="0"/>
    <w:pPr>
      <w:tabs>
        <w:tab w:val="center" w:pos="4153"/>
        <w:tab w:val="right" w:pos="8306"/>
      </w:tabs>
      <w:snapToGrid w:val="0"/>
      <w:spacing w:line="240" w:lineRule="atLeast"/>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spacing w:line="240" w:lineRule="atLeast"/>
      <w:jc w:val="center"/>
    </w:pPr>
    <w:rPr>
      <w:sz w:val="18"/>
      <w:szCs w:val="18"/>
    </w:rPr>
  </w:style>
  <w:style w:type="table" w:styleId="6">
    <w:name w:val="Table Grid"/>
    <w:basedOn w:val="5"/>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spacing w:line="240" w:lineRule="auto"/>
      <w:ind w:firstLine="420" w:firstLineChars="200"/>
    </w:pPr>
    <w:rPr>
      <w:rFonts w:asciiTheme="minorHAnsi" w:hAnsiTheme="minorHAnsi" w:eastAsiaTheme="minorEastAsia" w:cstheme="minorBidi"/>
    </w:rPr>
  </w:style>
  <w:style w:type="character" w:customStyle="1" w:styleId="9">
    <w:name w:val="页眉 字符"/>
    <w:basedOn w:val="7"/>
    <w:link w:val="4"/>
    <w:qFormat/>
    <w:uiPriority w:val="0"/>
    <w:rPr>
      <w:rFonts w:ascii="Calibri" w:hAnsi="Calibri" w:eastAsia="宋体" w:cs="Times New Roman"/>
      <w:kern w:val="2"/>
      <w:sz w:val="18"/>
      <w:szCs w:val="18"/>
    </w:rPr>
  </w:style>
  <w:style w:type="character" w:customStyle="1" w:styleId="10">
    <w:name w:val="页脚 字符"/>
    <w:basedOn w:val="7"/>
    <w:link w:val="3"/>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685</Words>
  <Characters>3906</Characters>
  <Lines>32</Lines>
  <Paragraphs>9</Paragraphs>
  <TotalTime>16</TotalTime>
  <ScaleCrop>false</ScaleCrop>
  <LinksUpToDate>false</LinksUpToDate>
  <CharactersWithSpaces>4582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2021-11-08T01:01:00Z</dcterms:created>
  <dc:creator>admin</dc:creator>
  <cp:lastModifiedBy>霓霓</cp:lastModifiedBy>
  <dcterms:modified xsi:type="dcterms:W3CDTF">2021-11-11T03:35:41Z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4DC15FEBF39F4147A21ED9239CD17D9A</vt:lpwstr>
  </property>
</Properties>
</file>