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Chars="-295" w:right="964" w:hanging="622" w:hangingChars="258"/>
        <w:jc w:val="left"/>
        <w:rPr>
          <w:rFonts w:ascii="仿宋_GB2312" w:eastAsia="仿宋_GB2312"/>
          <w:b/>
          <w:sz w:val="24"/>
        </w:rPr>
      </w:pPr>
    </w:p>
    <w:p>
      <w:pPr>
        <w:spacing w:line="276" w:lineRule="auto"/>
        <w:ind w:leftChars="-295" w:right="964" w:hanging="622" w:hangingChars="258"/>
        <w:jc w:val="left"/>
        <w:rPr>
          <w:rFonts w:ascii="仿宋_GB2312" w:eastAsia="仿宋_GB2312"/>
          <w:b/>
          <w:sz w:val="24"/>
        </w:rPr>
      </w:pPr>
      <w:r>
        <w:rPr>
          <w:rFonts w:hint="eastAsia" w:ascii="仿宋_GB2312" w:eastAsia="仿宋_GB2312"/>
          <w:b/>
          <w:sz w:val="24"/>
        </w:rPr>
        <w:t>申请日期：2021年1</w:t>
      </w:r>
      <w:r>
        <w:rPr>
          <w:rFonts w:hint="eastAsia" w:ascii="仿宋_GB2312" w:eastAsia="仿宋_GB2312"/>
          <w:b/>
          <w:sz w:val="24"/>
          <w:lang w:val="en-US" w:eastAsia="zh-CN"/>
        </w:rPr>
        <w:t>1</w:t>
      </w:r>
      <w:r>
        <w:rPr>
          <w:rFonts w:hint="eastAsia" w:ascii="仿宋_GB2312" w:eastAsia="仿宋_GB2312"/>
          <w:b/>
          <w:sz w:val="24"/>
        </w:rPr>
        <w:t>月</w:t>
      </w:r>
      <w:r>
        <w:rPr>
          <w:rFonts w:hint="eastAsia" w:ascii="仿宋_GB2312" w:eastAsia="仿宋_GB2312"/>
          <w:b/>
          <w:sz w:val="24"/>
          <w:lang w:val="en-US" w:eastAsia="zh-CN"/>
        </w:rPr>
        <w:t>1</w:t>
      </w:r>
      <w:r>
        <w:rPr>
          <w:rFonts w:hint="eastAsia" w:ascii="仿宋_GB2312" w:eastAsia="仿宋_GB2312"/>
          <w:b/>
          <w:sz w:val="24"/>
        </w:rPr>
        <w:t xml:space="preserve">日 </w:t>
      </w:r>
    </w:p>
    <w:tbl>
      <w:tblPr>
        <w:tblStyle w:val="5"/>
        <w:tblW w:w="107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1"/>
        <w:gridCol w:w="2909"/>
        <w:gridCol w:w="2148"/>
        <w:gridCol w:w="3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  <w:jc w:val="center"/>
        </w:trPr>
        <w:tc>
          <w:tcPr>
            <w:tcW w:w="10720" w:type="dxa"/>
            <w:gridSpan w:val="4"/>
            <w:shd w:val="clear" w:color="auto" w:fill="F2F2F2"/>
            <w:vAlign w:val="center"/>
          </w:tcPr>
          <w:p>
            <w:pPr>
              <w:spacing w:line="276" w:lineRule="auto"/>
              <w:jc w:val="center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</w:rPr>
              <w:t>投资申请信息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发起部门</w:t>
            </w:r>
          </w:p>
        </w:tc>
        <w:tc>
          <w:tcPr>
            <w:tcW w:w="2909" w:type="dxa"/>
            <w:vAlign w:val="center"/>
          </w:tcPr>
          <w:p>
            <w:pPr>
              <w:spacing w:line="288" w:lineRule="auto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股票投资部</w:t>
            </w:r>
          </w:p>
        </w:tc>
        <w:tc>
          <w:tcPr>
            <w:tcW w:w="2148" w:type="dxa"/>
            <w:vAlign w:val="center"/>
          </w:tcPr>
          <w:p>
            <w:pPr>
              <w:spacing w:line="288" w:lineRule="auto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发起人</w:t>
            </w:r>
          </w:p>
        </w:tc>
        <w:tc>
          <w:tcPr>
            <w:tcW w:w="3212" w:type="dxa"/>
            <w:vAlign w:val="center"/>
          </w:tcPr>
          <w:p>
            <w:pPr>
              <w:spacing w:line="288" w:lineRule="auto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倪晨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标的名称</w:t>
            </w:r>
          </w:p>
        </w:tc>
        <w:tc>
          <w:tcPr>
            <w:tcW w:w="2909" w:type="dxa"/>
            <w:vAlign w:val="center"/>
          </w:tcPr>
          <w:p>
            <w:pPr>
              <w:spacing w:line="288" w:lineRule="auto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泰达宏利成长混合（</w:t>
            </w:r>
            <w:r>
              <w:rPr>
                <w:rFonts w:ascii="仿宋_GB2312" w:hAnsi="仿宋_GB2312" w:eastAsia="仿宋_GB2312" w:cs="仿宋_GB2312"/>
                <w:sz w:val="24"/>
              </w:rPr>
              <w:t>162201</w:t>
            </w:r>
            <w:r>
              <w:rPr>
                <w:rFonts w:hint="eastAsia" w:ascii="仿宋_GB2312" w:hAnsi="仿宋_GB2312" w:eastAsia="仿宋_GB2312" w:cs="仿宋_GB2312"/>
                <w:sz w:val="24"/>
              </w:rPr>
              <w:t>）</w:t>
            </w:r>
          </w:p>
        </w:tc>
        <w:tc>
          <w:tcPr>
            <w:tcW w:w="2148" w:type="dxa"/>
            <w:vAlign w:val="center"/>
          </w:tcPr>
          <w:p>
            <w:pPr>
              <w:spacing w:line="288" w:lineRule="auto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投资币种及金额</w:t>
            </w:r>
          </w:p>
        </w:tc>
        <w:tc>
          <w:tcPr>
            <w:tcW w:w="3212" w:type="dxa"/>
            <w:vAlign w:val="center"/>
          </w:tcPr>
          <w:p>
            <w:pPr>
              <w:spacing w:line="288" w:lineRule="auto"/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不超过</w:t>
            </w:r>
            <w:r>
              <w:rPr>
                <w:rFonts w:hint="eastAsia" w:ascii="仿宋_GB2312" w:hAnsi="仿宋_GB2312" w:eastAsia="仿宋_GB2312" w:cs="仿宋_GB2312"/>
                <w:sz w:val="24"/>
                <w:lang w:val="en-US" w:eastAsia="zh-CN"/>
              </w:rPr>
              <w:t>2</w:t>
            </w:r>
            <w:r>
              <w:rPr>
                <w:rFonts w:hint="eastAsia" w:ascii="仿宋_GB2312" w:hAnsi="仿宋_GB2312" w:eastAsia="仿宋_GB2312" w:cs="仿宋_GB2312"/>
                <w:sz w:val="24"/>
              </w:rPr>
              <w:t>亿元人民币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1" w:hRule="atLeast"/>
          <w:jc w:val="center"/>
        </w:trPr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业务品种</w:t>
            </w:r>
          </w:p>
        </w:tc>
        <w:tc>
          <w:tcPr>
            <w:tcW w:w="826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仿宋_GB2312" w:hAnsi="仿宋_GB2312" w:eastAsia="仿宋_GB2312" w:cs="仿宋_GB2312"/>
                <w:b/>
                <w:sz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24"/>
                <w:lang w:val="en-US" w:eastAsia="zh-CN"/>
              </w:rPr>
              <w:t>C类业务，公募基金投资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4" w:hRule="atLeast"/>
          <w:jc w:val="center"/>
        </w:trPr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如为A、B类业务</w:t>
            </w:r>
          </w:p>
        </w:tc>
        <w:tc>
          <w:tcPr>
            <w:tcW w:w="826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both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2"/>
                <w:highlight w:val="none"/>
              </w:rPr>
              <w:t>说明本次拟申请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2"/>
                <w:highlight w:val="none"/>
                <w:lang w:val="en-US" w:eastAsia="zh-CN"/>
              </w:rPr>
              <w:t>领用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2"/>
                <w:highlight w:val="none"/>
              </w:rPr>
              <w:t>理财专项单一法人客户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2"/>
                <w:highlight w:val="none"/>
                <w:lang w:val="en-US" w:eastAsia="zh-CN"/>
              </w:rPr>
              <w:t>或集团客户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2"/>
                <w:highlight w:val="none"/>
              </w:rPr>
              <w:t>额度，以及本次业务开展后总体单一法人客户限额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2"/>
                <w:highlight w:val="none"/>
                <w:lang w:val="en-US" w:eastAsia="zh-CN"/>
              </w:rPr>
              <w:t>及集团客户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2"/>
                <w:highlight w:val="none"/>
              </w:rPr>
              <w:t>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4" w:hRule="atLeast"/>
          <w:jc w:val="center"/>
        </w:trPr>
        <w:tc>
          <w:tcPr>
            <w:tcW w:w="245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适用审批权限</w:t>
            </w:r>
          </w:p>
        </w:tc>
        <w:tc>
          <w:tcPr>
            <w:tcW w:w="826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76" w:lineRule="auto"/>
              <w:jc w:val="both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z w:val="24"/>
                <w:highlight w:val="none"/>
                <w:lang w:val="en-US" w:eastAsia="zh-CN"/>
              </w:rPr>
              <w:t>根据投审办法及授权办法，货币基金80亿元以内的投资审批，公司分管副总经理为有权审批人。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2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证券代码</w:t>
            </w:r>
          </w:p>
        </w:tc>
        <w:tc>
          <w:tcPr>
            <w:tcW w:w="2909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ascii="仿宋_GB2312" w:hAnsi="仿宋_GB2312" w:eastAsia="仿宋_GB2312" w:cs="仿宋_GB2312"/>
                <w:sz w:val="24"/>
              </w:rPr>
              <w:t>162201</w:t>
            </w:r>
          </w:p>
        </w:tc>
        <w:tc>
          <w:tcPr>
            <w:tcW w:w="2148" w:type="dxa"/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证券简称</w:t>
            </w:r>
          </w:p>
        </w:tc>
        <w:tc>
          <w:tcPr>
            <w:tcW w:w="3212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highlight w:val="yellow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泰达宏利成长混合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发行人/原始权益人</w:t>
            </w:r>
          </w:p>
        </w:tc>
        <w:tc>
          <w:tcPr>
            <w:tcW w:w="2909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</w:tc>
        <w:tc>
          <w:tcPr>
            <w:tcW w:w="2148" w:type="dxa"/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管理人</w:t>
            </w:r>
          </w:p>
        </w:tc>
        <w:tc>
          <w:tcPr>
            <w:tcW w:w="3212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</w:rPr>
              <w:t>泰达宏利基金管理有限公司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451" w:type="dxa"/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承担实质风险主体</w:t>
            </w:r>
          </w:p>
        </w:tc>
        <w:tc>
          <w:tcPr>
            <w:tcW w:w="2909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</w:tc>
        <w:tc>
          <w:tcPr>
            <w:tcW w:w="2148" w:type="dxa"/>
            <w:vAlign w:val="center"/>
          </w:tcPr>
          <w:p>
            <w:pPr>
              <w:spacing w:line="276" w:lineRule="auto"/>
              <w:rPr>
                <w:rFonts w:ascii="仿宋_GB2312" w:hAnsi="仿宋_GB2312" w:eastAsia="仿宋_GB2312" w:cs="仿宋_GB2312"/>
                <w:b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</w:rPr>
              <w:t>有效期</w:t>
            </w:r>
          </w:p>
        </w:tc>
        <w:tc>
          <w:tcPr>
            <w:tcW w:w="3212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42" w:hRule="atLeast"/>
          <w:jc w:val="center"/>
        </w:trPr>
        <w:tc>
          <w:tcPr>
            <w:tcW w:w="10720" w:type="dxa"/>
            <w:gridSpan w:val="4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仿宋" w:hAnsi="仿宋" w:eastAsia="仿宋" w:cs="仿宋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一、基金公司情况</w:t>
            </w:r>
          </w:p>
          <w:p>
            <w:pPr>
              <w:widowControl/>
              <w:spacing w:line="240" w:lineRule="auto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泰达宏利基金管理有限公司成立于2002年6月，是中国首批合资基金管理公司之一，注册资本1.8亿元人民币。具有公募基金管理、专户管理、QDII等业务资格，具备综合管理多元化资产的能力。在吸取外方股东全球投资智慧以及深刻认知中国资本市场的基础上，公司建立并拥有了一整套科学严谨的内控体系，并且在十余年的实践中积累了丰富的投资管理经验，取得了良好的长期投资业绩，赢得了投资者的信任，重大风险事件多年保持为零。公司旗下管理的产品类型丰富，具有较为完善的产品线可供选择。</w:t>
            </w:r>
          </w:p>
          <w:p>
            <w:pPr>
              <w:widowControl/>
              <w:spacing w:line="240" w:lineRule="auto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公司投研人员共48人，其中博士3人，硕士44人，学士1人。基金经理共计18人，专户投资经理共计5人，研究员共计19人，投研体系建设完善。截至2021年9月30日，公司管理公募资产总规模529.64亿元，其中非货币基金385.81亿、股票及混合型基金215.65亿元。</w:t>
            </w:r>
          </w:p>
          <w:p>
            <w:pPr>
              <w:pStyle w:val="2"/>
              <w:widowControl/>
              <w:spacing w:line="240" w:lineRule="auto"/>
              <w:ind w:left="0" w:leftChars="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2"/>
              <w:widowControl/>
              <w:spacing w:line="240" w:lineRule="auto"/>
              <w:ind w:left="0" w:leftChars="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二、基金基本信息</w:t>
            </w:r>
          </w:p>
          <w:p>
            <w:pPr>
              <w:pStyle w:val="2"/>
              <w:widowControl/>
              <w:spacing w:line="240" w:lineRule="auto"/>
              <w:ind w:left="0" w:leftChars="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1、规模情况：基金经理当前管理总规模为95亿元，其中泰达宏利成长基金当前规模为12.1亿元（10月29日）</w:t>
            </w:r>
          </w:p>
          <w:tbl>
            <w:tblPr>
              <w:tblStyle w:val="5"/>
              <w:tblW w:w="10081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0"/>
              <w:gridCol w:w="1270"/>
              <w:gridCol w:w="1270"/>
              <w:gridCol w:w="1270"/>
              <w:gridCol w:w="1270"/>
              <w:gridCol w:w="1270"/>
              <w:gridCol w:w="1270"/>
              <w:gridCol w:w="1191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3" w:hRule="atLeast"/>
                <w:jc w:val="center"/>
              </w:trPr>
              <w:tc>
                <w:tcPr>
                  <w:tcW w:w="10081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泰达宏利成长基金规模变动情况（亿元）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3" w:hRule="atLeast"/>
                <w:jc w:val="center"/>
              </w:trPr>
              <w:tc>
                <w:tcPr>
                  <w:tcW w:w="127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20210930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20210630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20210331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20201231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20200930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20200630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20200331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20191231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3" w:hRule="atLeast"/>
                <w:jc w:val="center"/>
              </w:trPr>
              <w:tc>
                <w:tcPr>
                  <w:tcW w:w="127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9.66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7.2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4.74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7.28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7.93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9.43</w:t>
                  </w:r>
                </w:p>
              </w:tc>
              <w:tc>
                <w:tcPr>
                  <w:tcW w:w="127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9.14</w:t>
                  </w:r>
                </w:p>
              </w:tc>
              <w:tc>
                <w:tcPr>
                  <w:tcW w:w="119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8.36</w:t>
                  </w:r>
                </w:p>
              </w:tc>
            </w:tr>
          </w:tbl>
          <w:p>
            <w:pPr>
              <w:pStyle w:val="2"/>
              <w:widowControl/>
              <w:spacing w:line="240" w:lineRule="auto"/>
              <w:ind w:left="0" w:leftChars="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、仓位及集中度情况：基金经理整体仓位维持较高，持续位于90%以上。21年三季报披露前十大重仓股占比55.99%，集中度适中，持仓相对重仓了新能源板块的个股，其中诺德股份、天赐材料、精达股份和中国宝安持仓占比超过6%。</w:t>
            </w:r>
          </w:p>
          <w:tbl>
            <w:tblPr>
              <w:tblStyle w:val="5"/>
              <w:tblW w:w="6727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415"/>
              <w:gridCol w:w="331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672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泰达宏利成长基金21年三季度前十大持股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股票名称</w:t>
                  </w:r>
                </w:p>
              </w:tc>
              <w:tc>
                <w:tcPr>
                  <w:tcW w:w="3312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占净资产比例（%）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诺德股份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8.21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天赐材料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6.24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精达股份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6.2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中国宝安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6.14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0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德方纳米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5.72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天顺风能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5.18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璞泰来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4.92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运达股份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4.51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恩捷股份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4.5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大金重工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4.37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4" w:hRule="atLeast"/>
                <w:jc w:val="center"/>
              </w:trPr>
              <w:tc>
                <w:tcPr>
                  <w:tcW w:w="341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前十大重仓股总计</w:t>
                  </w:r>
                </w:p>
              </w:tc>
              <w:tc>
                <w:tcPr>
                  <w:tcW w:w="331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bottom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55.99</w:t>
                  </w:r>
                </w:p>
              </w:tc>
            </w:tr>
          </w:tbl>
          <w:p>
            <w:pPr>
              <w:widowControl/>
              <w:spacing w:line="24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3、产品费率结构：</w:t>
            </w:r>
          </w:p>
          <w:tbl>
            <w:tblPr>
              <w:tblStyle w:val="5"/>
              <w:tblW w:w="9567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76"/>
              <w:gridCol w:w="1076"/>
              <w:gridCol w:w="1076"/>
              <w:gridCol w:w="2890"/>
              <w:gridCol w:w="344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1" w:hRule="atLeast"/>
                <w:jc w:val="center"/>
              </w:trPr>
              <w:tc>
                <w:tcPr>
                  <w:tcW w:w="107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基金费率</w:t>
                  </w:r>
                </w:p>
              </w:tc>
              <w:tc>
                <w:tcPr>
                  <w:tcW w:w="107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管理费</w:t>
                  </w:r>
                </w:p>
              </w:tc>
              <w:tc>
                <w:tcPr>
                  <w:tcW w:w="1076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托管费</w:t>
                  </w:r>
                </w:p>
              </w:tc>
              <w:tc>
                <w:tcPr>
                  <w:tcW w:w="28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申购费</w:t>
                  </w:r>
                </w:p>
              </w:tc>
              <w:tc>
                <w:tcPr>
                  <w:tcW w:w="344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赎回费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13" w:hRule="atLeast"/>
                <w:jc w:val="center"/>
              </w:trPr>
              <w:tc>
                <w:tcPr>
                  <w:tcW w:w="1076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泰达宏利成长混合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1.50%</w:t>
                  </w:r>
                </w:p>
              </w:tc>
              <w:tc>
                <w:tcPr>
                  <w:tcW w:w="1076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0.25%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1000万元以上 1000元/笔</w:t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1000万元以上 1000元/笔,养老金客户通过直销柜台实施特定申购费率</w:t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50万元以下 1.5%</w:t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50~250万元 1.2%</w:t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250~500万元 0.75%</w:t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500~1000万元 0.5%</w:t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50万元以下 0.375%</w:t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50~250万元 0.3%</w:t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250~500万元 0.1875%</w:t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br w:type="textWrapping"/>
                  </w: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500~1000万元 0.125%</w:t>
                  </w:r>
                </w:p>
              </w:tc>
              <w:tc>
                <w:tcPr>
                  <w:tcW w:w="344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普通投资群体:1~6日 1.5%;</w:t>
                  </w:r>
                </w:p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普通投资群体:7~365日 0.5%;</w:t>
                  </w:r>
                </w:p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普通投资群体:366~730日 0.25%;</w:t>
                  </w:r>
                </w:p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普通投资群体:731日以上 0%</w:t>
                  </w:r>
                </w:p>
              </w:tc>
            </w:tr>
          </w:tbl>
          <w:p>
            <w:pPr>
              <w:pStyle w:val="2"/>
              <w:widowControl/>
              <w:spacing w:line="240" w:lineRule="auto"/>
              <w:ind w:left="0" w:leftChars="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4、产品持有人结构：2021年半年报显示，机构投资者占比2.03%，持有人结构分散，流动性风险较低。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spacing w:line="24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三、投资经理及策略情况</w:t>
            </w:r>
          </w:p>
          <w:p>
            <w:pPr>
              <w:widowControl/>
              <w:spacing w:line="24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、基金经理：泰达宏利成长混合（162201）基金经理王鹏毕业于清华大学微电子专业，9年投研经验，研究经历涉及电子、传媒、通讯、计算机及家电行业。年限适中，经验丰富同时积极性高，业绩诉求强。风格明晰，稳定性强，长期业绩优秀。该基金经理自下而上捕捉细分赛道高成长性标的能力突出，旗下基金产品成长风格极致，是较好的配置工具。该基金经理曾任公司成长组研究组长，对成长行业认识深刻，公司设置了专职研究员辅助配合，在投研资源及激励措施上做了明显倾斜、重点支持。</w:t>
            </w:r>
          </w:p>
          <w:p>
            <w:pPr>
              <w:widowControl/>
              <w:spacing w:line="24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、基金经理业绩情况：代表产品泰达宏利转型机遇（000828）近三年累计收益527%（截至2021.10.29），全市场同类基金排名第一；王鹏自2020年12月28日开始管理泰达宏利成长基金，2021年该基金收益率71.01%，同期同类排名15/2066（wind，截至2021年10月29日）。</w:t>
            </w:r>
          </w:p>
          <w:p>
            <w:pPr>
              <w:pStyle w:val="2"/>
              <w:ind w:left="0" w:leftChars="0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2"/>
              <w:ind w:left="0" w:leftChars="0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tbl>
            <w:tblPr>
              <w:tblStyle w:val="5"/>
              <w:tblW w:w="7388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85"/>
              <w:gridCol w:w="851"/>
              <w:gridCol w:w="992"/>
              <w:gridCol w:w="992"/>
              <w:gridCol w:w="1134"/>
              <w:gridCol w:w="1134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7388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王鹏管理基金业绩情况（%）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2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年份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2019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2018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管理以来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2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泰达宏利转型机遇A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80.27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104.9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71.23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-29.88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349.39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2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普通股票型基金指数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9.4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57.99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47.1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-24.67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2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沪深300指数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-5.81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27.21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36.07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-25.31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2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同类排名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2/544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21/395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34/331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203/270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　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5" w:hRule="atLeast"/>
                <w:jc w:val="center"/>
              </w:trPr>
              <w:tc>
                <w:tcPr>
                  <w:tcW w:w="2285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泰达宏利成长基金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70.01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</w:tcPr>
                <w:p>
                  <w:pPr>
                    <w:widowControl/>
                    <w:spacing w:line="240" w:lineRule="auto"/>
                    <w:jc w:val="center"/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</w:pPr>
                  <w:r>
                    <w:rPr>
                      <w:rFonts w:hint="eastAsia" w:ascii="仿宋" w:hAnsi="仿宋" w:eastAsia="仿宋" w:cs="仿宋"/>
                      <w:sz w:val="24"/>
                      <w:szCs w:val="24"/>
                    </w:rPr>
                    <w:t>76.84</w:t>
                  </w:r>
                </w:p>
              </w:tc>
            </w:tr>
          </w:tbl>
          <w:p>
            <w:pPr>
              <w:pStyle w:val="2"/>
              <w:widowControl/>
              <w:spacing w:line="240" w:lineRule="auto"/>
              <w:ind w:left="0" w:leftChars="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3、投资目标及投资策略</w:t>
            </w:r>
          </w:p>
          <w:p>
            <w:pPr>
              <w:pStyle w:val="2"/>
              <w:widowControl/>
              <w:spacing w:line="240" w:lineRule="auto"/>
              <w:ind w:left="0" w:leftChars="0"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投资目标：每年净值增长排名行业前20%；追求产品高收益，愿意承担短期波动；做主动行业轮动，短期行业集中，最终希望能够形成全天侯投资能力。</w:t>
            </w:r>
          </w:p>
          <w:p>
            <w:pPr>
              <w:widowControl/>
              <w:spacing w:line="240" w:lineRule="auto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配置思路：投资策略概括为投资景气龙头，追求戴维斯双击。通过行业比较，选择配置2-3年维度（预期）景气上行的5个左右板块，作为本年度核心研究。2-3年维度的中长期趋势导致右侧投资也能赚钱，提高成功率。5个左右板块，降低犯错概率和波动率。选股思路：忽略弹性，选择景气行业中竞争格局最好的环节，确定性享受行业β。景气和估值考量上，多数时间景气趋势判断&gt;估值判断。卖出思路：1）支撑行业景气的因子发生不好变化——卖出；2）市值达到可理解的最乐观情况——减仓；利用“交易保护”降低景气判断错误造成的损失。</w:t>
            </w:r>
          </w:p>
          <w:p>
            <w:pPr>
              <w:pStyle w:val="2"/>
              <w:widowControl/>
              <w:spacing w:line="240" w:lineRule="auto"/>
              <w:ind w:left="0" w:leftChars="0"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当前市场观点及持仓情况：投资经理认为新能源行业景气持续，且有较大概率超预期，持仓主要集中于相关行业。目前新能源占比50%，预期景气持续；风电占比25%，预期景气反转；光伏占比10%，预期景气增强。消费医药等行业主要关注业绩增速中枢不下移或边际改善标的。对于明年因上游成本压力缓解带来经营改善的行业重点关注。</w:t>
            </w:r>
          </w:p>
          <w:p>
            <w:pPr>
              <w:widowControl/>
              <w:numPr>
                <w:ilvl w:val="0"/>
                <w:numId w:val="1"/>
              </w:numPr>
              <w:spacing w:line="240" w:lineRule="auto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风险分析：投资策略带来基金的波动性及回撤风险较大；在风格切换的市场环境下需跟踪产品表现，关注投资经理操作思路。</w:t>
            </w:r>
          </w:p>
          <w:p>
            <w:pPr>
              <w:pStyle w:val="2"/>
              <w:numPr>
                <w:numId w:val="0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4"/>
                <w:szCs w:val="24"/>
                <w:lang w:val="en-US" w:eastAsia="zh-CN" w:bidi="ar-SA"/>
              </w:rPr>
              <w:t>五、申请理由：因该基金经理在池基金为其代表产品泰达宏利转型机遇（000828），该基金于2021年10月份限制大额申购，现申请同基金经理管理的同策略基金入池。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765DBD"/>
    <w:multiLevelType w:val="singleLevel"/>
    <w:tmpl w:val="D0765DB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82591"/>
    <w:rsid w:val="001474B9"/>
    <w:rsid w:val="0020410F"/>
    <w:rsid w:val="002247B4"/>
    <w:rsid w:val="00296CC2"/>
    <w:rsid w:val="002A39D3"/>
    <w:rsid w:val="002D73B4"/>
    <w:rsid w:val="00333906"/>
    <w:rsid w:val="0038302E"/>
    <w:rsid w:val="00387DD9"/>
    <w:rsid w:val="003E4F7D"/>
    <w:rsid w:val="003F5295"/>
    <w:rsid w:val="00417039"/>
    <w:rsid w:val="004816A9"/>
    <w:rsid w:val="004A0DBD"/>
    <w:rsid w:val="004A0FCB"/>
    <w:rsid w:val="004A46A1"/>
    <w:rsid w:val="004B0A95"/>
    <w:rsid w:val="004B1A4C"/>
    <w:rsid w:val="004B5148"/>
    <w:rsid w:val="004C06BA"/>
    <w:rsid w:val="004D7E6A"/>
    <w:rsid w:val="00523D27"/>
    <w:rsid w:val="005461C5"/>
    <w:rsid w:val="005A7108"/>
    <w:rsid w:val="005C1468"/>
    <w:rsid w:val="006050B0"/>
    <w:rsid w:val="00625AE2"/>
    <w:rsid w:val="006B4BF9"/>
    <w:rsid w:val="006F4B8E"/>
    <w:rsid w:val="007C0FAE"/>
    <w:rsid w:val="00807F60"/>
    <w:rsid w:val="00905D3A"/>
    <w:rsid w:val="00927737"/>
    <w:rsid w:val="00960CA7"/>
    <w:rsid w:val="00960E70"/>
    <w:rsid w:val="00965DB4"/>
    <w:rsid w:val="00987708"/>
    <w:rsid w:val="00A43D71"/>
    <w:rsid w:val="00A467D3"/>
    <w:rsid w:val="00A94902"/>
    <w:rsid w:val="00AF1B64"/>
    <w:rsid w:val="00B461F6"/>
    <w:rsid w:val="00B92588"/>
    <w:rsid w:val="00BB7F80"/>
    <w:rsid w:val="00BF53E4"/>
    <w:rsid w:val="00C223FE"/>
    <w:rsid w:val="00D054FE"/>
    <w:rsid w:val="00D47B2C"/>
    <w:rsid w:val="00D53ECE"/>
    <w:rsid w:val="00D94284"/>
    <w:rsid w:val="00E43851"/>
    <w:rsid w:val="00E6479D"/>
    <w:rsid w:val="00E91094"/>
    <w:rsid w:val="00F56E52"/>
    <w:rsid w:val="00FC3E78"/>
    <w:rsid w:val="00FD02AD"/>
    <w:rsid w:val="00FE02CA"/>
    <w:rsid w:val="067176BA"/>
    <w:rsid w:val="0C4F52F3"/>
    <w:rsid w:val="29840955"/>
    <w:rsid w:val="29B2760B"/>
    <w:rsid w:val="2AF82591"/>
    <w:rsid w:val="32BD592E"/>
    <w:rsid w:val="3C3537C5"/>
    <w:rsid w:val="45331F53"/>
    <w:rsid w:val="733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iPriority="99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0" w:lineRule="atLeas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able of authorities"/>
    <w:basedOn w:val="1"/>
    <w:next w:val="1"/>
    <w:unhideWhenUsed/>
    <w:qFormat/>
    <w:uiPriority w:val="99"/>
    <w:pPr>
      <w:ind w:left="420" w:leftChars="200"/>
    </w:p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8">
    <w:name w:val="页眉 字符"/>
    <w:basedOn w:val="6"/>
    <w:link w:val="4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447</Words>
  <Characters>2554</Characters>
  <Lines>21</Lines>
  <Paragraphs>5</Paragraphs>
  <TotalTime>124</TotalTime>
  <ScaleCrop>false</ScaleCrop>
  <LinksUpToDate>false</LinksUpToDate>
  <CharactersWithSpaces>2996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2021-10-29T11:25:00Z</dcterms:created>
  <dc:creator>admin</dc:creator>
  <cp:lastModifiedBy>霓霓</cp:lastModifiedBy>
  <dcterms:modified xsi:type="dcterms:W3CDTF">2021-11-01T03:11:50Z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4DC15FEBF39F4147A21ED9239CD17D9A</vt:lpwstr>
  </property>
</Properties>
</file>