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CE22" w14:textId="77777777" w:rsidR="00303AAC" w:rsidRDefault="00303AAC">
      <w:pPr>
        <w:spacing w:line="276" w:lineRule="auto"/>
        <w:ind w:leftChars="-295" w:left="3" w:right="964" w:hangingChars="258" w:hanging="622"/>
        <w:jc w:val="left"/>
        <w:rPr>
          <w:rFonts w:ascii="仿宋_GB2312" w:eastAsia="仿宋_GB2312"/>
          <w:b/>
          <w:sz w:val="24"/>
        </w:rPr>
      </w:pPr>
    </w:p>
    <w:p w14:paraId="135AB037" w14:textId="0FA5BF9A" w:rsidR="00303AAC" w:rsidRDefault="00B55EE3">
      <w:pPr>
        <w:spacing w:line="276" w:lineRule="auto"/>
        <w:ind w:leftChars="-295" w:left="3" w:right="964" w:hangingChars="258" w:hanging="622"/>
        <w:jc w:val="lef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申请日期：2021年11月</w:t>
      </w:r>
      <w:r w:rsidR="006A1B64">
        <w:rPr>
          <w:rFonts w:ascii="仿宋_GB2312" w:eastAsia="仿宋_GB2312"/>
          <w:b/>
          <w:sz w:val="24"/>
        </w:rPr>
        <w:t>11</w:t>
      </w:r>
      <w:r>
        <w:rPr>
          <w:rFonts w:ascii="仿宋_GB2312" w:eastAsia="仿宋_GB2312" w:hint="eastAsia"/>
          <w:b/>
          <w:sz w:val="24"/>
        </w:rPr>
        <w:t xml:space="preserve">日 </w:t>
      </w:r>
    </w:p>
    <w:tbl>
      <w:tblPr>
        <w:tblW w:w="10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1"/>
        <w:gridCol w:w="2909"/>
        <w:gridCol w:w="2148"/>
        <w:gridCol w:w="3212"/>
      </w:tblGrid>
      <w:tr w:rsidR="00303AAC" w14:paraId="07728B57" w14:textId="77777777">
        <w:trPr>
          <w:trHeight w:val="670"/>
          <w:jc w:val="center"/>
        </w:trPr>
        <w:tc>
          <w:tcPr>
            <w:tcW w:w="10720" w:type="dxa"/>
            <w:gridSpan w:val="4"/>
            <w:shd w:val="clear" w:color="auto" w:fill="F2F2F2"/>
            <w:vAlign w:val="center"/>
          </w:tcPr>
          <w:p w14:paraId="1926FADC" w14:textId="77777777" w:rsidR="00303AAC" w:rsidRDefault="00B55EE3">
            <w:pPr>
              <w:spacing w:line="276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投资申请信息</w:t>
            </w:r>
          </w:p>
        </w:tc>
      </w:tr>
      <w:tr w:rsidR="00303AAC" w14:paraId="1211911C" w14:textId="77777777">
        <w:trPr>
          <w:trHeight w:val="406"/>
          <w:jc w:val="center"/>
        </w:trPr>
        <w:tc>
          <w:tcPr>
            <w:tcW w:w="2451" w:type="dxa"/>
            <w:vAlign w:val="center"/>
          </w:tcPr>
          <w:p w14:paraId="50582BAC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发起部门</w:t>
            </w:r>
          </w:p>
        </w:tc>
        <w:tc>
          <w:tcPr>
            <w:tcW w:w="2909" w:type="dxa"/>
            <w:vAlign w:val="center"/>
          </w:tcPr>
          <w:p w14:paraId="61903F9F" w14:textId="77777777" w:rsidR="00303AAC" w:rsidRDefault="00B55EE3">
            <w:pPr>
              <w:spacing w:line="288" w:lineRule="auto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股票投资部</w:t>
            </w:r>
          </w:p>
        </w:tc>
        <w:tc>
          <w:tcPr>
            <w:tcW w:w="2148" w:type="dxa"/>
            <w:vAlign w:val="center"/>
          </w:tcPr>
          <w:p w14:paraId="75E5A44E" w14:textId="77777777" w:rsidR="00303AAC" w:rsidRDefault="00B55EE3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发起人</w:t>
            </w:r>
          </w:p>
        </w:tc>
        <w:tc>
          <w:tcPr>
            <w:tcW w:w="3212" w:type="dxa"/>
            <w:vAlign w:val="center"/>
          </w:tcPr>
          <w:p w14:paraId="05DD339C" w14:textId="77777777" w:rsidR="00303AAC" w:rsidRDefault="00B55EE3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倪晨</w:t>
            </w:r>
          </w:p>
        </w:tc>
      </w:tr>
      <w:tr w:rsidR="00303AAC" w14:paraId="39E579B9" w14:textId="77777777">
        <w:trPr>
          <w:trHeight w:val="406"/>
          <w:jc w:val="center"/>
        </w:trPr>
        <w:tc>
          <w:tcPr>
            <w:tcW w:w="2451" w:type="dxa"/>
            <w:vAlign w:val="center"/>
          </w:tcPr>
          <w:p w14:paraId="46F8A3CE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标的名称</w:t>
            </w:r>
          </w:p>
        </w:tc>
        <w:tc>
          <w:tcPr>
            <w:tcW w:w="2909" w:type="dxa"/>
            <w:vAlign w:val="center"/>
          </w:tcPr>
          <w:p w14:paraId="3330DDB5" w14:textId="77777777" w:rsidR="00911DDE" w:rsidRDefault="00911DDE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 w:rsidRPr="00911DDE">
              <w:rPr>
                <w:rFonts w:ascii="仿宋_GB2312" w:eastAsia="仿宋_GB2312" w:hAnsi="仿宋_GB2312" w:cs="仿宋_GB2312" w:hint="eastAsia"/>
                <w:sz w:val="24"/>
              </w:rPr>
              <w:t>浦银安盛价值精选</w:t>
            </w:r>
          </w:p>
          <w:p w14:paraId="4BB0FE5C" w14:textId="74B6480F" w:rsidR="00303AAC" w:rsidRDefault="00911DDE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/>
                <w:sz w:val="24"/>
              </w:rPr>
              <w:t>A</w:t>
            </w:r>
            <w:r w:rsidRPr="00911DDE">
              <w:rPr>
                <w:rFonts w:ascii="仿宋_GB2312" w:eastAsia="仿宋_GB2312" w:hAnsi="仿宋_GB2312" w:cs="仿宋_GB2312" w:hint="eastAsia"/>
                <w:sz w:val="24"/>
              </w:rPr>
              <w:t>（009368）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/C</w:t>
            </w:r>
            <w:r w:rsidRPr="00911DDE">
              <w:rPr>
                <w:rFonts w:ascii="仿宋_GB2312" w:eastAsia="仿宋_GB2312" w:hAnsi="仿宋_GB2312" w:cs="仿宋_GB2312" w:hint="eastAsia"/>
                <w:sz w:val="24"/>
              </w:rPr>
              <w:t>（00936</w:t>
            </w:r>
            <w:r>
              <w:rPr>
                <w:rFonts w:ascii="仿宋_GB2312" w:eastAsia="仿宋_GB2312" w:hAnsi="仿宋_GB2312" w:cs="仿宋_GB2312"/>
                <w:sz w:val="24"/>
              </w:rPr>
              <w:t>9</w:t>
            </w:r>
            <w:r w:rsidRPr="00911DDE"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  <w:tc>
          <w:tcPr>
            <w:tcW w:w="2148" w:type="dxa"/>
            <w:vAlign w:val="center"/>
          </w:tcPr>
          <w:p w14:paraId="601AF82C" w14:textId="77777777" w:rsidR="00303AAC" w:rsidRDefault="00B55EE3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投资币种及金额</w:t>
            </w:r>
          </w:p>
        </w:tc>
        <w:tc>
          <w:tcPr>
            <w:tcW w:w="3212" w:type="dxa"/>
            <w:vAlign w:val="center"/>
          </w:tcPr>
          <w:p w14:paraId="05AF8748" w14:textId="713C06D7" w:rsidR="00303AAC" w:rsidRDefault="00B55EE3">
            <w:pPr>
              <w:spacing w:line="288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不超过</w:t>
            </w:r>
            <w:r w:rsidR="006A1B64">
              <w:rPr>
                <w:rFonts w:ascii="仿宋_GB2312" w:eastAsia="仿宋_GB2312" w:hAnsi="仿宋_GB2312" w:cs="仿宋_GB2312"/>
                <w:sz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亿元人民币</w:t>
            </w:r>
          </w:p>
        </w:tc>
      </w:tr>
      <w:tr w:rsidR="00303AAC" w14:paraId="6F9B1E69" w14:textId="77777777">
        <w:trPr>
          <w:trHeight w:val="611"/>
          <w:jc w:val="center"/>
        </w:trPr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B7A43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业务品种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E1DD4" w14:textId="77777777" w:rsidR="00303AAC" w:rsidRDefault="00B55EE3">
            <w:pPr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C类业务，公募基金投资</w:t>
            </w:r>
          </w:p>
        </w:tc>
      </w:tr>
      <w:tr w:rsidR="00303AAC" w14:paraId="3949A154" w14:textId="77777777">
        <w:trPr>
          <w:trHeight w:val="434"/>
          <w:jc w:val="center"/>
        </w:trPr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A9E87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如为A、B类业务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0689A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说明本次拟申请领用理财专项单一法人客户或集团客户额度，以及本次业务开展后总体单一法人客户限额及集团客户情况。</w:t>
            </w:r>
          </w:p>
        </w:tc>
      </w:tr>
      <w:tr w:rsidR="00303AAC" w14:paraId="46EC492C" w14:textId="77777777">
        <w:trPr>
          <w:trHeight w:val="434"/>
          <w:jc w:val="center"/>
        </w:trPr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EF4FF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适用审批权限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9C08A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根据投审办法及授权办法，货币基金80亿元以内的投资审批，公司分管副总经理为有权审批人。</w:t>
            </w:r>
          </w:p>
        </w:tc>
      </w:tr>
      <w:tr w:rsidR="00303AAC" w14:paraId="23DE0AEC" w14:textId="77777777">
        <w:trPr>
          <w:trHeight w:val="482"/>
          <w:jc w:val="center"/>
        </w:trPr>
        <w:tc>
          <w:tcPr>
            <w:tcW w:w="2451" w:type="dxa"/>
            <w:vAlign w:val="center"/>
          </w:tcPr>
          <w:p w14:paraId="71BFEB0F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证券代码</w:t>
            </w:r>
          </w:p>
        </w:tc>
        <w:tc>
          <w:tcPr>
            <w:tcW w:w="2909" w:type="dxa"/>
            <w:vAlign w:val="center"/>
          </w:tcPr>
          <w:p w14:paraId="6AA982A0" w14:textId="63E54FEA" w:rsidR="00303AAC" w:rsidRDefault="00911DDE">
            <w:pPr>
              <w:rPr>
                <w:rFonts w:ascii="仿宋_GB2312" w:eastAsia="仿宋_GB2312" w:hAnsi="仿宋_GB2312" w:cs="仿宋_GB2312"/>
                <w:sz w:val="24"/>
              </w:rPr>
            </w:pPr>
            <w:r w:rsidRPr="00911DDE">
              <w:rPr>
                <w:rFonts w:ascii="仿宋_GB2312" w:eastAsia="仿宋_GB2312" w:hAnsi="仿宋_GB2312" w:cs="仿宋_GB2312" w:hint="eastAsia"/>
                <w:sz w:val="24"/>
              </w:rPr>
              <w:t>A（009368）/C（009369）</w:t>
            </w:r>
          </w:p>
        </w:tc>
        <w:tc>
          <w:tcPr>
            <w:tcW w:w="2148" w:type="dxa"/>
            <w:vAlign w:val="center"/>
          </w:tcPr>
          <w:p w14:paraId="04052EC9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证券简称</w:t>
            </w:r>
          </w:p>
        </w:tc>
        <w:tc>
          <w:tcPr>
            <w:tcW w:w="3212" w:type="dxa"/>
            <w:vAlign w:val="center"/>
          </w:tcPr>
          <w:p w14:paraId="55E095C2" w14:textId="3944E327" w:rsidR="00303AAC" w:rsidRDefault="00911DDE">
            <w:pPr>
              <w:rPr>
                <w:rFonts w:ascii="仿宋_GB2312" w:eastAsia="仿宋_GB2312" w:hAnsi="仿宋_GB2312" w:cs="仿宋_GB2312"/>
                <w:sz w:val="24"/>
                <w:highlight w:val="yellow"/>
              </w:rPr>
            </w:pPr>
            <w:r w:rsidRPr="00911DDE">
              <w:rPr>
                <w:rFonts w:ascii="仿宋_GB2312" w:eastAsia="仿宋_GB2312" w:hAnsi="仿宋_GB2312" w:cs="仿宋_GB2312" w:hint="eastAsia"/>
                <w:sz w:val="24"/>
              </w:rPr>
              <w:t>浦银安盛价值精选</w:t>
            </w:r>
          </w:p>
        </w:tc>
      </w:tr>
      <w:tr w:rsidR="00303AAC" w14:paraId="34FB67FD" w14:textId="77777777">
        <w:trPr>
          <w:trHeight w:val="482"/>
          <w:jc w:val="center"/>
        </w:trPr>
        <w:tc>
          <w:tcPr>
            <w:tcW w:w="2451" w:type="dxa"/>
            <w:vAlign w:val="center"/>
          </w:tcPr>
          <w:p w14:paraId="1855B23D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发行人/原始权益人</w:t>
            </w:r>
          </w:p>
        </w:tc>
        <w:tc>
          <w:tcPr>
            <w:tcW w:w="2909" w:type="dxa"/>
            <w:vAlign w:val="center"/>
          </w:tcPr>
          <w:p w14:paraId="2AA391F9" w14:textId="77777777" w:rsidR="00303AAC" w:rsidRDefault="00303AAC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148" w:type="dxa"/>
            <w:vAlign w:val="center"/>
          </w:tcPr>
          <w:p w14:paraId="6023BFB1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管理人</w:t>
            </w:r>
          </w:p>
        </w:tc>
        <w:tc>
          <w:tcPr>
            <w:tcW w:w="3212" w:type="dxa"/>
            <w:vAlign w:val="center"/>
          </w:tcPr>
          <w:p w14:paraId="567DD905" w14:textId="74B4826B" w:rsidR="00303AAC" w:rsidRDefault="007F3DD0">
            <w:pPr>
              <w:rPr>
                <w:rFonts w:ascii="仿宋_GB2312" w:eastAsia="仿宋_GB2312" w:hAnsi="仿宋_GB2312" w:cs="仿宋_GB2312"/>
                <w:sz w:val="24"/>
              </w:rPr>
            </w:pPr>
            <w:r w:rsidRPr="007F3DD0">
              <w:rPr>
                <w:rFonts w:ascii="仿宋_GB2312" w:eastAsia="仿宋_GB2312" w:hAnsi="仿宋_GB2312" w:cs="仿宋_GB2312" w:hint="eastAsia"/>
                <w:sz w:val="24"/>
              </w:rPr>
              <w:t>浦银安盛基金管理有限公司</w:t>
            </w:r>
          </w:p>
        </w:tc>
      </w:tr>
      <w:tr w:rsidR="00303AAC" w14:paraId="420783DD" w14:textId="77777777">
        <w:trPr>
          <w:trHeight w:val="482"/>
          <w:jc w:val="center"/>
        </w:trPr>
        <w:tc>
          <w:tcPr>
            <w:tcW w:w="2451" w:type="dxa"/>
            <w:vAlign w:val="center"/>
          </w:tcPr>
          <w:p w14:paraId="2BD12037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承担实质风险主体</w:t>
            </w:r>
          </w:p>
        </w:tc>
        <w:tc>
          <w:tcPr>
            <w:tcW w:w="2909" w:type="dxa"/>
            <w:vAlign w:val="center"/>
          </w:tcPr>
          <w:p w14:paraId="10CDA684" w14:textId="77777777" w:rsidR="00303AAC" w:rsidRDefault="00303AAC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148" w:type="dxa"/>
            <w:vAlign w:val="center"/>
          </w:tcPr>
          <w:p w14:paraId="3C79C2D6" w14:textId="77777777" w:rsidR="00303AAC" w:rsidRDefault="00B55EE3">
            <w:pPr>
              <w:spacing w:line="276" w:lineRule="auto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有效期</w:t>
            </w:r>
          </w:p>
        </w:tc>
        <w:tc>
          <w:tcPr>
            <w:tcW w:w="3212" w:type="dxa"/>
            <w:vAlign w:val="center"/>
          </w:tcPr>
          <w:p w14:paraId="26345E04" w14:textId="77777777" w:rsidR="00303AAC" w:rsidRDefault="00303AAC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303AAC" w14:paraId="08E3D71A" w14:textId="77777777">
        <w:trPr>
          <w:trHeight w:val="2542"/>
          <w:jc w:val="center"/>
        </w:trPr>
        <w:tc>
          <w:tcPr>
            <w:tcW w:w="10720" w:type="dxa"/>
            <w:gridSpan w:val="4"/>
            <w:vAlign w:val="center"/>
          </w:tcPr>
          <w:p w14:paraId="355A88E8" w14:textId="77777777" w:rsidR="00303AAC" w:rsidRDefault="00303AAC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</w:rPr>
            </w:pPr>
          </w:p>
          <w:p w14:paraId="6D42FB07" w14:textId="77777777" w:rsidR="00303AAC" w:rsidRDefault="00B55EE3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一、基金公司情况</w:t>
            </w:r>
          </w:p>
          <w:p w14:paraId="0665068D" w14:textId="59A1DC1A" w:rsidR="00303AAC" w:rsidRDefault="007F3DD0">
            <w:pPr>
              <w:widowControl/>
              <w:spacing w:line="240" w:lineRule="auto"/>
              <w:ind w:firstLineChars="200" w:firstLine="48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 w:rsidRPr="007F3DD0">
              <w:rPr>
                <w:rFonts w:ascii="仿宋" w:eastAsia="仿宋" w:hAnsi="仿宋" w:cs="仿宋" w:hint="eastAsia"/>
                <w:sz w:val="24"/>
                <w:szCs w:val="24"/>
              </w:rPr>
              <w:t>浦银安盛基金管理有限公司，是一家中法合资的银行系基金管理公司。经中国证券监督管理委员会批准，于2007年8月5日正式成立，总部设在上海。浦银安盛基金注册资本为人民币19.1亿元，是目前公募基金行业中注册资本最大的基金公司。其中，上海浦东发展银行股份有限公司持有51%的股权、法国安盛投资管理公司持有39%的股权、上海国盛集团资产有限公司持有10%的股权。浦银安盛基金旗下拥有一家全资子公司——上海浦银安盛资产管理有限公司，注册资本14.8亿元。</w:t>
            </w:r>
          </w:p>
          <w:p w14:paraId="6CB8F3EF" w14:textId="77777777" w:rsidR="00303AAC" w:rsidRDefault="00303AAC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14:paraId="0E73182E" w14:textId="77777777" w:rsidR="00303AAC" w:rsidRDefault="00B55EE3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二、基金基本信息</w:t>
            </w:r>
          </w:p>
          <w:p w14:paraId="70735607" w14:textId="0CA86D2F" w:rsidR="00303AAC" w:rsidRDefault="00B55EE3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1、规模情况：基金经理当前管理总规模为</w:t>
            </w:r>
            <w:r w:rsidR="007F3DD0" w:rsidRPr="007F3DD0">
              <w:rPr>
                <w:rFonts w:ascii="仿宋" w:eastAsia="仿宋" w:hAnsi="仿宋" w:cs="仿宋" w:hint="eastAsia"/>
                <w:sz w:val="24"/>
                <w:szCs w:val="24"/>
              </w:rPr>
              <w:t>58.08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亿元，</w:t>
            </w:r>
            <w:r w:rsidR="00911DDE" w:rsidRPr="00911DDE">
              <w:rPr>
                <w:rFonts w:ascii="仿宋" w:eastAsia="仿宋" w:hAnsi="仿宋" w:cs="仿宋" w:hint="eastAsia"/>
                <w:sz w:val="24"/>
                <w:szCs w:val="24"/>
              </w:rPr>
              <w:t>其中浦银安盛价值精选当前规模为11.85亿元（2021.9.30）</w:t>
            </w:r>
          </w:p>
          <w:tbl>
            <w:tblPr>
              <w:tblW w:w="645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270"/>
              <w:gridCol w:w="1270"/>
              <w:gridCol w:w="1270"/>
              <w:gridCol w:w="1378"/>
            </w:tblGrid>
            <w:tr w:rsidR="00303AAC" w14:paraId="1FD63609" w14:textId="77777777" w:rsidTr="00282EE9">
              <w:trPr>
                <w:trHeight w:val="183"/>
                <w:jc w:val="center"/>
              </w:trPr>
              <w:tc>
                <w:tcPr>
                  <w:tcW w:w="645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B84906" w14:textId="3FF9B88F" w:rsidR="00303AAC" w:rsidRDefault="00911DDE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911DDE">
                    <w:rPr>
                      <w:rFonts w:ascii="仿宋_GB2312" w:eastAsia="仿宋_GB2312" w:hAnsi="仿宋_GB2312" w:cs="仿宋_GB2312" w:hint="eastAsia"/>
                      <w:sz w:val="24"/>
                    </w:rPr>
                    <w:t>浦银安盛价值精选</w:t>
                  </w:r>
                  <w:r w:rsidR="00B55EE3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基金规模变动情况（亿元）</w:t>
                  </w:r>
                </w:p>
              </w:tc>
            </w:tr>
            <w:tr w:rsidR="00282EE9" w14:paraId="0A734F90" w14:textId="77777777" w:rsidTr="00282EE9">
              <w:trPr>
                <w:trHeight w:val="183"/>
                <w:jc w:val="center"/>
              </w:trPr>
              <w:tc>
                <w:tcPr>
                  <w:tcW w:w="1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E3BC5A" w14:textId="77777777" w:rsidR="00282EE9" w:rsidRDefault="00282EE9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20210930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BDB4AA" w14:textId="77777777" w:rsidR="00282EE9" w:rsidRDefault="00282EE9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20210630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C8D438" w14:textId="77777777" w:rsidR="00282EE9" w:rsidRDefault="00282EE9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20210331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8248ED" w14:textId="77777777" w:rsidR="00282EE9" w:rsidRDefault="00282EE9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20201231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348B1B" w14:textId="77777777" w:rsidR="00282EE9" w:rsidRDefault="00282EE9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20200930</w:t>
                  </w:r>
                </w:p>
              </w:tc>
            </w:tr>
            <w:tr w:rsidR="00282EE9" w14:paraId="093754FF" w14:textId="77777777" w:rsidTr="00282EE9">
              <w:trPr>
                <w:trHeight w:val="183"/>
                <w:jc w:val="center"/>
              </w:trPr>
              <w:tc>
                <w:tcPr>
                  <w:tcW w:w="1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4C008F4" w14:textId="5C752FA8" w:rsidR="00282EE9" w:rsidRPr="00911DDE" w:rsidRDefault="00282EE9" w:rsidP="00911DDE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282EE9">
                    <w:rPr>
                      <w:rFonts w:ascii="仿宋" w:eastAsia="仿宋" w:hAnsi="仿宋"/>
                      <w:sz w:val="24"/>
                      <w:szCs w:val="24"/>
                    </w:rPr>
                    <w:t>11.85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624309C" w14:textId="2BD67FED" w:rsidR="00282EE9" w:rsidRPr="00911DDE" w:rsidRDefault="00282EE9" w:rsidP="00911DDE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282EE9">
                    <w:rPr>
                      <w:rFonts w:ascii="仿宋" w:eastAsia="仿宋" w:hAnsi="仿宋"/>
                      <w:sz w:val="24"/>
                      <w:szCs w:val="24"/>
                    </w:rPr>
                    <w:t>6.64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569C4D0" w14:textId="0928A3FE" w:rsidR="00282EE9" w:rsidRPr="00911DDE" w:rsidRDefault="00282EE9" w:rsidP="00911DDE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911DDE">
                    <w:rPr>
                      <w:rFonts w:ascii="仿宋" w:eastAsia="仿宋" w:hAnsi="仿宋"/>
                      <w:sz w:val="24"/>
                      <w:szCs w:val="24"/>
                    </w:rPr>
                    <w:t>6.63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5B027DF" w14:textId="521FD6EC" w:rsidR="00282EE9" w:rsidRPr="00911DDE" w:rsidRDefault="00282EE9" w:rsidP="00911DDE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282EE9">
                    <w:rPr>
                      <w:rFonts w:ascii="仿宋" w:eastAsia="仿宋" w:hAnsi="仿宋"/>
                      <w:sz w:val="24"/>
                      <w:szCs w:val="24"/>
                    </w:rPr>
                    <w:t>14.89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1F6545A" w14:textId="0711C2C9" w:rsidR="00282EE9" w:rsidRPr="00911DDE" w:rsidRDefault="00282EE9" w:rsidP="00911DDE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282EE9">
                    <w:rPr>
                      <w:rFonts w:ascii="仿宋" w:eastAsia="仿宋" w:hAnsi="仿宋"/>
                      <w:sz w:val="24"/>
                      <w:szCs w:val="24"/>
                    </w:rPr>
                    <w:t>21.13</w:t>
                  </w:r>
                </w:p>
              </w:tc>
            </w:tr>
          </w:tbl>
          <w:p w14:paraId="2AC482F2" w14:textId="1739BC38" w:rsidR="00303AAC" w:rsidRDefault="00B55EE3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2、</w:t>
            </w:r>
            <w:r w:rsidR="00911DDE" w:rsidRPr="00911DDE">
              <w:rPr>
                <w:rFonts w:ascii="仿宋" w:eastAsia="仿宋" w:hAnsi="仿宋" w:cs="仿宋" w:hint="eastAsia"/>
                <w:sz w:val="24"/>
                <w:szCs w:val="24"/>
              </w:rPr>
              <w:t>仓位及集中度情况：基金经理整体仓位维持适中偏高，基本维持85%以上，21年三季报披露前十大重仓占比为43.38%，集中度适中。</w:t>
            </w:r>
          </w:p>
          <w:tbl>
            <w:tblPr>
              <w:tblW w:w="672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15"/>
              <w:gridCol w:w="3312"/>
            </w:tblGrid>
            <w:tr w:rsidR="00303AAC" w14:paraId="6874683F" w14:textId="77777777">
              <w:trPr>
                <w:trHeight w:val="194"/>
                <w:jc w:val="center"/>
              </w:trPr>
              <w:tc>
                <w:tcPr>
                  <w:tcW w:w="67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E03C41" w14:textId="44726CF0" w:rsidR="00303AAC" w:rsidRDefault="00303070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911DDE">
                    <w:rPr>
                      <w:rFonts w:ascii="仿宋_GB2312" w:eastAsia="仿宋_GB2312" w:hAnsi="仿宋_GB2312" w:cs="仿宋_GB2312" w:hint="eastAsia"/>
                      <w:sz w:val="24"/>
                    </w:rPr>
                    <w:t>浦银安盛价值精选</w:t>
                  </w:r>
                  <w:r w:rsidR="00B55EE3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基金21年三季度前十大持股</w:t>
                  </w:r>
                </w:p>
              </w:tc>
            </w:tr>
            <w:tr w:rsidR="00303AAC" w14:paraId="09D5D9D9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4D02289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股票名称</w:t>
                  </w:r>
                </w:p>
              </w:tc>
              <w:tc>
                <w:tcPr>
                  <w:tcW w:w="33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C9BFF4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占净资产比例（%）</w:t>
                  </w:r>
                </w:p>
              </w:tc>
            </w:tr>
            <w:tr w:rsidR="004B3CD5" w14:paraId="5073089C" w14:textId="77777777" w:rsidTr="00094C8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C130404" w14:textId="21316422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hint="eastAsia"/>
                      <w:sz w:val="24"/>
                      <w:szCs w:val="24"/>
                    </w:rPr>
                    <w:t>明泰铝业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08DF169" w14:textId="2EC4421F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6.93</w:t>
                  </w:r>
                </w:p>
              </w:tc>
            </w:tr>
            <w:tr w:rsidR="004B3CD5" w14:paraId="78878325" w14:textId="77777777" w:rsidTr="00094C8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81E1CBD" w14:textId="3AADF3AB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hint="eastAsia"/>
                      <w:sz w:val="24"/>
                      <w:szCs w:val="24"/>
                    </w:rPr>
                    <w:t>九洲药业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6417738" w14:textId="63E9AE2F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4.91</w:t>
                  </w:r>
                </w:p>
              </w:tc>
            </w:tr>
            <w:tr w:rsidR="004B3CD5" w14:paraId="53E4DC5C" w14:textId="77777777" w:rsidTr="00094C8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1BF208D" w14:textId="76B2965A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hint="eastAsia"/>
                      <w:sz w:val="24"/>
                      <w:szCs w:val="24"/>
                    </w:rPr>
                    <w:t>天赐材料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C506950" w14:textId="3341E5DD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4.69</w:t>
                  </w:r>
                </w:p>
              </w:tc>
            </w:tr>
            <w:tr w:rsidR="004B3CD5" w14:paraId="23C8B62F" w14:textId="77777777" w:rsidTr="00094C8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DE68C0B" w14:textId="5520F2D6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hint="eastAsia"/>
                      <w:sz w:val="24"/>
                      <w:szCs w:val="24"/>
                    </w:rPr>
                    <w:t>舍得酒业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973492" w14:textId="0DF7FB93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4.15</w:t>
                  </w:r>
                </w:p>
              </w:tc>
            </w:tr>
            <w:tr w:rsidR="004B3CD5" w14:paraId="46608D0E" w14:textId="77777777" w:rsidTr="00094C87">
              <w:trPr>
                <w:trHeight w:val="230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01E730" w14:textId="42ECC0C8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天合光能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20F0C87" w14:textId="71BB6AC5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3.87</w:t>
                  </w:r>
                </w:p>
              </w:tc>
            </w:tr>
            <w:tr w:rsidR="004B3CD5" w14:paraId="76E23625" w14:textId="77777777" w:rsidTr="00BB5920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1102F3A" w14:textId="4E06A5C0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hint="eastAsia"/>
                      <w:sz w:val="24"/>
                      <w:szCs w:val="24"/>
                    </w:rPr>
                    <w:t>北方稀土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4F06F14" w14:textId="069AFB26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3.84</w:t>
                  </w:r>
                </w:p>
              </w:tc>
            </w:tr>
            <w:tr w:rsidR="004B3CD5" w14:paraId="1B585471" w14:textId="77777777" w:rsidTr="00BB5920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F44139D" w14:textId="6EED0B1E" w:rsidR="004B3CD5" w:rsidRPr="005F36CC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5F36CC">
                    <w:rPr>
                      <w:rFonts w:ascii="仿宋" w:eastAsia="仿宋" w:hAnsi="仿宋" w:hint="eastAsia"/>
                      <w:sz w:val="24"/>
                      <w:szCs w:val="24"/>
                    </w:rPr>
                    <w:lastRenderedPageBreak/>
                    <w:t>酒鬼酒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1B156B6" w14:textId="0A948D69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3.81</w:t>
                  </w:r>
                </w:p>
              </w:tc>
            </w:tr>
            <w:tr w:rsidR="004B3CD5" w14:paraId="3261AFA3" w14:textId="77777777" w:rsidTr="00BB5920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6AC421A" w14:textId="5049FA40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hint="eastAsia"/>
                      <w:sz w:val="24"/>
                      <w:szCs w:val="24"/>
                    </w:rPr>
                    <w:t>当升科技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970AB20" w14:textId="5C3892B5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3.75</w:t>
                  </w:r>
                </w:p>
              </w:tc>
            </w:tr>
            <w:tr w:rsidR="004B3CD5" w14:paraId="20C8F18F" w14:textId="77777777" w:rsidTr="00BB5920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89BBEDA" w14:textId="759EAFC6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hint="eastAsia"/>
                      <w:sz w:val="24"/>
                      <w:szCs w:val="24"/>
                    </w:rPr>
                    <w:t>药石科技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9F5ABB4" w14:textId="057DE77B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3.73</w:t>
                  </w:r>
                </w:p>
              </w:tc>
            </w:tr>
            <w:tr w:rsidR="004B3CD5" w14:paraId="444A3CED" w14:textId="77777777" w:rsidTr="00BB5920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7E7B445" w14:textId="5ED6C4B0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hint="eastAsia"/>
                      <w:sz w:val="24"/>
                      <w:szCs w:val="24"/>
                    </w:rPr>
                    <w:t>药明康德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EFB932E" w14:textId="32F8C25D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/>
                      <w:sz w:val="24"/>
                      <w:szCs w:val="24"/>
                    </w:rPr>
                    <w:t>3.70</w:t>
                  </w:r>
                </w:p>
              </w:tc>
            </w:tr>
            <w:tr w:rsidR="00303AAC" w14:paraId="1B7548A9" w14:textId="77777777">
              <w:trPr>
                <w:trHeight w:val="194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103B9E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前十大重仓股总计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CC0F56" w14:textId="7A01A41C" w:rsidR="00303AAC" w:rsidRDefault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仿宋"/>
                      <w:sz w:val="24"/>
                      <w:szCs w:val="24"/>
                    </w:rPr>
                    <w:t>43.38</w:t>
                  </w:r>
                </w:p>
              </w:tc>
            </w:tr>
          </w:tbl>
          <w:p w14:paraId="7D713CE1" w14:textId="69C72598" w:rsidR="00303AAC" w:rsidRDefault="00B55EE3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3、产品费率结构：</w:t>
            </w:r>
          </w:p>
          <w:p w14:paraId="17FA2C49" w14:textId="77777777" w:rsidR="006F4FB3" w:rsidRPr="006F4FB3" w:rsidRDefault="006F4FB3" w:rsidP="006F4FB3">
            <w:pPr>
              <w:pStyle w:val="a0"/>
            </w:pPr>
          </w:p>
          <w:tbl>
            <w:tblPr>
              <w:tblW w:w="956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1076"/>
              <w:gridCol w:w="1076"/>
              <w:gridCol w:w="2890"/>
              <w:gridCol w:w="3449"/>
            </w:tblGrid>
            <w:tr w:rsidR="00303AAC" w14:paraId="61E6507A" w14:textId="77777777">
              <w:trPr>
                <w:trHeight w:val="191"/>
                <w:jc w:val="center"/>
              </w:trPr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397A7F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基金费率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1D5698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管理费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8FD3D2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托管费</w:t>
                  </w:r>
                </w:p>
              </w:tc>
              <w:tc>
                <w:tcPr>
                  <w:tcW w:w="2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BDE786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申购费</w:t>
                  </w:r>
                </w:p>
              </w:tc>
              <w:tc>
                <w:tcPr>
                  <w:tcW w:w="34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67B70D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赎回费</w:t>
                  </w:r>
                </w:p>
              </w:tc>
            </w:tr>
            <w:tr w:rsidR="004B3CD5" w14:paraId="79F30FF3" w14:textId="77777777" w:rsidTr="0082723F">
              <w:trPr>
                <w:trHeight w:val="191"/>
                <w:jc w:val="center"/>
              </w:trPr>
              <w:tc>
                <w:tcPr>
                  <w:tcW w:w="1076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24AA872F" w14:textId="27A5C8EF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浦银安盛价值精选A</w:t>
                  </w:r>
                </w:p>
              </w:tc>
              <w:tc>
                <w:tcPr>
                  <w:tcW w:w="1076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3D10CE0C" w14:textId="5BEAF726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1.50</w:t>
                  </w:r>
                  <w:r w:rsid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076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48BD7022" w14:textId="6FE0F728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0.25</w:t>
                  </w:r>
                  <w:r w:rsid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890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577BA6E5" w14:textId="40B396D8" w:rsidR="00303070" w:rsidRPr="00303070" w:rsidRDefault="00303070" w:rsidP="00303070">
                  <w:pPr>
                    <w:spacing w:after="240"/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 xml:space="preserve">500万元以上 </w:t>
                  </w:r>
                  <w:r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  <w:t>5</w:t>
                  </w: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00元/笔</w:t>
                  </w:r>
                </w:p>
                <w:p w14:paraId="3DBE7223" w14:textId="77777777" w:rsidR="00303070" w:rsidRPr="00303070" w:rsidRDefault="00303070" w:rsidP="00303070">
                  <w:pPr>
                    <w:spacing w:after="240"/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100万元以下 1.5%</w:t>
                  </w:r>
                </w:p>
                <w:p w14:paraId="4E2D857A" w14:textId="77777777" w:rsidR="00303070" w:rsidRPr="00303070" w:rsidRDefault="00303070" w:rsidP="00303070">
                  <w:pPr>
                    <w:spacing w:after="240"/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100~300万元 1%</w:t>
                  </w:r>
                </w:p>
                <w:p w14:paraId="2683B706" w14:textId="2DE921B8" w:rsidR="004B3CD5" w:rsidRPr="004B3CD5" w:rsidRDefault="00303070" w:rsidP="00303070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300~500万元 0.</w:t>
                  </w:r>
                  <w:r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  <w:t>8</w:t>
                  </w: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3449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1B4818F5" w14:textId="77777777" w:rsidR="00303070" w:rsidRPr="00303070" w:rsidRDefault="00303070" w:rsidP="00303070">
                  <w:pPr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普通投资群体:7日以下 1.5%;</w:t>
                  </w:r>
                </w:p>
                <w:p w14:paraId="37F23D88" w14:textId="04A166B0" w:rsidR="00303070" w:rsidRPr="00303070" w:rsidRDefault="00303070" w:rsidP="00303070">
                  <w:pPr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普通投资群体:7~30日 0.75%;普通投资群体:30~</w:t>
                  </w:r>
                  <w:r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  <w:t>180</w:t>
                  </w: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日 0.5%;</w:t>
                  </w:r>
                </w:p>
                <w:p w14:paraId="26111F86" w14:textId="2D842D9F" w:rsidR="004B3CD5" w:rsidRPr="004B3CD5" w:rsidRDefault="00303070" w:rsidP="00303070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普通投资群体:</w:t>
                  </w:r>
                  <w:r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  <w:t>180</w:t>
                  </w:r>
                  <w:r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日</w:t>
                  </w: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以上 0%</w:t>
                  </w:r>
                </w:p>
              </w:tc>
            </w:tr>
            <w:tr w:rsidR="004B3CD5" w14:paraId="61229E28" w14:textId="77777777" w:rsidTr="00642591">
              <w:trPr>
                <w:trHeight w:val="2613"/>
                <w:jc w:val="center"/>
              </w:trPr>
              <w:tc>
                <w:tcPr>
                  <w:tcW w:w="1076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5BAA41BE" w14:textId="643C6D33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浦银安盛价值精选C</w:t>
                  </w:r>
                </w:p>
              </w:tc>
              <w:tc>
                <w:tcPr>
                  <w:tcW w:w="1076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2DA905AB" w14:textId="187398FC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1.50</w:t>
                  </w:r>
                  <w:r w:rsid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076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484B3D53" w14:textId="7C9C1775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0.25</w:t>
                  </w:r>
                  <w:r w:rsid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890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097C6894" w14:textId="6C25AB28" w:rsidR="004B3CD5" w:rsidRPr="004B3CD5" w:rsidRDefault="004B3CD5" w:rsidP="004B3CD5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4B3CD5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  <w:tc>
                <w:tcPr>
                  <w:tcW w:w="3449" w:type="dxa"/>
                  <w:tcBorders>
                    <w:top w:val="single" w:sz="12" w:space="0" w:color="767171"/>
                    <w:left w:val="single" w:sz="0" w:space="0" w:color="000000"/>
                    <w:bottom w:val="single" w:sz="12" w:space="0" w:color="767171"/>
                    <w:right w:val="single" w:sz="0" w:space="0" w:color="000000"/>
                  </w:tcBorders>
                  <w:shd w:val="clear" w:color="auto" w:fill="auto"/>
                  <w:vAlign w:val="center"/>
                </w:tcPr>
                <w:p w14:paraId="7993D734" w14:textId="77777777" w:rsidR="00303070" w:rsidRPr="00303070" w:rsidRDefault="00303070" w:rsidP="00303070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普通投资群体:7日以下 1.5%;</w:t>
                  </w:r>
                </w:p>
                <w:p w14:paraId="37B3D72F" w14:textId="77777777" w:rsidR="00303070" w:rsidRPr="00303070" w:rsidRDefault="00303070" w:rsidP="00303070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宋体"/>
                      <w:bCs/>
                      <w:color w:val="000000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普通投资群体:7~30日 0.5%;</w:t>
                  </w:r>
                </w:p>
                <w:p w14:paraId="069D71C7" w14:textId="0952F221" w:rsidR="004B3CD5" w:rsidRPr="004B3CD5" w:rsidRDefault="00303070" w:rsidP="00303070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303070">
                    <w:rPr>
                      <w:rFonts w:ascii="仿宋" w:eastAsia="仿宋" w:hAnsi="仿宋" w:cs="宋体" w:hint="eastAsia"/>
                      <w:bCs/>
                      <w:color w:val="000000"/>
                      <w:sz w:val="24"/>
                      <w:szCs w:val="24"/>
                    </w:rPr>
                    <w:t>普通投资群体:30日以上 0%</w:t>
                  </w:r>
                </w:p>
              </w:tc>
            </w:tr>
          </w:tbl>
          <w:p w14:paraId="7B1E4BD6" w14:textId="66D244D5" w:rsidR="004B3CD5" w:rsidRDefault="00FE6F7C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 w:rsidRPr="00FE6F7C">
              <w:rPr>
                <w:rFonts w:ascii="仿宋" w:eastAsia="仿宋" w:hAnsi="仿宋" w:cs="仿宋" w:hint="eastAsia"/>
                <w:sz w:val="24"/>
                <w:szCs w:val="24"/>
              </w:rPr>
              <w:t>4.</w:t>
            </w:r>
            <w:r w:rsidR="00C20AB6">
              <w:rPr>
                <w:rFonts w:ascii="仿宋" w:eastAsia="仿宋" w:hAnsi="仿宋" w:cs="仿宋" w:hint="eastAsia"/>
                <w:sz w:val="24"/>
                <w:szCs w:val="24"/>
              </w:rPr>
              <w:t>产品</w:t>
            </w:r>
            <w:r w:rsidR="004B3CD5" w:rsidRPr="004B3CD5">
              <w:rPr>
                <w:rFonts w:ascii="仿宋" w:eastAsia="仿宋" w:hAnsi="仿宋" w:cs="仿宋" w:hint="eastAsia"/>
                <w:sz w:val="24"/>
                <w:szCs w:val="24"/>
              </w:rPr>
              <w:t>持有人结构：2021年半年报披露机构持有基金占比20.53%，个人占比79.47%。规模适中，且持有人结构分散，故无流动性风险。</w:t>
            </w:r>
          </w:p>
          <w:p w14:paraId="27F36906" w14:textId="77777777" w:rsidR="004B3CD5" w:rsidRDefault="004B3CD5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14:paraId="6832A044" w14:textId="54504EFF" w:rsidR="00303AAC" w:rsidRDefault="00B55EE3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三、投资经理及策略情况</w:t>
            </w:r>
          </w:p>
          <w:p w14:paraId="793B449D" w14:textId="7BB25438" w:rsidR="00303AAC" w:rsidRDefault="00B55EE3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1、基金经理：</w:t>
            </w:r>
            <w:r w:rsidR="00FE6F7C" w:rsidRPr="00FE6F7C">
              <w:rPr>
                <w:rFonts w:ascii="仿宋" w:eastAsia="仿宋" w:hAnsi="仿宋" w:cs="仿宋" w:hint="eastAsia"/>
                <w:sz w:val="24"/>
                <w:szCs w:val="24"/>
              </w:rPr>
              <w:t>蒋佳良担任浦银安盛研究部总监、均衡策略部总经理，拥有15年证券从业经验、6年基金从业经验，对核心资产研究经验丰富。浦银安盛基金已建立起一只由蒋佳良领军的专业权益研究团队，团队共包括15位研究员，覆盖科技、消费、医药、制造、周期等核心资产方向，经验丰富，专业能力强。此外，公司拥有六年以上新股申购团队经验，以投资、研究、量化三位一体进行新股报价，充分发挥基金公司定价优势。</w:t>
            </w:r>
          </w:p>
          <w:p w14:paraId="7DE56EB1" w14:textId="64D51C45" w:rsidR="00303AAC" w:rsidRDefault="00B55EE3" w:rsidP="007C7B04">
            <w:pPr>
              <w:widowControl/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2、基金经理业绩情况：</w:t>
            </w:r>
            <w:r w:rsidR="00FE6F7C" w:rsidRPr="00FE6F7C">
              <w:rPr>
                <w:rFonts w:ascii="仿宋" w:eastAsia="仿宋" w:hAnsi="仿宋" w:cs="仿宋" w:hint="eastAsia"/>
                <w:sz w:val="24"/>
                <w:szCs w:val="24"/>
              </w:rPr>
              <w:t>截至今年10月末，代表产品浦银安盛新经济结构（519126）过去三年涨幅327.92%，排名同类前2%，并获得海通证券、银河证券、招商证券等三年期五星评级</w:t>
            </w:r>
            <w:r w:rsidR="004B3CD5">
              <w:rPr>
                <w:rFonts w:ascii="仿宋" w:eastAsia="仿宋" w:hAnsi="仿宋" w:cs="仿宋" w:hint="eastAsia"/>
                <w:sz w:val="24"/>
                <w:szCs w:val="24"/>
              </w:rPr>
              <w:t>，</w:t>
            </w:r>
            <w:r w:rsidR="004B3CD5" w:rsidRPr="004B3CD5">
              <w:rPr>
                <w:rFonts w:ascii="仿宋" w:eastAsia="仿宋" w:hAnsi="仿宋" w:cs="仿宋" w:hint="eastAsia"/>
                <w:sz w:val="24"/>
                <w:szCs w:val="24"/>
              </w:rPr>
              <w:t>浦银安盛价值精选（009368）今年以来收益38.46（63/1563）</w:t>
            </w:r>
            <w:r w:rsidR="00282EE9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  <w:p w14:paraId="65D46F3D" w14:textId="77777777" w:rsidR="00303AAC" w:rsidRDefault="00303AAC">
            <w:pPr>
              <w:pStyle w:val="a0"/>
              <w:ind w:leftChars="0" w:left="0"/>
              <w:rPr>
                <w:rFonts w:ascii="仿宋" w:eastAsia="仿宋" w:hAnsi="仿宋" w:cs="仿宋"/>
                <w:sz w:val="24"/>
                <w:szCs w:val="24"/>
              </w:rPr>
            </w:pPr>
          </w:p>
          <w:tbl>
            <w:tblPr>
              <w:tblW w:w="87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01"/>
              <w:gridCol w:w="1113"/>
              <w:gridCol w:w="1276"/>
              <w:gridCol w:w="1247"/>
              <w:gridCol w:w="1417"/>
              <w:gridCol w:w="1276"/>
            </w:tblGrid>
            <w:tr w:rsidR="00303AAC" w:rsidRPr="007C7B04" w14:paraId="542B1441" w14:textId="77777777" w:rsidTr="007C7B04">
              <w:trPr>
                <w:trHeight w:val="285"/>
                <w:jc w:val="center"/>
              </w:trPr>
              <w:tc>
                <w:tcPr>
                  <w:tcW w:w="873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1BC6994" w14:textId="078D7E65" w:rsidR="00303AAC" w:rsidRDefault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FE6F7C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蒋佳良</w:t>
                  </w: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管理基金业绩情况（%）</w:t>
                  </w:r>
                </w:p>
              </w:tc>
            </w:tr>
            <w:tr w:rsidR="00303AAC" w14:paraId="69D8231C" w14:textId="77777777" w:rsidTr="007C7B04">
              <w:trPr>
                <w:trHeight w:val="285"/>
                <w:jc w:val="center"/>
              </w:trPr>
              <w:tc>
                <w:tcPr>
                  <w:tcW w:w="24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3B4D204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年份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AE9931C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DBD60BB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534AB51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09D23E8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777612F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管理以来</w:t>
                  </w:r>
                </w:p>
              </w:tc>
            </w:tr>
            <w:tr w:rsidR="007C7B04" w14:paraId="5B1CFA5F" w14:textId="77777777" w:rsidTr="007C7B04">
              <w:trPr>
                <w:trHeight w:val="285"/>
                <w:jc w:val="center"/>
              </w:trPr>
              <w:tc>
                <w:tcPr>
                  <w:tcW w:w="24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CC3D07F" w14:textId="77777777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浦银安盛新经济</w:t>
                  </w:r>
                </w:p>
                <w:p w14:paraId="23C7DD9D" w14:textId="4F22531B" w:rsid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结构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58D8DDA" w14:textId="5C5ADEFF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37.84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287B86A" w14:textId="4B78616F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87.55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BBA9AA5" w14:textId="54583D2E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62.63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0CB6125" w14:textId="42BE67C8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-35.00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55A7A91" w14:textId="25337C07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310.82</w:t>
                  </w:r>
                </w:p>
              </w:tc>
            </w:tr>
            <w:tr w:rsidR="00303AAC" w14:paraId="4C35C0D9" w14:textId="77777777" w:rsidTr="007C7B04">
              <w:trPr>
                <w:trHeight w:val="285"/>
                <w:jc w:val="center"/>
              </w:trPr>
              <w:tc>
                <w:tcPr>
                  <w:tcW w:w="24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1BDE55C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普通股票型基金指数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D149B8A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9.4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A9FE1EA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57.99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2AAA43F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47.1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76C07B7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-24.67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670B0A7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303AAC" w14:paraId="04328959" w14:textId="77777777" w:rsidTr="007C7B04">
              <w:trPr>
                <w:trHeight w:val="285"/>
                <w:jc w:val="center"/>
              </w:trPr>
              <w:tc>
                <w:tcPr>
                  <w:tcW w:w="24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53417ED" w14:textId="77777777" w:rsidR="00303AAC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沪深300指数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A86C9CB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-5.81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FF863C3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27.21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71802CA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36.07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F2FB5C9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-25.31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45D8E8D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7C7B04" w14:paraId="318B70A4" w14:textId="77777777" w:rsidTr="007C7B04">
              <w:trPr>
                <w:trHeight w:val="285"/>
                <w:jc w:val="center"/>
              </w:trPr>
              <w:tc>
                <w:tcPr>
                  <w:tcW w:w="24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1CBD1CF" w14:textId="77777777" w:rsid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同类排名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33CA7B3" w14:textId="53E1AB61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88/2065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8FA4C07" w14:textId="13D20C08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109/1948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54385C0" w14:textId="17E24674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126/1849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A6F1574" w14:textId="78866807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/>
                      <w:sz w:val="24"/>
                      <w:szCs w:val="24"/>
                    </w:rPr>
                    <w:t>1561/1599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296E2E6" w14:textId="77777777" w:rsidR="007C7B04" w:rsidRPr="007C7B04" w:rsidRDefault="007C7B04" w:rsidP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303AAC" w14:paraId="5CE610B6" w14:textId="77777777" w:rsidTr="007C7B04">
              <w:trPr>
                <w:trHeight w:val="285"/>
                <w:jc w:val="center"/>
              </w:trPr>
              <w:tc>
                <w:tcPr>
                  <w:tcW w:w="24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D6D0A4F" w14:textId="0498ADF0" w:rsidR="00303AAC" w:rsidRDefault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lastRenderedPageBreak/>
                    <w:t>浦银安盛价值精选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B316485" w14:textId="17AE1303" w:rsidR="00303AAC" w:rsidRPr="007C7B04" w:rsidRDefault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/>
                      <w:sz w:val="24"/>
                      <w:szCs w:val="24"/>
                    </w:rPr>
                    <w:t>38.46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EA2AC4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2778323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DEE98B4" w14:textId="77777777" w:rsidR="00303AAC" w:rsidRPr="007C7B04" w:rsidRDefault="00B55EE3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 w:hint="eastAsia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564F3B5" w14:textId="6936765C" w:rsidR="00303AAC" w:rsidRPr="007C7B04" w:rsidRDefault="007C7B04">
                  <w:pPr>
                    <w:widowControl/>
                    <w:spacing w:line="240" w:lineRule="auto"/>
                    <w:jc w:val="center"/>
                    <w:rPr>
                      <w:rFonts w:ascii="仿宋" w:eastAsia="仿宋" w:hAnsi="仿宋" w:cs="仿宋"/>
                      <w:sz w:val="24"/>
                      <w:szCs w:val="24"/>
                    </w:rPr>
                  </w:pPr>
                  <w:r w:rsidRPr="007C7B04">
                    <w:rPr>
                      <w:rFonts w:ascii="仿宋" w:eastAsia="仿宋" w:hAnsi="仿宋" w:cs="仿宋"/>
                      <w:sz w:val="24"/>
                      <w:szCs w:val="24"/>
                    </w:rPr>
                    <w:t>61.13</w:t>
                  </w:r>
                </w:p>
              </w:tc>
            </w:tr>
          </w:tbl>
          <w:p w14:paraId="011C0B89" w14:textId="77777777" w:rsidR="00303AAC" w:rsidRDefault="00B55EE3">
            <w:pPr>
              <w:pStyle w:val="a0"/>
              <w:widowControl/>
              <w:spacing w:line="240" w:lineRule="auto"/>
              <w:ind w:leftChars="0" w:left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3、投资目标及投资策略</w:t>
            </w:r>
          </w:p>
          <w:p w14:paraId="2BF32C16" w14:textId="104932CF" w:rsidR="00303AAC" w:rsidRDefault="00B55EE3">
            <w:pPr>
              <w:pStyle w:val="a0"/>
              <w:widowControl/>
              <w:spacing w:line="240" w:lineRule="auto"/>
              <w:ind w:leftChars="0" w:left="0" w:firstLineChars="200" w:firstLine="48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投资目标：</w:t>
            </w:r>
            <w:r w:rsidR="00FE6F7C" w:rsidRPr="00FE6F7C">
              <w:rPr>
                <w:rFonts w:ascii="仿宋" w:eastAsia="仿宋" w:hAnsi="仿宋" w:cs="仿宋" w:hint="eastAsia"/>
                <w:sz w:val="24"/>
                <w:szCs w:val="24"/>
              </w:rPr>
              <w:t>整体风格均衡，既不激进也不保守，注重投资者的持基体验，保持各行业的相应配置。不买小偏怪奇，保持整个组合在市场大部分风格下都表现排名靠前分位，在行业相对均衡、稳定的基础上，不断寻找能够长期或阶段性跑赢行 业的标的，赚取超额收益。</w:t>
            </w:r>
          </w:p>
          <w:p w14:paraId="2AEF0D01" w14:textId="4CCC2789" w:rsidR="00303AAC" w:rsidRDefault="00B55EE3">
            <w:pPr>
              <w:widowControl/>
              <w:spacing w:line="240" w:lineRule="auto"/>
              <w:ind w:firstLineChars="200" w:firstLine="48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配置思路：</w:t>
            </w:r>
            <w:r w:rsidR="00FE6F7C" w:rsidRPr="00FE6F7C">
              <w:rPr>
                <w:rFonts w:ascii="仿宋" w:eastAsia="仿宋" w:hAnsi="仿宋" w:cs="仿宋" w:hint="eastAsia"/>
                <w:sz w:val="24"/>
                <w:szCs w:val="24"/>
              </w:rPr>
              <w:t>通过对产业生命周期和长期发展趋势的深刻洞见，精选长期成长空间巨大、景气度不断提升、盈利能力不断扩张的行业和方向，自下而上挖掘其中的龙头公司，灵活配置，在控制回撤的基础上，追求长期优秀回报一方面，会把握住行业的阶段性主线，对行业之间以及行业内部子行业得配置比例做动态调整，另一方面，会对一些个股做一些阶段性止赢止损的动作，在控制风险的前提下，保证收益的及时兑现或者使损失得到控制。</w:t>
            </w:r>
          </w:p>
          <w:p w14:paraId="2FD2A982" w14:textId="26825C73" w:rsidR="00303AAC" w:rsidRDefault="00B55EE3">
            <w:pPr>
              <w:pStyle w:val="a0"/>
              <w:widowControl/>
              <w:spacing w:line="240" w:lineRule="auto"/>
              <w:ind w:leftChars="0" w:left="0" w:firstLineChars="200" w:firstLine="48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当前市场观点及持仓情况：</w:t>
            </w:r>
            <w:r w:rsidR="00FE6F7C" w:rsidRPr="00FE6F7C">
              <w:rPr>
                <w:rFonts w:ascii="仿宋" w:eastAsia="仿宋" w:hAnsi="仿宋" w:cs="仿宋" w:hint="eastAsia"/>
                <w:sz w:val="24"/>
                <w:szCs w:val="24"/>
              </w:rPr>
              <w:t>目前新能源、光伏、食品饮料分别占比20%，医药10%，有色10%。短期市场出现了较大幅度的调整，我们认为后面市场整体仍然处于震荡市中，依然存在较多的结构性机会。从市场风格来看，去年市场更看重公司的行业地位，给与龙头较多溢价，而今年市场更关注公司的成长性，给与高增速的企业更高溢价。我们会重视这种变化，对企业自身基本面变化、增速、估值等角度严格梳理。中期来看，消费、医药是长期看好的方向，但我们会注重内部不同子行业景气度和估值的变化；而新能源汽车、光伏基本面更加强劲，是我们短期更看好的方向。</w:t>
            </w:r>
          </w:p>
          <w:p w14:paraId="3FBD9CA8" w14:textId="2585951B" w:rsidR="00303AAC" w:rsidRDefault="00B55EE3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风险分析：</w:t>
            </w:r>
            <w:r w:rsidR="00FE6F7C" w:rsidRPr="00FE6F7C">
              <w:rPr>
                <w:rFonts w:ascii="仿宋" w:eastAsia="仿宋" w:hAnsi="仿宋" w:cs="仿宋" w:hint="eastAsia"/>
                <w:sz w:val="24"/>
                <w:szCs w:val="24"/>
              </w:rPr>
              <w:t>市场流动性风险可能致使市场估值回调，造成整体权益市场变动的风险，注意市场风格切换时产品表现，关注基金经理匹配思路。</w:t>
            </w:r>
          </w:p>
          <w:p w14:paraId="54A2F139" w14:textId="77777777" w:rsidR="00303AAC" w:rsidRDefault="00B55EE3">
            <w:pPr>
              <w:pStyle w:val="a0"/>
              <w:ind w:leftChars="0" w:left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五、申请理由</w:t>
            </w:r>
          </w:p>
          <w:p w14:paraId="682FB29B" w14:textId="707C76F9" w:rsidR="006A1B64" w:rsidRPr="006A1B64" w:rsidRDefault="006A1B64" w:rsidP="006A1B64">
            <w:pPr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该基金经理板块轮动风格显著，管理以来超额收益良好，在高波动的情况仍然实现较高的超额收益，注重回撤，拟申请入池作为权益底仓配置。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考虑基金规模过大不利于超额收益获取，本次拟申请该基金经理所管理的规模相对较小基金入池。</w:t>
            </w:r>
          </w:p>
        </w:tc>
      </w:tr>
    </w:tbl>
    <w:p w14:paraId="27BFBE6A" w14:textId="77777777" w:rsidR="00303AAC" w:rsidRDefault="00303AAC"/>
    <w:sectPr w:rsidR="0030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792E" w14:textId="77777777" w:rsidR="002D6559" w:rsidRDefault="002D6559">
      <w:pPr>
        <w:spacing w:line="240" w:lineRule="auto"/>
      </w:pPr>
      <w:r>
        <w:separator/>
      </w:r>
    </w:p>
  </w:endnote>
  <w:endnote w:type="continuationSeparator" w:id="0">
    <w:p w14:paraId="0867730F" w14:textId="77777777" w:rsidR="002D6559" w:rsidRDefault="002D6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E249" w14:textId="77777777" w:rsidR="002D6559" w:rsidRDefault="002D6559">
      <w:pPr>
        <w:spacing w:line="240" w:lineRule="auto"/>
      </w:pPr>
      <w:r>
        <w:separator/>
      </w:r>
    </w:p>
  </w:footnote>
  <w:footnote w:type="continuationSeparator" w:id="0">
    <w:p w14:paraId="6393014F" w14:textId="77777777" w:rsidR="002D6559" w:rsidRDefault="002D6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765DBD"/>
    <w:multiLevelType w:val="singleLevel"/>
    <w:tmpl w:val="D0765DB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82591"/>
    <w:rsid w:val="000A2611"/>
    <w:rsid w:val="000A6B0B"/>
    <w:rsid w:val="001474B9"/>
    <w:rsid w:val="0020410F"/>
    <w:rsid w:val="002247B4"/>
    <w:rsid w:val="00282EE9"/>
    <w:rsid w:val="00296CC2"/>
    <w:rsid w:val="002A39D3"/>
    <w:rsid w:val="002D6559"/>
    <w:rsid w:val="002D73B4"/>
    <w:rsid w:val="00303070"/>
    <w:rsid w:val="00303AAC"/>
    <w:rsid w:val="00333906"/>
    <w:rsid w:val="0038302E"/>
    <w:rsid w:val="00387DD9"/>
    <w:rsid w:val="003E4F7D"/>
    <w:rsid w:val="003F5295"/>
    <w:rsid w:val="00417039"/>
    <w:rsid w:val="004816A9"/>
    <w:rsid w:val="004A0DBD"/>
    <w:rsid w:val="004A0FCB"/>
    <w:rsid w:val="004A46A1"/>
    <w:rsid w:val="004B0A95"/>
    <w:rsid w:val="004B1A4C"/>
    <w:rsid w:val="004B3CD5"/>
    <w:rsid w:val="004B5148"/>
    <w:rsid w:val="004C06BA"/>
    <w:rsid w:val="004D7E6A"/>
    <w:rsid w:val="00523D27"/>
    <w:rsid w:val="005461C5"/>
    <w:rsid w:val="0056194E"/>
    <w:rsid w:val="005A7108"/>
    <w:rsid w:val="005C1468"/>
    <w:rsid w:val="005F36CC"/>
    <w:rsid w:val="006050B0"/>
    <w:rsid w:val="00625AE2"/>
    <w:rsid w:val="00695160"/>
    <w:rsid w:val="006A1B64"/>
    <w:rsid w:val="006B4BF9"/>
    <w:rsid w:val="006F4B8E"/>
    <w:rsid w:val="006F4FB3"/>
    <w:rsid w:val="007C0FAE"/>
    <w:rsid w:val="007C7B04"/>
    <w:rsid w:val="007F3DD0"/>
    <w:rsid w:val="00807F60"/>
    <w:rsid w:val="00905D3A"/>
    <w:rsid w:val="00911DDE"/>
    <w:rsid w:val="00927737"/>
    <w:rsid w:val="00960CA7"/>
    <w:rsid w:val="00960E70"/>
    <w:rsid w:val="00965DB4"/>
    <w:rsid w:val="00987708"/>
    <w:rsid w:val="00A218E8"/>
    <w:rsid w:val="00A43D71"/>
    <w:rsid w:val="00A467D3"/>
    <w:rsid w:val="00A94902"/>
    <w:rsid w:val="00AF1B64"/>
    <w:rsid w:val="00B461F6"/>
    <w:rsid w:val="00B55EE3"/>
    <w:rsid w:val="00B92588"/>
    <w:rsid w:val="00BB7F80"/>
    <w:rsid w:val="00BF53E4"/>
    <w:rsid w:val="00C20AB6"/>
    <w:rsid w:val="00C223FE"/>
    <w:rsid w:val="00D054FE"/>
    <w:rsid w:val="00D47B2C"/>
    <w:rsid w:val="00D53ECE"/>
    <w:rsid w:val="00D625D3"/>
    <w:rsid w:val="00D94284"/>
    <w:rsid w:val="00E43851"/>
    <w:rsid w:val="00E6479D"/>
    <w:rsid w:val="00E91094"/>
    <w:rsid w:val="00EF6D01"/>
    <w:rsid w:val="00F56E52"/>
    <w:rsid w:val="00FC3E78"/>
    <w:rsid w:val="00FD02AD"/>
    <w:rsid w:val="00FE02CA"/>
    <w:rsid w:val="00FE6F7C"/>
    <w:rsid w:val="067176BA"/>
    <w:rsid w:val="0C4F52F3"/>
    <w:rsid w:val="29840955"/>
    <w:rsid w:val="29B2760B"/>
    <w:rsid w:val="2AF82591"/>
    <w:rsid w:val="32BD592E"/>
    <w:rsid w:val="3C3537C5"/>
    <w:rsid w:val="45331F53"/>
    <w:rsid w:val="733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B7045"/>
  <w15:docId w15:val="{4DD81A8C-0EE7-41CF-B6E6-D9368F1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able of authorities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spacing w:line="20" w:lineRule="atLeast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able of authorities"/>
    <w:basedOn w:val="a"/>
    <w:next w:val="a"/>
    <w:uiPriority w:val="99"/>
    <w:unhideWhenUsed/>
    <w:qFormat/>
    <w:pPr>
      <w:ind w:leftChars="200" w:left="4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7">
    <w:name w:val="页眉 字符"/>
    <w:basedOn w:val="a1"/>
    <w:link w:val="a6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dcterms:created xsi:type="dcterms:W3CDTF">2021-11-05T09:24:00Z</dcterms:created>
  <dcterms:modified xsi:type="dcterms:W3CDTF">2021-11-11T02:40:00Z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4DC15FEBF39F4147A21ED9239CD17D9A</vt:lpwstr>
  </property>
</Properties>
</file>