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3" w:leftChars="-295" w:right="964" w:hanging="622" w:hangingChars="258"/>
        <w:jc w:val="left"/>
        <w:rPr>
          <w:rFonts w:ascii="仿宋" w:hAnsi="仿宋" w:eastAsia="仿宋"/>
          <w:b/>
          <w:sz w:val="24"/>
          <w:szCs w:val="24"/>
        </w:rPr>
      </w:pPr>
    </w:p>
    <w:p>
      <w:pPr>
        <w:spacing w:line="276" w:lineRule="auto"/>
        <w:ind w:left="3" w:leftChars="-295" w:right="964" w:hanging="622" w:hangingChars="258"/>
        <w:jc w:val="left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申请日期：2021年11月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b/>
          <w:sz w:val="24"/>
          <w:szCs w:val="24"/>
        </w:rPr>
        <w:t xml:space="preserve">日 </w:t>
      </w:r>
    </w:p>
    <w:tbl>
      <w:tblPr>
        <w:tblStyle w:val="5"/>
        <w:tblW w:w="10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3073"/>
        <w:gridCol w:w="1984"/>
        <w:gridCol w:w="3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10720" w:type="dxa"/>
            <w:gridSpan w:val="4"/>
            <w:shd w:val="clear" w:color="auto" w:fill="F2F2F2"/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bCs/>
                <w:sz w:val="24"/>
                <w:szCs w:val="24"/>
              </w:rPr>
              <w:t>投资申请信息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发起部门</w:t>
            </w:r>
          </w:p>
        </w:tc>
        <w:tc>
          <w:tcPr>
            <w:tcW w:w="3073" w:type="dxa"/>
            <w:vAlign w:val="center"/>
          </w:tcPr>
          <w:p>
            <w:pPr>
              <w:spacing w:line="288" w:lineRule="auto"/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</w:rPr>
              <w:t>股票投资部</w:t>
            </w:r>
          </w:p>
        </w:tc>
        <w:tc>
          <w:tcPr>
            <w:tcW w:w="1984" w:type="dxa"/>
            <w:vAlign w:val="center"/>
          </w:tcPr>
          <w:p>
            <w:pPr>
              <w:spacing w:line="288" w:lineRule="auto"/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发起人</w:t>
            </w:r>
          </w:p>
        </w:tc>
        <w:tc>
          <w:tcPr>
            <w:tcW w:w="3212" w:type="dxa"/>
            <w:vAlign w:val="center"/>
          </w:tcPr>
          <w:p>
            <w:pPr>
              <w:spacing w:line="288" w:lineRule="auto"/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</w:rPr>
              <w:t>倪晨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标的名称</w:t>
            </w:r>
          </w:p>
        </w:tc>
        <w:tc>
          <w:tcPr>
            <w:tcW w:w="3073" w:type="dxa"/>
            <w:vAlign w:val="center"/>
          </w:tcPr>
          <w:p>
            <w:pPr>
              <w:spacing w:line="288" w:lineRule="auto"/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</w:rPr>
              <w:t>银华鑫锐灵活配置混合型证券投资基金（1</w:t>
            </w:r>
            <w:r>
              <w:rPr>
                <w:rFonts w:ascii="仿宋" w:hAnsi="仿宋" w:eastAsia="仿宋" w:cs="仿宋_GB2312"/>
                <w:sz w:val="24"/>
                <w:szCs w:val="24"/>
              </w:rPr>
              <w:t>61834</w:t>
            </w:r>
            <w:r>
              <w:rPr>
                <w:rFonts w:hint="eastAsia" w:ascii="仿宋" w:hAnsi="仿宋" w:eastAsia="仿宋" w:cs="仿宋_GB2312"/>
                <w:sz w:val="24"/>
                <w:szCs w:val="24"/>
              </w:rPr>
              <w:t>）</w:t>
            </w:r>
          </w:p>
        </w:tc>
        <w:tc>
          <w:tcPr>
            <w:tcW w:w="1984" w:type="dxa"/>
            <w:vAlign w:val="center"/>
          </w:tcPr>
          <w:p>
            <w:pPr>
              <w:spacing w:line="288" w:lineRule="auto"/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投资币种及金额</w:t>
            </w:r>
          </w:p>
        </w:tc>
        <w:tc>
          <w:tcPr>
            <w:tcW w:w="3212" w:type="dxa"/>
            <w:vAlign w:val="center"/>
          </w:tcPr>
          <w:p>
            <w:pPr>
              <w:spacing w:line="288" w:lineRule="auto"/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</w:rPr>
              <w:t>不超过</w:t>
            </w:r>
            <w:r>
              <w:rPr>
                <w:rFonts w:hint="eastAsia" w:ascii="仿宋" w:hAnsi="仿宋" w:eastAsia="仿宋" w:cs="仿宋_GB2312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_GB2312"/>
                <w:sz w:val="24"/>
                <w:szCs w:val="24"/>
              </w:rPr>
              <w:t>亿元人民币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业务品种</w:t>
            </w:r>
          </w:p>
        </w:tc>
        <w:tc>
          <w:tcPr>
            <w:tcW w:w="826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Cs/>
                <w:sz w:val="24"/>
                <w:szCs w:val="24"/>
              </w:rPr>
              <w:t>C类业务，公募基金投资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如为A、B类业务</w:t>
            </w:r>
          </w:p>
        </w:tc>
        <w:tc>
          <w:tcPr>
            <w:tcW w:w="826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Cs/>
                <w:sz w:val="24"/>
              </w:rPr>
              <w:t>说明本次拟申请领用理财专项单一法人客户或集团客户额度，以及本次业务开展后总体单一法人客户限额及集团客户情况。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适用审批权限</w:t>
            </w:r>
          </w:p>
        </w:tc>
        <w:tc>
          <w:tcPr>
            <w:tcW w:w="826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Cs/>
                <w:sz w:val="24"/>
              </w:rPr>
              <w:t>根据投审办法及授权办法，货币基金80亿元以内的投资审批，公司分管副总经理为有权审批人。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证券代码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</w:rPr>
              <w:t>161834</w:t>
            </w:r>
          </w:p>
        </w:tc>
        <w:tc>
          <w:tcPr>
            <w:tcW w:w="1984" w:type="dxa"/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证券简称</w:t>
            </w:r>
          </w:p>
        </w:tc>
        <w:tc>
          <w:tcPr>
            <w:tcW w:w="3212" w:type="dxa"/>
            <w:vAlign w:val="center"/>
          </w:tcPr>
          <w:p>
            <w:pPr>
              <w:rPr>
                <w:rFonts w:ascii="仿宋" w:hAnsi="仿宋" w:eastAsia="仿宋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</w:rPr>
              <w:t>银华鑫锐灵活配置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发行人/原始权益人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仿宋" w:hAnsi="仿宋" w:eastAsia="仿宋" w:cs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管理人</w:t>
            </w:r>
          </w:p>
        </w:tc>
        <w:tc>
          <w:tcPr>
            <w:tcW w:w="3212" w:type="dxa"/>
            <w:vAlign w:val="center"/>
          </w:tcPr>
          <w:p>
            <w:pPr>
              <w:rPr>
                <w:rFonts w:ascii="仿宋" w:hAnsi="仿宋" w:eastAsia="仿宋" w:cs="仿宋_GB2312"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</w:rPr>
              <w:t>银华基金管理股份有限公司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承担实质风险主体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仿宋" w:hAnsi="仿宋" w:eastAsia="仿宋" w:cs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76" w:lineRule="auto"/>
              <w:rPr>
                <w:rFonts w:ascii="仿宋" w:hAnsi="仿宋" w:eastAsia="仿宋" w:cs="仿宋_GB2312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_GB2312"/>
                <w:b/>
                <w:sz w:val="24"/>
                <w:szCs w:val="24"/>
              </w:rPr>
              <w:t>有效期</w:t>
            </w:r>
          </w:p>
        </w:tc>
        <w:tc>
          <w:tcPr>
            <w:tcW w:w="3212" w:type="dxa"/>
            <w:vAlign w:val="center"/>
          </w:tcPr>
          <w:p>
            <w:pPr>
              <w:rPr>
                <w:rFonts w:ascii="仿宋" w:hAnsi="仿宋" w:eastAsia="仿宋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  <w:jc w:val="center"/>
        </w:trPr>
        <w:tc>
          <w:tcPr>
            <w:tcW w:w="10720" w:type="dxa"/>
            <w:gridSpan w:val="4"/>
            <w:vAlign w:val="center"/>
          </w:tcPr>
          <w:p>
            <w:pPr>
              <w:widowControl/>
              <w:spacing w:line="240" w:lineRule="auto"/>
              <w:jc w:val="left"/>
            </w:pPr>
          </w:p>
          <w:p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一、基金公司情况</w:t>
            </w:r>
          </w:p>
          <w:p>
            <w:pPr>
              <w:widowControl/>
              <w:spacing w:line="240" w:lineRule="auto"/>
              <w:ind w:firstLine="420" w:firstLineChars="200"/>
              <w:jc w:val="left"/>
            </w:pPr>
            <w:r>
              <w:rPr>
                <w:rFonts w:hint="eastAsia"/>
              </w:rPr>
              <w:t>银华基金管理股份有限公司成立于2001年5月，注册资本2.222亿元人民币，成立20年以来，凭借诚信、规范、稳健、务实的运作风格，已发展为一家全牌照、综合型资产管理公司。公司产品线完整，投资管理经验丰富，业绩优异。2021年，银华基金再度荣膺“金牛基金管理公司”，成立至今已八度荣膺“金牛基金管理公司”。银华基金拥有企业年金、QDII、特定客户资产管理、社保基金、保险资金、基本养老保险等管理牌照，是业内为数不多的全牌照基金管理公司。</w:t>
            </w:r>
          </w:p>
          <w:p>
            <w:pPr>
              <w:widowControl/>
              <w:spacing w:line="240" w:lineRule="auto"/>
              <w:ind w:firstLine="420" w:firstLineChars="200"/>
              <w:jc w:val="left"/>
            </w:pPr>
            <w:r>
              <w:rPr>
                <w:rFonts w:hint="eastAsia"/>
              </w:rPr>
              <w:t>截至2021年9月30日，公司总人数</w:t>
            </w:r>
            <w:r>
              <w:t>599</w:t>
            </w:r>
            <w:r>
              <w:rPr>
                <w:rFonts w:hint="eastAsia"/>
              </w:rPr>
              <w:t>人，其中投研团队人员1</w:t>
            </w:r>
            <w:r>
              <w:t>94</w:t>
            </w:r>
            <w:r>
              <w:rPr>
                <w:rFonts w:hint="eastAsia"/>
              </w:rPr>
              <w:t>人（投资1</w:t>
            </w:r>
            <w:r>
              <w:t>40</w:t>
            </w:r>
            <w:r>
              <w:rPr>
                <w:rFonts w:hint="eastAsia"/>
              </w:rPr>
              <w:t>人，研究</w:t>
            </w:r>
            <w:r>
              <w:t>56</w:t>
            </w:r>
            <w:r>
              <w:rPr>
                <w:rFonts w:hint="eastAsia"/>
              </w:rPr>
              <w:t>人），占比超过3</w:t>
            </w:r>
            <w:r>
              <w:t>2</w:t>
            </w:r>
            <w:r>
              <w:rPr>
                <w:rFonts w:hint="eastAsia"/>
              </w:rPr>
              <w:t>%，投研团队人数在同等管理规模基金公司中处于领先地位，公司整体人员和投研人员的离职率均远低于行业平均水平。公司旗下管理公募基金产品155只，建立了权益、固收、货币、指数、QDII、量化被动等各类公募基金及专户产品的全系列产品线，资产管理总规模9168.01亿。</w:t>
            </w:r>
          </w:p>
          <w:p>
            <w:pPr>
              <w:pStyle w:val="2"/>
              <w:widowControl/>
              <w:spacing w:line="240" w:lineRule="auto"/>
              <w:ind w:left="0" w:leftChars="0"/>
              <w:jc w:val="left"/>
            </w:pPr>
          </w:p>
          <w:p>
            <w:pPr>
              <w:pStyle w:val="2"/>
              <w:widowControl/>
              <w:spacing w:line="240" w:lineRule="auto"/>
              <w:ind w:left="0" w:leftChars="0"/>
              <w:jc w:val="left"/>
            </w:pPr>
            <w:r>
              <w:rPr>
                <w:rFonts w:hint="eastAsia"/>
              </w:rPr>
              <w:t>二、基金基本信息</w:t>
            </w:r>
          </w:p>
          <w:p>
            <w:pPr>
              <w:pStyle w:val="2"/>
              <w:widowControl/>
              <w:spacing w:line="240" w:lineRule="auto"/>
              <w:ind w:left="0" w:leftChars="0"/>
              <w:jc w:val="left"/>
            </w:pPr>
            <w:r>
              <w:rPr>
                <w:rFonts w:hint="eastAsia"/>
              </w:rPr>
              <w:t>1、规模情况</w:t>
            </w:r>
          </w:p>
          <w:p>
            <w:pPr>
              <w:pStyle w:val="2"/>
              <w:widowControl/>
              <w:spacing w:line="240" w:lineRule="auto"/>
              <w:ind w:left="0" w:leftChars="0" w:firstLine="420" w:firstLineChars="200"/>
              <w:jc w:val="left"/>
            </w:pPr>
            <w:r>
              <w:rPr>
                <w:rFonts w:hint="eastAsia"/>
              </w:rPr>
              <w:t>基金经理当前管理总规模为41.44亿元，其中银华鑫锐基金当前规模为23.26亿元（数据截至11月03日）。</w:t>
            </w:r>
          </w:p>
          <w:tbl>
            <w:tblPr>
              <w:tblStyle w:val="5"/>
              <w:tblW w:w="1008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0"/>
              <w:gridCol w:w="1270"/>
              <w:gridCol w:w="1270"/>
              <w:gridCol w:w="1270"/>
              <w:gridCol w:w="1270"/>
              <w:gridCol w:w="1270"/>
              <w:gridCol w:w="1270"/>
              <w:gridCol w:w="119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3" w:hRule="atLeast"/>
                <w:jc w:val="center"/>
              </w:trPr>
              <w:tc>
                <w:tcPr>
                  <w:tcW w:w="10081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银华鑫锐基金规模变动情况（亿元）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3" w:hRule="atLeast"/>
                <w:jc w:val="center"/>
              </w:trPr>
              <w:tc>
                <w:tcPr>
                  <w:tcW w:w="127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20210930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20210630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20210331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20201231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20200930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20200630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20200331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20191231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27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19.56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6.61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5.16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5.08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3.57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2.79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3.28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4.02</w:t>
                  </w:r>
                </w:p>
              </w:tc>
            </w:tr>
          </w:tbl>
          <w:p>
            <w:pPr>
              <w:pStyle w:val="2"/>
              <w:widowControl/>
              <w:numPr>
                <w:ilvl w:val="0"/>
                <w:numId w:val="1"/>
              </w:numPr>
              <w:spacing w:line="240" w:lineRule="auto"/>
              <w:ind w:left="0" w:leftChars="0"/>
              <w:jc w:val="left"/>
            </w:pPr>
            <w:r>
              <w:rPr>
                <w:rFonts w:hint="eastAsia"/>
              </w:rPr>
              <w:t>仓位及集中度情况</w:t>
            </w:r>
          </w:p>
          <w:p>
            <w:pPr>
              <w:pStyle w:val="2"/>
              <w:widowControl/>
              <w:spacing w:line="240" w:lineRule="auto"/>
              <w:ind w:left="0" w:leftChars="0" w:firstLine="420" w:firstLineChars="200"/>
              <w:jc w:val="left"/>
            </w:pPr>
            <w:r>
              <w:rPr>
                <w:rFonts w:hint="eastAsia"/>
              </w:rPr>
              <w:t>本基金仓位中枢在70%-80%。202</w:t>
            </w:r>
            <w:r>
              <w:t>1</w:t>
            </w:r>
            <w:r>
              <w:rPr>
                <w:rFonts w:hint="eastAsia"/>
              </w:rPr>
              <w:t>年三季报披露前十大重仓股占比26.81%，集中度低于同类基金，持仓较为分散。</w:t>
            </w:r>
          </w:p>
          <w:p/>
          <w:tbl>
            <w:tblPr>
              <w:tblStyle w:val="5"/>
              <w:tblW w:w="6727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15"/>
              <w:gridCol w:w="331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672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银华鑫锐基金2021年三季度前十大持股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股票名称</w:t>
                  </w:r>
                </w:p>
              </w:tc>
              <w:tc>
                <w:tcPr>
                  <w:tcW w:w="331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占基金净值比例（%）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赤峰黄金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3.98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工商银行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3.78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浙江医药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3.21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中国建筑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2.93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0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中国太保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2.90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中国石油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2.31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新和成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2.17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光明乳业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1.95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中信证券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1.90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中国石化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1.68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合计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26.81</w:t>
                  </w:r>
                </w:p>
              </w:tc>
            </w:tr>
          </w:tbl>
          <w:p>
            <w:pPr>
              <w:widowControl/>
              <w:jc w:val="left"/>
            </w:pPr>
            <w:r>
              <w:rPr>
                <w:rFonts w:hint="eastAsia"/>
              </w:rPr>
              <w:t>3、产品费率结构</w:t>
            </w:r>
          </w:p>
          <w:p>
            <w:pPr>
              <w:pStyle w:val="2"/>
              <w:ind w:leftChars="0"/>
            </w:pPr>
          </w:p>
          <w:tbl>
            <w:tblPr>
              <w:tblStyle w:val="5"/>
              <w:tblW w:w="9567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6"/>
              <w:gridCol w:w="1076"/>
              <w:gridCol w:w="1076"/>
              <w:gridCol w:w="3373"/>
              <w:gridCol w:w="296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1" w:hRule="atLeast"/>
                <w:jc w:val="center"/>
              </w:trPr>
              <w:tc>
                <w:tcPr>
                  <w:tcW w:w="10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基金费率</w:t>
                  </w:r>
                </w:p>
              </w:tc>
              <w:tc>
                <w:tcPr>
                  <w:tcW w:w="107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管理费</w:t>
                  </w:r>
                </w:p>
              </w:tc>
              <w:tc>
                <w:tcPr>
                  <w:tcW w:w="107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托管费</w:t>
                  </w:r>
                </w:p>
              </w:tc>
              <w:tc>
                <w:tcPr>
                  <w:tcW w:w="33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申购费（非社保、养老金、企业年金）</w:t>
                  </w:r>
                </w:p>
              </w:tc>
              <w:tc>
                <w:tcPr>
                  <w:tcW w:w="296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赎回费（场外）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13" w:hRule="atLeast"/>
                <w:jc w:val="center"/>
              </w:trPr>
              <w:tc>
                <w:tcPr>
                  <w:tcW w:w="107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银华鑫锐灵活配置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1.50%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0.25%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金额&lt;50万，1.5%;</w:t>
                  </w:r>
                </w:p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50万&lt;=金额&lt;100万，1.2%;</w:t>
                  </w:r>
                </w:p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100万&lt;=金额&lt;200万，1.00%;</w:t>
                  </w:r>
                </w:p>
                <w:p>
                  <w:pPr>
                    <w:pStyle w:val="2"/>
                  </w:pPr>
                  <w:r>
                    <w:rPr>
                      <w:rFonts w:hint="eastAsia"/>
                    </w:rPr>
                    <w:t>200万&lt;=金额&lt;500万，0.6%；</w:t>
                  </w:r>
                </w:p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500万&lt;=金额，1000元/笔。</w:t>
                  </w:r>
                  <w:r>
                    <w:rPr>
                      <w:rFonts w:hint="eastAsia"/>
                    </w:rPr>
                    <w:br w:type="textWrapping"/>
                  </w:r>
                </w:p>
              </w:tc>
              <w:tc>
                <w:tcPr>
                  <w:tcW w:w="296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期限&lt;7日，1.5%;</w:t>
                  </w:r>
                </w:p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7日&lt;=期限&lt;365日，0.5%;</w:t>
                  </w:r>
                </w:p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365日&lt;=期限&lt;730日，0.25%;</w:t>
                  </w:r>
                </w:p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730日&lt;=期限，0%。</w:t>
                  </w:r>
                </w:p>
              </w:tc>
            </w:tr>
          </w:tbl>
          <w:p>
            <w:pPr>
              <w:pStyle w:val="2"/>
              <w:widowControl/>
              <w:numPr>
                <w:ilvl w:val="0"/>
                <w:numId w:val="2"/>
              </w:numPr>
              <w:spacing w:line="240" w:lineRule="auto"/>
              <w:ind w:leftChars="0"/>
              <w:jc w:val="left"/>
            </w:pPr>
            <w:r>
              <w:rPr>
                <w:rFonts w:hint="eastAsia"/>
              </w:rPr>
              <w:t>产品持有人结构</w:t>
            </w:r>
          </w:p>
          <w:p>
            <w:pPr>
              <w:pStyle w:val="2"/>
              <w:widowControl/>
              <w:spacing w:line="240" w:lineRule="auto"/>
              <w:ind w:left="0" w:leftChars="0" w:firstLine="420" w:firstLineChars="200"/>
              <w:jc w:val="left"/>
            </w:pPr>
            <w:r>
              <w:rPr>
                <w:rFonts w:hint="eastAsia"/>
              </w:rPr>
              <w:t>截至2021年6月30日，银华鑫锐机构投资者持有份额占比为67.03%。散户与机构持有人占比合理，兼顾投资便利性与流动性。</w:t>
            </w:r>
          </w:p>
          <w:p>
            <w:pPr>
              <w:widowControl/>
              <w:spacing w:line="240" w:lineRule="auto"/>
              <w:jc w:val="left"/>
            </w:pPr>
          </w:p>
          <w:p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三、投资经理及策略情况</w:t>
            </w:r>
          </w:p>
          <w:p>
            <w:pPr>
              <w:widowControl/>
              <w:spacing w:line="240" w:lineRule="auto"/>
              <w:jc w:val="left"/>
            </w:pPr>
            <w:r>
              <w:t>1</w:t>
            </w:r>
            <w:r>
              <w:rPr>
                <w:rFonts w:hint="eastAsia"/>
              </w:rPr>
              <w:t>、基金经理：王海峰先生，13年从业，13年在司，6年投资管理经验。2008年7月起加入银华基金。2016年3月至2019年12月担任银华生态环保主题灵活配置混合型证券投资基金基金经理。2018年6月起至2019年12月任银华国企改革混合型发起式证券投资基金基金经理。2018年10月起任银华鑫盛定增灵活配置混合型证券投资基金(20181015更名为银华鑫盛灵活配置混合型证券投资基金(LOF))基金经理。2019年7月起担任银华鑫锐定增灵活配置混合型证券投资基金基金经理。2021年07月起任银华鑫利一年持有期混合型证券投资基金基金经理。</w:t>
            </w:r>
          </w:p>
          <w:p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</w:pPr>
            <w:r>
              <w:rPr>
                <w:rFonts w:hint="eastAsia"/>
              </w:rPr>
              <w:t>基金经理业绩情况：代表产品银华鑫锐（161834）是银华基金最绩优产品之一，该产品成立于2016年8月1日，自2019年7月19日起由王海峰接管，截至目前管理已满三年。接管以来累计投资收益136.77%，年化回报45.49%，同类排名270/1906。（数据来源：wind，截至</w:t>
            </w:r>
            <w:r>
              <w:t>2021年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03</w:t>
            </w:r>
            <w:r>
              <w:t>日</w:t>
            </w:r>
            <w:r>
              <w:rPr>
                <w:rFonts w:hint="eastAsia"/>
              </w:rPr>
              <w:t>）。</w:t>
            </w:r>
          </w:p>
          <w:p>
            <w:pPr>
              <w:pStyle w:val="2"/>
            </w:pPr>
          </w:p>
          <w:p>
            <w:pPr>
              <w:rPr>
                <w:rFonts w:hint="eastAsia"/>
              </w:rPr>
            </w:pPr>
          </w:p>
          <w:p/>
          <w:tbl>
            <w:tblPr>
              <w:tblStyle w:val="5"/>
              <w:tblW w:w="7388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57"/>
              <w:gridCol w:w="1303"/>
              <w:gridCol w:w="1157"/>
              <w:gridCol w:w="1200"/>
              <w:gridCol w:w="167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738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王海峰目前在管基金业绩情况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05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产品名称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任职日期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任职回报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年化回报</w:t>
                  </w:r>
                </w:p>
              </w:tc>
              <w:tc>
                <w:tcPr>
                  <w:tcW w:w="167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回报排名</w:t>
                  </w:r>
                </w:p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（管理以来）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05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银华鑫盛灵活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2018-10-10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209.14%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44.41%</w:t>
                  </w:r>
                </w:p>
              </w:tc>
              <w:tc>
                <w:tcPr>
                  <w:tcW w:w="167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141/1822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05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银华鑫锐灵活配置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2019-07-19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136.77%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45.49%</w:t>
                  </w:r>
                </w:p>
              </w:tc>
              <w:tc>
                <w:tcPr>
                  <w:tcW w:w="167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270/1906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05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银华鑫利一年持有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2021-07-23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2.05%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7.38%</w:t>
                  </w:r>
                </w:p>
              </w:tc>
              <w:tc>
                <w:tcPr>
                  <w:tcW w:w="167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304/2120</w:t>
                  </w:r>
                </w:p>
              </w:tc>
            </w:tr>
          </w:tbl>
          <w:p>
            <w:pPr>
              <w:pStyle w:val="2"/>
              <w:widowControl/>
              <w:spacing w:line="240" w:lineRule="auto"/>
              <w:ind w:left="0" w:leftChars="0"/>
              <w:jc w:val="left"/>
            </w:pPr>
            <w:r>
              <w:t>3</w:t>
            </w:r>
            <w:r>
              <w:rPr>
                <w:rFonts w:hint="eastAsia"/>
              </w:rPr>
              <w:t>、投资目标及投资策略</w:t>
            </w:r>
          </w:p>
          <w:p>
            <w:pPr>
              <w:pStyle w:val="2"/>
              <w:widowControl/>
              <w:spacing w:line="240" w:lineRule="auto"/>
              <w:ind w:left="0" w:leftChars="0" w:firstLine="420" w:firstLineChars="200"/>
              <w:jc w:val="left"/>
            </w:pPr>
            <w:r>
              <w:rPr>
                <w:rFonts w:hint="eastAsia"/>
              </w:rPr>
              <w:t>投资目标：鑫锐合同的权益仓位是0-95%，基金经理目标是将其做成一个类绝对收益的产品，仓位中枢在70-80%。基金经理投资理念一直是“积小胜为大胜”，既能保证一定的低回撤，又能在整体市场上保持一个相对靠前的排名，前五前十这种肯定是不会，但是在市场排前1/3、1/4，这种是基金经理追求的目标。</w:t>
            </w:r>
          </w:p>
          <w:p>
            <w:pPr>
              <w:pStyle w:val="2"/>
              <w:widowControl/>
              <w:spacing w:line="240" w:lineRule="auto"/>
              <w:ind w:left="0" w:leftChars="0" w:firstLine="420" w:firstLineChars="200"/>
              <w:jc w:val="left"/>
            </w:pPr>
            <w:r>
              <w:rPr>
                <w:rFonts w:hint="eastAsia"/>
              </w:rPr>
              <w:t>配置思路：收益和风险并重的灵活投资，做投资时无论组合的构建、个股的买卖都遵循当下时点的风险收益比,力求在承担较小风险的情况下获取较高的收益，不冒很大风险赚疯狂的钱。投资框架方面遵循先自上而下，再自下而上的投资框架构建。根据研究经验和判断确定大类资产的比例。基金经理会考虑当下时间点各个行业及各个产业链情况，通过行业和产业之间的比较做相对超配。自上而下做选择，虽然每个行业至产业都有几百只股票，依然继续往下走，落实到具体产业链的某些环节，来简化整个流程。再划到子行业和产业环节之后，每个产业环节的只数就有限，从而起到事半功倍的效果。选好子行业和产品行业后再研究小圈里的股票进行选择。重视考虑个股当下的安全边际风险收益比，即不唯大论，也唯小论，而是按照风险收益比的角度选择。</w:t>
            </w:r>
          </w:p>
          <w:p>
            <w:pPr>
              <w:pStyle w:val="2"/>
              <w:widowControl/>
              <w:spacing w:line="240" w:lineRule="auto"/>
              <w:ind w:left="0" w:leftChars="0" w:firstLine="420" w:firstLineChars="200"/>
              <w:jc w:val="left"/>
            </w:pPr>
            <w:r>
              <w:rPr>
                <w:rFonts w:hint="eastAsia"/>
              </w:rPr>
              <w:t>当前市场观点及持仓情况：基金经理简单将市场分为四大块，金融、科技、消费、周期，基金平均权益仓位70-80%，一般情况下基金配置比较均衡，平均每个方向20%。基金经理在看好某个方向的时候会做适当的偏离来表明市场观点，但是最多超配十几个点。在目前市场情况下，基金经理目前超配了大金融，略低配了消费、周期、成长。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四、风险分析：银华鑫锐基金面临的风险主要包括底仓波动风险、利率风险、信用风险、流动性风险、市场风险、政策风险和经济周期风险等。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五、申请理由：</w:t>
            </w:r>
          </w:p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</w:rPr>
              <w:t>该基金经理</w:t>
            </w:r>
            <w:r>
              <w:rPr>
                <w:rFonts w:hint="eastAsia"/>
                <w:lang w:val="en-US" w:eastAsia="zh-CN"/>
              </w:rPr>
              <w:t>自上而下</w:t>
            </w:r>
            <w:r>
              <w:rPr>
                <w:rFonts w:hint="eastAsia"/>
              </w:rPr>
              <w:t>板块轮动风格显著，管理以来超额收益良好，注重回撤，拟申请入池作为权益底仓配置。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8F9AC"/>
    <w:multiLevelType w:val="singleLevel"/>
    <w:tmpl w:val="9E98F9A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F5A19E7"/>
    <w:multiLevelType w:val="multilevel"/>
    <w:tmpl w:val="3F5A19E7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63A1AB"/>
    <w:multiLevelType w:val="singleLevel"/>
    <w:tmpl w:val="6F63A1A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82591"/>
    <w:rsid w:val="001474B9"/>
    <w:rsid w:val="0020410F"/>
    <w:rsid w:val="002247B4"/>
    <w:rsid w:val="00296CC2"/>
    <w:rsid w:val="002A39D3"/>
    <w:rsid w:val="002D73B4"/>
    <w:rsid w:val="002F2B49"/>
    <w:rsid w:val="00333906"/>
    <w:rsid w:val="0038302E"/>
    <w:rsid w:val="00387DD9"/>
    <w:rsid w:val="003A6315"/>
    <w:rsid w:val="003E4F7D"/>
    <w:rsid w:val="003F5295"/>
    <w:rsid w:val="00417039"/>
    <w:rsid w:val="004816A9"/>
    <w:rsid w:val="004A0DBD"/>
    <w:rsid w:val="004A0FCB"/>
    <w:rsid w:val="004A46A1"/>
    <w:rsid w:val="004B0A95"/>
    <w:rsid w:val="004B1A4C"/>
    <w:rsid w:val="004B5148"/>
    <w:rsid w:val="004C06BA"/>
    <w:rsid w:val="004D7E6A"/>
    <w:rsid w:val="00523D27"/>
    <w:rsid w:val="005461C5"/>
    <w:rsid w:val="005A7108"/>
    <w:rsid w:val="005C1468"/>
    <w:rsid w:val="006050B0"/>
    <w:rsid w:val="00625AE2"/>
    <w:rsid w:val="00654F45"/>
    <w:rsid w:val="00664A26"/>
    <w:rsid w:val="006B4BF9"/>
    <w:rsid w:val="006F4B8E"/>
    <w:rsid w:val="007C0FAE"/>
    <w:rsid w:val="00807F60"/>
    <w:rsid w:val="0089280C"/>
    <w:rsid w:val="00905D3A"/>
    <w:rsid w:val="00915E2C"/>
    <w:rsid w:val="00923653"/>
    <w:rsid w:val="00927737"/>
    <w:rsid w:val="00960CA7"/>
    <w:rsid w:val="00960E70"/>
    <w:rsid w:val="00965DB4"/>
    <w:rsid w:val="00987708"/>
    <w:rsid w:val="00A43D71"/>
    <w:rsid w:val="00A467D3"/>
    <w:rsid w:val="00A94902"/>
    <w:rsid w:val="00AF1B64"/>
    <w:rsid w:val="00B461F6"/>
    <w:rsid w:val="00B92588"/>
    <w:rsid w:val="00BB7F80"/>
    <w:rsid w:val="00BF53E4"/>
    <w:rsid w:val="00C13BED"/>
    <w:rsid w:val="00C223FE"/>
    <w:rsid w:val="00D054FE"/>
    <w:rsid w:val="00D47B2C"/>
    <w:rsid w:val="00D53ECE"/>
    <w:rsid w:val="00D94284"/>
    <w:rsid w:val="00E43851"/>
    <w:rsid w:val="00E6479D"/>
    <w:rsid w:val="00E91094"/>
    <w:rsid w:val="00F56E52"/>
    <w:rsid w:val="00FC3E78"/>
    <w:rsid w:val="00FD02AD"/>
    <w:rsid w:val="00FE02CA"/>
    <w:rsid w:val="02D135D7"/>
    <w:rsid w:val="02E738A4"/>
    <w:rsid w:val="039946B4"/>
    <w:rsid w:val="039E6FF3"/>
    <w:rsid w:val="03AB444D"/>
    <w:rsid w:val="03C90A4B"/>
    <w:rsid w:val="04CC469B"/>
    <w:rsid w:val="05857985"/>
    <w:rsid w:val="06691BD1"/>
    <w:rsid w:val="08180F53"/>
    <w:rsid w:val="08EC6207"/>
    <w:rsid w:val="096E26E4"/>
    <w:rsid w:val="09E020E2"/>
    <w:rsid w:val="0BDE219A"/>
    <w:rsid w:val="0BE16A04"/>
    <w:rsid w:val="0C4F52F3"/>
    <w:rsid w:val="0DDD43D6"/>
    <w:rsid w:val="0F6F69F6"/>
    <w:rsid w:val="123C4D0D"/>
    <w:rsid w:val="1270234E"/>
    <w:rsid w:val="130414BF"/>
    <w:rsid w:val="1532148C"/>
    <w:rsid w:val="156D72F5"/>
    <w:rsid w:val="183E37B9"/>
    <w:rsid w:val="187832AE"/>
    <w:rsid w:val="1B3617F5"/>
    <w:rsid w:val="1CFE0B80"/>
    <w:rsid w:val="1D2D24D2"/>
    <w:rsid w:val="1D70095B"/>
    <w:rsid w:val="1E101054"/>
    <w:rsid w:val="1E203734"/>
    <w:rsid w:val="1FD32CFF"/>
    <w:rsid w:val="1FFD04BA"/>
    <w:rsid w:val="205D76D0"/>
    <w:rsid w:val="20744E7E"/>
    <w:rsid w:val="20CB5CE0"/>
    <w:rsid w:val="241E3FE6"/>
    <w:rsid w:val="25690E8E"/>
    <w:rsid w:val="25B7260C"/>
    <w:rsid w:val="264D731E"/>
    <w:rsid w:val="27291300"/>
    <w:rsid w:val="2792532D"/>
    <w:rsid w:val="283B5B7E"/>
    <w:rsid w:val="28FB5FF2"/>
    <w:rsid w:val="296F3511"/>
    <w:rsid w:val="29840955"/>
    <w:rsid w:val="29B2760B"/>
    <w:rsid w:val="29C83B9B"/>
    <w:rsid w:val="2A374ACB"/>
    <w:rsid w:val="2A4B6082"/>
    <w:rsid w:val="2AE65C11"/>
    <w:rsid w:val="2AF82591"/>
    <w:rsid w:val="2B42266C"/>
    <w:rsid w:val="2BF33B90"/>
    <w:rsid w:val="2CC41C2A"/>
    <w:rsid w:val="2EF53303"/>
    <w:rsid w:val="2F0F0865"/>
    <w:rsid w:val="2F2C2FDB"/>
    <w:rsid w:val="2FA365E8"/>
    <w:rsid w:val="31ED644F"/>
    <w:rsid w:val="3220237B"/>
    <w:rsid w:val="327E2D82"/>
    <w:rsid w:val="32900346"/>
    <w:rsid w:val="32BC652C"/>
    <w:rsid w:val="336A6098"/>
    <w:rsid w:val="339D0C23"/>
    <w:rsid w:val="363E777D"/>
    <w:rsid w:val="38394E28"/>
    <w:rsid w:val="38B1390C"/>
    <w:rsid w:val="390C3596"/>
    <w:rsid w:val="3BDF4A6A"/>
    <w:rsid w:val="3C3537C5"/>
    <w:rsid w:val="3DF742BB"/>
    <w:rsid w:val="3EB13360"/>
    <w:rsid w:val="405F781B"/>
    <w:rsid w:val="4338418B"/>
    <w:rsid w:val="43844AB4"/>
    <w:rsid w:val="44CF6294"/>
    <w:rsid w:val="452923C9"/>
    <w:rsid w:val="468278B0"/>
    <w:rsid w:val="472345EF"/>
    <w:rsid w:val="47BD0513"/>
    <w:rsid w:val="47EF35F5"/>
    <w:rsid w:val="4A711771"/>
    <w:rsid w:val="4B3967FA"/>
    <w:rsid w:val="4B455365"/>
    <w:rsid w:val="4B532308"/>
    <w:rsid w:val="4C351C83"/>
    <w:rsid w:val="4C453AEF"/>
    <w:rsid w:val="4CD466C0"/>
    <w:rsid w:val="4CD650C9"/>
    <w:rsid w:val="4E83777B"/>
    <w:rsid w:val="4EF05A56"/>
    <w:rsid w:val="4FC57E54"/>
    <w:rsid w:val="50571DC4"/>
    <w:rsid w:val="50ED2F26"/>
    <w:rsid w:val="52F55509"/>
    <w:rsid w:val="53275467"/>
    <w:rsid w:val="53361273"/>
    <w:rsid w:val="55660FD3"/>
    <w:rsid w:val="560A6B31"/>
    <w:rsid w:val="563C7450"/>
    <w:rsid w:val="56F840AF"/>
    <w:rsid w:val="57620C11"/>
    <w:rsid w:val="57B42ACE"/>
    <w:rsid w:val="57D26AA5"/>
    <w:rsid w:val="5861523E"/>
    <w:rsid w:val="5899211C"/>
    <w:rsid w:val="5A3B2915"/>
    <w:rsid w:val="5B66799D"/>
    <w:rsid w:val="5C0F66AF"/>
    <w:rsid w:val="5C5C0D3E"/>
    <w:rsid w:val="5CCF2636"/>
    <w:rsid w:val="5D283FAB"/>
    <w:rsid w:val="5DC57CE3"/>
    <w:rsid w:val="607228F2"/>
    <w:rsid w:val="60932819"/>
    <w:rsid w:val="63014076"/>
    <w:rsid w:val="638A648E"/>
    <w:rsid w:val="63EB0A39"/>
    <w:rsid w:val="644360E2"/>
    <w:rsid w:val="65992BA8"/>
    <w:rsid w:val="66951F30"/>
    <w:rsid w:val="675420DE"/>
    <w:rsid w:val="68011174"/>
    <w:rsid w:val="68B76E2F"/>
    <w:rsid w:val="6A8633B2"/>
    <w:rsid w:val="6B471C39"/>
    <w:rsid w:val="6B9059EB"/>
    <w:rsid w:val="6CE44F5E"/>
    <w:rsid w:val="6DE4315E"/>
    <w:rsid w:val="6E3538F5"/>
    <w:rsid w:val="6EAB7F9A"/>
    <w:rsid w:val="6ED4645C"/>
    <w:rsid w:val="6ED973FC"/>
    <w:rsid w:val="6F984B1B"/>
    <w:rsid w:val="730E1BFE"/>
    <w:rsid w:val="733F0156"/>
    <w:rsid w:val="73BE6F2C"/>
    <w:rsid w:val="748D0BCA"/>
    <w:rsid w:val="7537512A"/>
    <w:rsid w:val="75A817D0"/>
    <w:rsid w:val="776C1336"/>
    <w:rsid w:val="77D81FC0"/>
    <w:rsid w:val="78AA0897"/>
    <w:rsid w:val="78FC6925"/>
    <w:rsid w:val="7A9A6E32"/>
    <w:rsid w:val="7ACE14B6"/>
    <w:rsid w:val="7AF72BF0"/>
    <w:rsid w:val="7B446157"/>
    <w:rsid w:val="7C3161D1"/>
    <w:rsid w:val="7E724D36"/>
    <w:rsid w:val="7EB43673"/>
    <w:rsid w:val="7F9079FF"/>
    <w:rsid w:val="7FE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iPriority="99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0" w:lineRule="atLeas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unhideWhenUsed/>
    <w:qFormat/>
    <w:uiPriority w:val="99"/>
    <w:pPr>
      <w:ind w:left="420" w:leftChars="200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8">
    <w:name w:val="页眉 字符"/>
    <w:basedOn w:val="6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416</Words>
  <Characters>2374</Characters>
  <Lines>19</Lines>
  <Paragraphs>5</Paragraphs>
  <TotalTime>13</TotalTime>
  <ScaleCrop>false</ScaleCrop>
  <LinksUpToDate>false</LinksUpToDate>
  <CharactersWithSpaces>2785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2021-11-11T03:04:00Z</dcterms:created>
  <dc:creator>admin</dc:creator>
  <cp:lastModifiedBy>霓霓</cp:lastModifiedBy>
  <dcterms:modified xsi:type="dcterms:W3CDTF">2021-11-11T03:52:57Z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2D1E5CBA69AB487B8A46DAD70A1DB3AD</vt:lpwstr>
  </property>
</Properties>
</file>