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6EE30" w14:textId="77777777" w:rsidR="004E4596" w:rsidRDefault="004E4596">
      <w:pPr>
        <w:spacing w:line="276" w:lineRule="auto"/>
        <w:ind w:leftChars="-295" w:left="3" w:right="964" w:hangingChars="258" w:hanging="622"/>
        <w:jc w:val="left"/>
        <w:rPr>
          <w:rFonts w:ascii="仿宋_GB2312" w:eastAsia="仿宋_GB2312"/>
          <w:b/>
          <w:sz w:val="24"/>
        </w:rPr>
      </w:pPr>
    </w:p>
    <w:p w14:paraId="51EC6E3E" w14:textId="77777777" w:rsidR="004E4596" w:rsidRDefault="00750C27">
      <w:pPr>
        <w:spacing w:line="276" w:lineRule="auto"/>
        <w:ind w:leftChars="-295" w:left="3" w:right="964" w:hangingChars="258" w:hanging="622"/>
        <w:jc w:val="left"/>
        <w:rPr>
          <w:rFonts w:ascii="仿宋_GB2312" w:eastAsia="仿宋_GB2312"/>
          <w:b/>
          <w:sz w:val="24"/>
        </w:rPr>
      </w:pPr>
      <w:r>
        <w:rPr>
          <w:rFonts w:ascii="仿宋_GB2312" w:eastAsia="仿宋_GB2312" w:hint="eastAsia"/>
          <w:b/>
          <w:sz w:val="24"/>
        </w:rPr>
        <w:t xml:space="preserve">申请日期：2021年11月1日 </w:t>
      </w:r>
    </w:p>
    <w:tbl>
      <w:tblPr>
        <w:tblW w:w="10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1"/>
        <w:gridCol w:w="2909"/>
        <w:gridCol w:w="2148"/>
        <w:gridCol w:w="3212"/>
      </w:tblGrid>
      <w:tr w:rsidR="004E4596" w14:paraId="31136865" w14:textId="77777777">
        <w:trPr>
          <w:trHeight w:val="670"/>
          <w:jc w:val="center"/>
        </w:trPr>
        <w:tc>
          <w:tcPr>
            <w:tcW w:w="10720" w:type="dxa"/>
            <w:gridSpan w:val="4"/>
            <w:shd w:val="clear" w:color="auto" w:fill="F2F2F2"/>
            <w:vAlign w:val="center"/>
          </w:tcPr>
          <w:p w14:paraId="764E3350" w14:textId="77777777" w:rsidR="004E4596" w:rsidRDefault="00750C27">
            <w:pPr>
              <w:spacing w:line="276" w:lineRule="auto"/>
              <w:jc w:val="center"/>
              <w:rPr>
                <w:rFonts w:ascii="仿宋_GB2312" w:eastAsia="仿宋_GB2312" w:hAnsi="仿宋_GB2312" w:cs="仿宋_GB2312"/>
                <w:sz w:val="24"/>
              </w:rPr>
            </w:pPr>
            <w:r>
              <w:rPr>
                <w:rFonts w:ascii="仿宋_GB2312" w:eastAsia="仿宋_GB2312" w:hAnsi="仿宋_GB2312" w:cs="仿宋_GB2312" w:hint="eastAsia"/>
                <w:b/>
                <w:bCs/>
                <w:sz w:val="30"/>
                <w:szCs w:val="30"/>
              </w:rPr>
              <w:t>投资申请信息</w:t>
            </w:r>
          </w:p>
        </w:tc>
      </w:tr>
      <w:tr w:rsidR="004E4596" w14:paraId="1DCEF622" w14:textId="77777777">
        <w:trPr>
          <w:trHeight w:val="406"/>
          <w:jc w:val="center"/>
        </w:trPr>
        <w:tc>
          <w:tcPr>
            <w:tcW w:w="2451" w:type="dxa"/>
            <w:vAlign w:val="center"/>
          </w:tcPr>
          <w:p w14:paraId="5098A68F" w14:textId="77777777" w:rsidR="004E4596" w:rsidRDefault="00750C27">
            <w:pPr>
              <w:spacing w:line="276" w:lineRule="auto"/>
              <w:rPr>
                <w:rFonts w:ascii="仿宋_GB2312" w:eastAsia="仿宋_GB2312" w:hAnsi="仿宋_GB2312" w:cs="仿宋_GB2312"/>
                <w:b/>
                <w:sz w:val="24"/>
              </w:rPr>
            </w:pPr>
            <w:r>
              <w:rPr>
                <w:rFonts w:ascii="仿宋_GB2312" w:eastAsia="仿宋_GB2312" w:hAnsi="仿宋_GB2312" w:cs="仿宋_GB2312" w:hint="eastAsia"/>
                <w:b/>
                <w:sz w:val="24"/>
              </w:rPr>
              <w:t>发起部门</w:t>
            </w:r>
          </w:p>
        </w:tc>
        <w:tc>
          <w:tcPr>
            <w:tcW w:w="2909" w:type="dxa"/>
            <w:vAlign w:val="center"/>
          </w:tcPr>
          <w:p w14:paraId="0B3A9AD0" w14:textId="77777777" w:rsidR="004E4596" w:rsidRDefault="00750C27">
            <w:pPr>
              <w:spacing w:line="288" w:lineRule="auto"/>
              <w:rPr>
                <w:rFonts w:ascii="仿宋_GB2312" w:eastAsia="仿宋_GB2312" w:hAnsi="仿宋_GB2312" w:cs="仿宋_GB2312"/>
              </w:rPr>
            </w:pPr>
            <w:r>
              <w:rPr>
                <w:rFonts w:ascii="仿宋_GB2312" w:eastAsia="仿宋_GB2312" w:hAnsi="仿宋_GB2312" w:cs="仿宋_GB2312" w:hint="eastAsia"/>
                <w:sz w:val="24"/>
              </w:rPr>
              <w:t>股票投资部</w:t>
            </w:r>
          </w:p>
        </w:tc>
        <w:tc>
          <w:tcPr>
            <w:tcW w:w="2148" w:type="dxa"/>
            <w:vAlign w:val="center"/>
          </w:tcPr>
          <w:p w14:paraId="6251CF63" w14:textId="77777777" w:rsidR="004E4596" w:rsidRDefault="00750C27">
            <w:pPr>
              <w:spacing w:line="288" w:lineRule="auto"/>
              <w:rPr>
                <w:rFonts w:ascii="仿宋_GB2312" w:eastAsia="仿宋_GB2312" w:hAnsi="仿宋_GB2312" w:cs="仿宋_GB2312"/>
                <w:sz w:val="24"/>
              </w:rPr>
            </w:pPr>
            <w:r>
              <w:rPr>
                <w:rFonts w:ascii="仿宋_GB2312" w:eastAsia="仿宋_GB2312" w:hAnsi="仿宋_GB2312" w:cs="仿宋_GB2312" w:hint="eastAsia"/>
                <w:b/>
                <w:sz w:val="24"/>
              </w:rPr>
              <w:t>发起人</w:t>
            </w:r>
          </w:p>
        </w:tc>
        <w:tc>
          <w:tcPr>
            <w:tcW w:w="3212" w:type="dxa"/>
            <w:vAlign w:val="center"/>
          </w:tcPr>
          <w:p w14:paraId="778E0126" w14:textId="77777777" w:rsidR="004E4596" w:rsidRDefault="00750C27">
            <w:pPr>
              <w:spacing w:line="288" w:lineRule="auto"/>
              <w:rPr>
                <w:rFonts w:ascii="仿宋_GB2312" w:eastAsia="仿宋_GB2312" w:hAnsi="仿宋_GB2312" w:cs="仿宋_GB2312"/>
                <w:sz w:val="24"/>
              </w:rPr>
            </w:pPr>
            <w:r>
              <w:rPr>
                <w:rFonts w:ascii="仿宋_GB2312" w:eastAsia="仿宋_GB2312" w:hAnsi="仿宋_GB2312" w:cs="仿宋_GB2312" w:hint="eastAsia"/>
                <w:sz w:val="24"/>
              </w:rPr>
              <w:t>倪晨</w:t>
            </w:r>
          </w:p>
        </w:tc>
      </w:tr>
      <w:tr w:rsidR="004E4596" w14:paraId="5C706449" w14:textId="77777777">
        <w:trPr>
          <w:trHeight w:val="406"/>
          <w:jc w:val="center"/>
        </w:trPr>
        <w:tc>
          <w:tcPr>
            <w:tcW w:w="2451" w:type="dxa"/>
            <w:vAlign w:val="center"/>
          </w:tcPr>
          <w:p w14:paraId="27C53C69" w14:textId="77777777" w:rsidR="004E4596" w:rsidRDefault="00750C27">
            <w:pPr>
              <w:spacing w:line="276" w:lineRule="auto"/>
              <w:rPr>
                <w:rFonts w:ascii="仿宋_GB2312" w:eastAsia="仿宋_GB2312" w:hAnsi="仿宋_GB2312" w:cs="仿宋_GB2312"/>
                <w:b/>
                <w:sz w:val="24"/>
              </w:rPr>
            </w:pPr>
            <w:r>
              <w:rPr>
                <w:rFonts w:ascii="仿宋_GB2312" w:eastAsia="仿宋_GB2312" w:hAnsi="仿宋_GB2312" w:cs="仿宋_GB2312" w:hint="eastAsia"/>
                <w:b/>
                <w:sz w:val="24"/>
              </w:rPr>
              <w:t>标的名称</w:t>
            </w:r>
          </w:p>
        </w:tc>
        <w:tc>
          <w:tcPr>
            <w:tcW w:w="2909" w:type="dxa"/>
            <w:vAlign w:val="center"/>
          </w:tcPr>
          <w:p w14:paraId="54AB5B9D" w14:textId="77777777" w:rsidR="004E4596" w:rsidRDefault="003134FE" w:rsidP="003134FE">
            <w:pPr>
              <w:spacing w:line="288" w:lineRule="auto"/>
              <w:rPr>
                <w:rFonts w:ascii="仿宋_GB2312" w:eastAsia="仿宋_GB2312" w:hAnsi="仿宋_GB2312" w:cs="仿宋_GB2312"/>
                <w:sz w:val="24"/>
              </w:rPr>
            </w:pPr>
            <w:r>
              <w:rPr>
                <w:rFonts w:ascii="仿宋_GB2312" w:eastAsia="仿宋_GB2312" w:hAnsi="仿宋_GB2312" w:cs="仿宋_GB2312" w:hint="eastAsia"/>
                <w:sz w:val="24"/>
              </w:rPr>
              <w:t>鹏华双债增利</w:t>
            </w:r>
            <w:r w:rsidR="00750C27">
              <w:rPr>
                <w:rFonts w:ascii="仿宋_GB2312" w:eastAsia="仿宋_GB2312" w:hAnsi="仿宋_GB2312" w:cs="仿宋_GB2312" w:hint="eastAsia"/>
                <w:sz w:val="24"/>
              </w:rPr>
              <w:t>（</w:t>
            </w:r>
            <w:r>
              <w:rPr>
                <w:rFonts w:ascii="仿宋_GB2312" w:eastAsia="仿宋_GB2312" w:hAnsi="仿宋_GB2312" w:cs="仿宋_GB2312"/>
                <w:sz w:val="24"/>
              </w:rPr>
              <w:t>000054</w:t>
            </w:r>
            <w:r w:rsidR="00750C27">
              <w:rPr>
                <w:rFonts w:ascii="仿宋_GB2312" w:eastAsia="仿宋_GB2312" w:hAnsi="仿宋_GB2312" w:cs="仿宋_GB2312" w:hint="eastAsia"/>
                <w:sz w:val="24"/>
              </w:rPr>
              <w:t>）</w:t>
            </w:r>
          </w:p>
        </w:tc>
        <w:tc>
          <w:tcPr>
            <w:tcW w:w="2148" w:type="dxa"/>
            <w:vAlign w:val="center"/>
          </w:tcPr>
          <w:p w14:paraId="4CE67D36" w14:textId="77777777" w:rsidR="004E4596" w:rsidRDefault="00750C27">
            <w:pPr>
              <w:spacing w:line="288" w:lineRule="auto"/>
              <w:rPr>
                <w:rFonts w:ascii="仿宋_GB2312" w:eastAsia="仿宋_GB2312" w:hAnsi="仿宋_GB2312" w:cs="仿宋_GB2312"/>
                <w:sz w:val="24"/>
              </w:rPr>
            </w:pPr>
            <w:r>
              <w:rPr>
                <w:rFonts w:ascii="仿宋_GB2312" w:eastAsia="仿宋_GB2312" w:hAnsi="仿宋_GB2312" w:cs="仿宋_GB2312" w:hint="eastAsia"/>
                <w:b/>
                <w:sz w:val="24"/>
              </w:rPr>
              <w:t>投资币种及金额</w:t>
            </w:r>
          </w:p>
        </w:tc>
        <w:tc>
          <w:tcPr>
            <w:tcW w:w="3212" w:type="dxa"/>
            <w:vAlign w:val="center"/>
          </w:tcPr>
          <w:p w14:paraId="415E5F07" w14:textId="760AF51D" w:rsidR="004E4596" w:rsidRDefault="00251E5D">
            <w:pPr>
              <w:spacing w:line="288" w:lineRule="auto"/>
              <w:rPr>
                <w:rFonts w:ascii="仿宋_GB2312" w:eastAsia="仿宋_GB2312" w:hAnsi="仿宋_GB2312" w:cs="仿宋_GB2312"/>
                <w:sz w:val="24"/>
              </w:rPr>
            </w:pPr>
            <w:r>
              <w:rPr>
                <w:rFonts w:ascii="仿宋_GB2312" w:eastAsia="仿宋_GB2312" w:hAnsi="仿宋_GB2312" w:cs="仿宋_GB2312" w:hint="eastAsia"/>
                <w:sz w:val="24"/>
              </w:rPr>
              <w:t>按照机构总额度控制</w:t>
            </w:r>
          </w:p>
        </w:tc>
      </w:tr>
      <w:tr w:rsidR="004E4596" w14:paraId="0A348CBB" w14:textId="77777777">
        <w:trPr>
          <w:trHeight w:val="611"/>
          <w:jc w:val="center"/>
        </w:trPr>
        <w:tc>
          <w:tcPr>
            <w:tcW w:w="2451" w:type="dxa"/>
            <w:tcBorders>
              <w:top w:val="single" w:sz="4" w:space="0" w:color="auto"/>
              <w:bottom w:val="single" w:sz="4" w:space="0" w:color="auto"/>
            </w:tcBorders>
            <w:vAlign w:val="center"/>
          </w:tcPr>
          <w:p w14:paraId="5EC42F11" w14:textId="77777777" w:rsidR="004E4596" w:rsidRDefault="00750C27">
            <w:pPr>
              <w:spacing w:line="276" w:lineRule="auto"/>
              <w:rPr>
                <w:rFonts w:ascii="仿宋_GB2312" w:eastAsia="仿宋_GB2312" w:hAnsi="仿宋_GB2312" w:cs="仿宋_GB2312"/>
                <w:b/>
                <w:sz w:val="24"/>
              </w:rPr>
            </w:pPr>
            <w:r>
              <w:rPr>
                <w:rFonts w:ascii="仿宋_GB2312" w:eastAsia="仿宋_GB2312" w:hAnsi="仿宋_GB2312" w:cs="仿宋_GB2312" w:hint="eastAsia"/>
                <w:b/>
                <w:sz w:val="24"/>
              </w:rPr>
              <w:t>业务品种</w:t>
            </w:r>
          </w:p>
        </w:tc>
        <w:tc>
          <w:tcPr>
            <w:tcW w:w="8269" w:type="dxa"/>
            <w:gridSpan w:val="3"/>
            <w:tcBorders>
              <w:top w:val="single" w:sz="4" w:space="0" w:color="auto"/>
              <w:bottom w:val="single" w:sz="4" w:space="0" w:color="auto"/>
            </w:tcBorders>
            <w:vAlign w:val="center"/>
          </w:tcPr>
          <w:p w14:paraId="274E8442" w14:textId="77777777" w:rsidR="004E4596" w:rsidRDefault="00750C27">
            <w:pPr>
              <w:rPr>
                <w:rFonts w:ascii="仿宋_GB2312" w:eastAsia="仿宋_GB2312" w:hAnsi="仿宋_GB2312" w:cs="仿宋_GB2312"/>
                <w:b/>
                <w:sz w:val="24"/>
              </w:rPr>
            </w:pPr>
            <w:r>
              <w:rPr>
                <w:rFonts w:ascii="仿宋_GB2312" w:eastAsia="仿宋_GB2312" w:hAnsi="仿宋_GB2312" w:cs="仿宋_GB2312" w:hint="eastAsia"/>
                <w:bCs/>
                <w:sz w:val="24"/>
              </w:rPr>
              <w:t>C类业务，公募基金投资</w:t>
            </w:r>
          </w:p>
        </w:tc>
      </w:tr>
      <w:tr w:rsidR="004E4596" w14:paraId="2ED3E850" w14:textId="77777777">
        <w:trPr>
          <w:trHeight w:val="434"/>
          <w:jc w:val="center"/>
        </w:trPr>
        <w:tc>
          <w:tcPr>
            <w:tcW w:w="2451" w:type="dxa"/>
            <w:tcBorders>
              <w:top w:val="single" w:sz="4" w:space="0" w:color="auto"/>
              <w:bottom w:val="single" w:sz="4" w:space="0" w:color="auto"/>
            </w:tcBorders>
            <w:vAlign w:val="center"/>
          </w:tcPr>
          <w:p w14:paraId="1D07909E" w14:textId="77777777" w:rsidR="004E4596" w:rsidRDefault="00750C27">
            <w:pPr>
              <w:spacing w:line="276" w:lineRule="auto"/>
              <w:rPr>
                <w:rFonts w:ascii="仿宋_GB2312" w:eastAsia="仿宋_GB2312" w:hAnsi="仿宋_GB2312" w:cs="仿宋_GB2312"/>
                <w:b/>
                <w:sz w:val="24"/>
              </w:rPr>
            </w:pPr>
            <w:r>
              <w:rPr>
                <w:rFonts w:ascii="仿宋_GB2312" w:eastAsia="仿宋_GB2312" w:hAnsi="仿宋_GB2312" w:cs="仿宋_GB2312" w:hint="eastAsia"/>
                <w:b/>
                <w:sz w:val="24"/>
              </w:rPr>
              <w:t>如为A、B类业务</w:t>
            </w:r>
          </w:p>
        </w:tc>
        <w:tc>
          <w:tcPr>
            <w:tcW w:w="8269" w:type="dxa"/>
            <w:gridSpan w:val="3"/>
            <w:tcBorders>
              <w:top w:val="single" w:sz="4" w:space="0" w:color="auto"/>
              <w:bottom w:val="single" w:sz="4" w:space="0" w:color="auto"/>
            </w:tcBorders>
            <w:vAlign w:val="center"/>
          </w:tcPr>
          <w:p w14:paraId="4643B718" w14:textId="77777777" w:rsidR="004E4596" w:rsidRDefault="00750C27">
            <w:pPr>
              <w:spacing w:line="276" w:lineRule="auto"/>
              <w:rPr>
                <w:rFonts w:ascii="仿宋_GB2312" w:eastAsia="仿宋_GB2312" w:hAnsi="仿宋_GB2312" w:cs="仿宋_GB2312"/>
                <w:b/>
                <w:sz w:val="24"/>
              </w:rPr>
            </w:pPr>
            <w:r>
              <w:rPr>
                <w:rFonts w:ascii="仿宋_GB2312" w:eastAsia="仿宋_GB2312" w:hAnsi="仿宋_GB2312" w:cs="仿宋_GB2312" w:hint="eastAsia"/>
                <w:bCs/>
                <w:sz w:val="24"/>
              </w:rPr>
              <w:t>说明本次拟申请领用理财专项单一法人客户或集团客户额度，以及本次业务开展后总体单一法人客户限额及集团客户情况。</w:t>
            </w:r>
          </w:p>
        </w:tc>
      </w:tr>
      <w:tr w:rsidR="004E4596" w14:paraId="6BE7A932" w14:textId="77777777">
        <w:trPr>
          <w:trHeight w:val="434"/>
          <w:jc w:val="center"/>
        </w:trPr>
        <w:tc>
          <w:tcPr>
            <w:tcW w:w="2451" w:type="dxa"/>
            <w:tcBorders>
              <w:top w:val="single" w:sz="4" w:space="0" w:color="auto"/>
              <w:bottom w:val="single" w:sz="4" w:space="0" w:color="auto"/>
            </w:tcBorders>
            <w:vAlign w:val="center"/>
          </w:tcPr>
          <w:p w14:paraId="128421AD" w14:textId="77777777" w:rsidR="004E4596" w:rsidRDefault="00750C27">
            <w:pPr>
              <w:spacing w:line="276" w:lineRule="auto"/>
              <w:rPr>
                <w:rFonts w:ascii="仿宋_GB2312" w:eastAsia="仿宋_GB2312" w:hAnsi="仿宋_GB2312" w:cs="仿宋_GB2312"/>
                <w:b/>
                <w:sz w:val="24"/>
              </w:rPr>
            </w:pPr>
            <w:r>
              <w:rPr>
                <w:rFonts w:ascii="仿宋_GB2312" w:eastAsia="仿宋_GB2312" w:hAnsi="仿宋_GB2312" w:cs="仿宋_GB2312" w:hint="eastAsia"/>
                <w:b/>
                <w:sz w:val="24"/>
              </w:rPr>
              <w:t>适用审批权限</w:t>
            </w:r>
          </w:p>
        </w:tc>
        <w:tc>
          <w:tcPr>
            <w:tcW w:w="8269" w:type="dxa"/>
            <w:gridSpan w:val="3"/>
            <w:tcBorders>
              <w:top w:val="single" w:sz="4" w:space="0" w:color="auto"/>
              <w:bottom w:val="single" w:sz="4" w:space="0" w:color="auto"/>
            </w:tcBorders>
            <w:vAlign w:val="center"/>
          </w:tcPr>
          <w:p w14:paraId="720CB0CD" w14:textId="1D6A4150" w:rsidR="004E4596" w:rsidRDefault="004E4596">
            <w:pPr>
              <w:spacing w:line="276" w:lineRule="auto"/>
              <w:rPr>
                <w:rFonts w:ascii="仿宋_GB2312" w:eastAsia="仿宋_GB2312" w:hAnsi="仿宋_GB2312" w:cs="仿宋_GB2312"/>
                <w:b/>
                <w:sz w:val="24"/>
              </w:rPr>
            </w:pPr>
          </w:p>
        </w:tc>
      </w:tr>
      <w:tr w:rsidR="004E4596" w14:paraId="00A1FC74" w14:textId="77777777">
        <w:trPr>
          <w:trHeight w:val="482"/>
          <w:jc w:val="center"/>
        </w:trPr>
        <w:tc>
          <w:tcPr>
            <w:tcW w:w="2451" w:type="dxa"/>
            <w:vAlign w:val="center"/>
          </w:tcPr>
          <w:p w14:paraId="3152E5C4" w14:textId="77777777" w:rsidR="004E4596" w:rsidRDefault="00750C27">
            <w:pPr>
              <w:spacing w:line="276" w:lineRule="auto"/>
              <w:rPr>
                <w:rFonts w:ascii="仿宋_GB2312" w:eastAsia="仿宋_GB2312" w:hAnsi="仿宋_GB2312" w:cs="仿宋_GB2312"/>
                <w:b/>
                <w:sz w:val="24"/>
              </w:rPr>
            </w:pPr>
            <w:r>
              <w:rPr>
                <w:rFonts w:ascii="仿宋_GB2312" w:eastAsia="仿宋_GB2312" w:hAnsi="仿宋_GB2312" w:cs="仿宋_GB2312" w:hint="eastAsia"/>
                <w:b/>
                <w:sz w:val="24"/>
              </w:rPr>
              <w:t>证券代码</w:t>
            </w:r>
          </w:p>
        </w:tc>
        <w:tc>
          <w:tcPr>
            <w:tcW w:w="2909" w:type="dxa"/>
            <w:vAlign w:val="center"/>
          </w:tcPr>
          <w:p w14:paraId="54455AC2" w14:textId="77777777" w:rsidR="004E4596" w:rsidRDefault="003134FE">
            <w:pPr>
              <w:rPr>
                <w:rFonts w:ascii="仿宋_GB2312" w:eastAsia="仿宋_GB2312" w:hAnsi="仿宋_GB2312" w:cs="仿宋_GB2312"/>
                <w:sz w:val="24"/>
              </w:rPr>
            </w:pPr>
            <w:r>
              <w:rPr>
                <w:rFonts w:ascii="仿宋_GB2312" w:eastAsia="仿宋_GB2312" w:hAnsi="仿宋_GB2312" w:cs="仿宋_GB2312"/>
                <w:sz w:val="24"/>
              </w:rPr>
              <w:t>000054</w:t>
            </w:r>
          </w:p>
        </w:tc>
        <w:tc>
          <w:tcPr>
            <w:tcW w:w="2148" w:type="dxa"/>
            <w:vAlign w:val="center"/>
          </w:tcPr>
          <w:p w14:paraId="03B7940E" w14:textId="77777777" w:rsidR="004E4596" w:rsidRDefault="00750C27">
            <w:pPr>
              <w:spacing w:line="276" w:lineRule="auto"/>
              <w:rPr>
                <w:rFonts w:ascii="仿宋_GB2312" w:eastAsia="仿宋_GB2312" w:hAnsi="仿宋_GB2312" w:cs="仿宋_GB2312"/>
                <w:b/>
                <w:sz w:val="24"/>
              </w:rPr>
            </w:pPr>
            <w:r>
              <w:rPr>
                <w:rFonts w:ascii="仿宋_GB2312" w:eastAsia="仿宋_GB2312" w:hAnsi="仿宋_GB2312" w:cs="仿宋_GB2312" w:hint="eastAsia"/>
                <w:b/>
                <w:sz w:val="24"/>
              </w:rPr>
              <w:t>证券简称</w:t>
            </w:r>
          </w:p>
        </w:tc>
        <w:tc>
          <w:tcPr>
            <w:tcW w:w="3212" w:type="dxa"/>
            <w:vAlign w:val="center"/>
          </w:tcPr>
          <w:p w14:paraId="34B78CD1" w14:textId="77777777" w:rsidR="004E4596" w:rsidRDefault="00AA3BA1">
            <w:pPr>
              <w:rPr>
                <w:rFonts w:ascii="仿宋_GB2312" w:eastAsia="仿宋_GB2312" w:hAnsi="仿宋_GB2312" w:cs="仿宋_GB2312"/>
                <w:sz w:val="24"/>
                <w:highlight w:val="yellow"/>
              </w:rPr>
            </w:pPr>
            <w:r>
              <w:rPr>
                <w:rFonts w:ascii="仿宋_GB2312" w:eastAsia="仿宋_GB2312" w:hAnsi="仿宋_GB2312" w:cs="仿宋_GB2312" w:hint="eastAsia"/>
                <w:sz w:val="24"/>
              </w:rPr>
              <w:t>鹏华双债增利</w:t>
            </w:r>
          </w:p>
        </w:tc>
      </w:tr>
      <w:tr w:rsidR="004E4596" w14:paraId="300CE7DC" w14:textId="77777777">
        <w:trPr>
          <w:trHeight w:val="482"/>
          <w:jc w:val="center"/>
        </w:trPr>
        <w:tc>
          <w:tcPr>
            <w:tcW w:w="2451" w:type="dxa"/>
            <w:vAlign w:val="center"/>
          </w:tcPr>
          <w:p w14:paraId="615EAF67" w14:textId="77777777" w:rsidR="004E4596" w:rsidRDefault="00750C27">
            <w:pPr>
              <w:spacing w:line="276" w:lineRule="auto"/>
              <w:rPr>
                <w:rFonts w:ascii="仿宋_GB2312" w:eastAsia="仿宋_GB2312" w:hAnsi="仿宋_GB2312" w:cs="仿宋_GB2312"/>
                <w:b/>
                <w:sz w:val="24"/>
              </w:rPr>
            </w:pPr>
            <w:r>
              <w:rPr>
                <w:rFonts w:ascii="仿宋_GB2312" w:eastAsia="仿宋_GB2312" w:hAnsi="仿宋_GB2312" w:cs="仿宋_GB2312" w:hint="eastAsia"/>
                <w:b/>
                <w:sz w:val="24"/>
              </w:rPr>
              <w:t>发行人/原始权益人</w:t>
            </w:r>
          </w:p>
        </w:tc>
        <w:tc>
          <w:tcPr>
            <w:tcW w:w="2909" w:type="dxa"/>
            <w:vAlign w:val="center"/>
          </w:tcPr>
          <w:p w14:paraId="087BE447" w14:textId="77777777" w:rsidR="004E4596" w:rsidRDefault="004E4596">
            <w:pPr>
              <w:rPr>
                <w:rFonts w:ascii="仿宋_GB2312" w:eastAsia="仿宋_GB2312" w:hAnsi="仿宋_GB2312" w:cs="仿宋_GB2312"/>
                <w:sz w:val="24"/>
              </w:rPr>
            </w:pPr>
          </w:p>
        </w:tc>
        <w:tc>
          <w:tcPr>
            <w:tcW w:w="2148" w:type="dxa"/>
            <w:vAlign w:val="center"/>
          </w:tcPr>
          <w:p w14:paraId="13F13F47" w14:textId="77777777" w:rsidR="004E4596" w:rsidRDefault="00750C27">
            <w:pPr>
              <w:spacing w:line="276" w:lineRule="auto"/>
              <w:rPr>
                <w:rFonts w:ascii="仿宋_GB2312" w:eastAsia="仿宋_GB2312" w:hAnsi="仿宋_GB2312" w:cs="仿宋_GB2312"/>
                <w:b/>
                <w:sz w:val="24"/>
              </w:rPr>
            </w:pPr>
            <w:r>
              <w:rPr>
                <w:rFonts w:ascii="仿宋_GB2312" w:eastAsia="仿宋_GB2312" w:hAnsi="仿宋_GB2312" w:cs="仿宋_GB2312" w:hint="eastAsia"/>
                <w:b/>
                <w:sz w:val="24"/>
              </w:rPr>
              <w:t>管理人</w:t>
            </w:r>
          </w:p>
        </w:tc>
        <w:tc>
          <w:tcPr>
            <w:tcW w:w="3212" w:type="dxa"/>
            <w:vAlign w:val="center"/>
          </w:tcPr>
          <w:p w14:paraId="29154536" w14:textId="77777777" w:rsidR="004E4596" w:rsidRDefault="00AA3BA1">
            <w:pPr>
              <w:rPr>
                <w:rFonts w:ascii="仿宋_GB2312" w:eastAsia="仿宋_GB2312" w:hAnsi="仿宋_GB2312" w:cs="仿宋_GB2312"/>
                <w:sz w:val="24"/>
              </w:rPr>
            </w:pPr>
            <w:r>
              <w:rPr>
                <w:rFonts w:ascii="仿宋_GB2312" w:eastAsia="仿宋_GB2312" w:hAnsi="仿宋_GB2312" w:cs="仿宋_GB2312" w:hint="eastAsia"/>
                <w:sz w:val="24"/>
              </w:rPr>
              <w:t>鹏华</w:t>
            </w:r>
            <w:r w:rsidR="00750C27">
              <w:rPr>
                <w:rFonts w:ascii="仿宋_GB2312" w:eastAsia="仿宋_GB2312" w:hAnsi="仿宋_GB2312" w:cs="仿宋_GB2312" w:hint="eastAsia"/>
                <w:sz w:val="24"/>
              </w:rPr>
              <w:t>基金管理有限公司</w:t>
            </w:r>
          </w:p>
        </w:tc>
      </w:tr>
      <w:tr w:rsidR="004E4596" w14:paraId="3E793351" w14:textId="77777777">
        <w:trPr>
          <w:trHeight w:val="482"/>
          <w:jc w:val="center"/>
        </w:trPr>
        <w:tc>
          <w:tcPr>
            <w:tcW w:w="2451" w:type="dxa"/>
            <w:vAlign w:val="center"/>
          </w:tcPr>
          <w:p w14:paraId="7A27A215" w14:textId="77777777" w:rsidR="004E4596" w:rsidRDefault="00750C27">
            <w:pPr>
              <w:spacing w:line="276" w:lineRule="auto"/>
              <w:rPr>
                <w:rFonts w:ascii="仿宋_GB2312" w:eastAsia="仿宋_GB2312" w:hAnsi="仿宋_GB2312" w:cs="仿宋_GB2312"/>
                <w:b/>
                <w:sz w:val="24"/>
              </w:rPr>
            </w:pPr>
            <w:r>
              <w:rPr>
                <w:rFonts w:ascii="仿宋_GB2312" w:eastAsia="仿宋_GB2312" w:hAnsi="仿宋_GB2312" w:cs="仿宋_GB2312" w:hint="eastAsia"/>
                <w:b/>
                <w:sz w:val="24"/>
              </w:rPr>
              <w:t>承担实质风险主体</w:t>
            </w:r>
          </w:p>
        </w:tc>
        <w:tc>
          <w:tcPr>
            <w:tcW w:w="2909" w:type="dxa"/>
            <w:vAlign w:val="center"/>
          </w:tcPr>
          <w:p w14:paraId="5D82048D" w14:textId="77777777" w:rsidR="004E4596" w:rsidRDefault="004E4596">
            <w:pPr>
              <w:rPr>
                <w:rFonts w:ascii="仿宋_GB2312" w:eastAsia="仿宋_GB2312" w:hAnsi="仿宋_GB2312" w:cs="仿宋_GB2312"/>
                <w:sz w:val="24"/>
              </w:rPr>
            </w:pPr>
          </w:p>
        </w:tc>
        <w:tc>
          <w:tcPr>
            <w:tcW w:w="2148" w:type="dxa"/>
            <w:vAlign w:val="center"/>
          </w:tcPr>
          <w:p w14:paraId="5FF5780D" w14:textId="77777777" w:rsidR="004E4596" w:rsidRDefault="00750C27">
            <w:pPr>
              <w:spacing w:line="276" w:lineRule="auto"/>
              <w:rPr>
                <w:rFonts w:ascii="仿宋_GB2312" w:eastAsia="仿宋_GB2312" w:hAnsi="仿宋_GB2312" w:cs="仿宋_GB2312"/>
                <w:b/>
                <w:sz w:val="24"/>
              </w:rPr>
            </w:pPr>
            <w:r>
              <w:rPr>
                <w:rFonts w:ascii="仿宋_GB2312" w:eastAsia="仿宋_GB2312" w:hAnsi="仿宋_GB2312" w:cs="仿宋_GB2312" w:hint="eastAsia"/>
                <w:b/>
                <w:sz w:val="24"/>
              </w:rPr>
              <w:t>有效期</w:t>
            </w:r>
          </w:p>
        </w:tc>
        <w:tc>
          <w:tcPr>
            <w:tcW w:w="3212" w:type="dxa"/>
            <w:vAlign w:val="center"/>
          </w:tcPr>
          <w:p w14:paraId="670B7AF7" w14:textId="77777777" w:rsidR="004E4596" w:rsidRDefault="004E4596">
            <w:pPr>
              <w:rPr>
                <w:rFonts w:ascii="仿宋_GB2312" w:eastAsia="仿宋_GB2312" w:hAnsi="仿宋_GB2312" w:cs="仿宋_GB2312"/>
                <w:sz w:val="24"/>
              </w:rPr>
            </w:pPr>
          </w:p>
        </w:tc>
      </w:tr>
      <w:tr w:rsidR="004E4596" w14:paraId="1BE11310" w14:textId="77777777">
        <w:trPr>
          <w:trHeight w:val="2542"/>
          <w:jc w:val="center"/>
        </w:trPr>
        <w:tc>
          <w:tcPr>
            <w:tcW w:w="10720" w:type="dxa"/>
            <w:gridSpan w:val="4"/>
            <w:vAlign w:val="center"/>
          </w:tcPr>
          <w:p w14:paraId="4AB27F3F" w14:textId="77777777" w:rsidR="004E4596" w:rsidRDefault="004E4596">
            <w:pPr>
              <w:widowControl/>
              <w:spacing w:line="240" w:lineRule="auto"/>
              <w:jc w:val="left"/>
              <w:rPr>
                <w:rFonts w:ascii="仿宋" w:eastAsia="仿宋" w:hAnsi="仿宋" w:cs="仿宋"/>
              </w:rPr>
            </w:pPr>
          </w:p>
          <w:p w14:paraId="3CC85F0A" w14:textId="77777777" w:rsidR="004E4596" w:rsidRPr="00D44FFB" w:rsidRDefault="00750C27">
            <w:pPr>
              <w:widowControl/>
              <w:spacing w:line="240" w:lineRule="auto"/>
              <w:jc w:val="left"/>
              <w:rPr>
                <w:rFonts w:ascii="仿宋" w:eastAsia="仿宋" w:hAnsi="仿宋" w:cs="仿宋"/>
                <w:sz w:val="24"/>
                <w:szCs w:val="24"/>
              </w:rPr>
            </w:pPr>
            <w:r w:rsidRPr="00D44FFB">
              <w:rPr>
                <w:rFonts w:ascii="仿宋" w:eastAsia="仿宋" w:hAnsi="仿宋" w:cs="仿宋" w:hint="eastAsia"/>
                <w:sz w:val="24"/>
                <w:szCs w:val="24"/>
              </w:rPr>
              <w:t>一、基金公司情况</w:t>
            </w:r>
          </w:p>
          <w:p w14:paraId="6DF2E396" w14:textId="77777777" w:rsidR="004E4596" w:rsidRPr="00740D89" w:rsidRDefault="00D44FFB">
            <w:pPr>
              <w:widowControl/>
              <w:spacing w:line="240" w:lineRule="auto"/>
              <w:ind w:firstLineChars="200" w:firstLine="480"/>
              <w:jc w:val="left"/>
              <w:rPr>
                <w:rFonts w:ascii="仿宋" w:eastAsia="仿宋" w:hAnsi="仿宋" w:cs="仿宋"/>
                <w:sz w:val="24"/>
                <w:szCs w:val="24"/>
                <w:highlight w:val="yellow"/>
              </w:rPr>
            </w:pPr>
            <w:r w:rsidRPr="00D44FFB">
              <w:rPr>
                <w:rFonts w:ascii="仿宋" w:eastAsia="仿宋" w:hAnsi="仿宋" w:cs="仿宋" w:hint="eastAsia"/>
                <w:sz w:val="24"/>
                <w:szCs w:val="24"/>
              </w:rPr>
              <w:t>鹏华基金成立于1998年，作为国内首批成立的“老十家”之一</w:t>
            </w:r>
            <w:r w:rsidR="00750C27" w:rsidRPr="00D44FFB">
              <w:rPr>
                <w:rFonts w:ascii="仿宋" w:eastAsia="仿宋" w:hAnsi="仿宋" w:cs="仿宋" w:hint="eastAsia"/>
                <w:sz w:val="24"/>
                <w:szCs w:val="24"/>
              </w:rPr>
              <w:t>。</w:t>
            </w:r>
            <w:r w:rsidRPr="00D44FFB">
              <w:rPr>
                <w:rFonts w:ascii="仿宋" w:eastAsia="仿宋" w:hAnsi="仿宋" w:cs="仿宋" w:hint="eastAsia"/>
                <w:sz w:val="24"/>
                <w:szCs w:val="24"/>
              </w:rPr>
              <w:t>鹏华基金拥有公募基金管理、社保基金境内委托投资管理人、特定客户资产管理业务、保险资金受托管理、基本养老保险基金证券投资管理机构、基金投顾业务资格等业务牌照，是投资管理资格较为齐全的基金管理公司之一</w:t>
            </w:r>
            <w:r w:rsidR="00750C27" w:rsidRPr="00D44FFB">
              <w:rPr>
                <w:rFonts w:ascii="仿宋" w:eastAsia="仿宋" w:hAnsi="仿宋" w:cs="仿宋" w:hint="eastAsia"/>
                <w:sz w:val="24"/>
                <w:szCs w:val="24"/>
              </w:rPr>
              <w:t>。</w:t>
            </w:r>
            <w:r w:rsidRPr="00D44FFB">
              <w:rPr>
                <w:rFonts w:ascii="仿宋" w:eastAsia="仿宋" w:hAnsi="仿宋" w:cs="仿宋" w:hint="eastAsia"/>
                <w:sz w:val="24"/>
                <w:szCs w:val="24"/>
              </w:rPr>
              <w:t>公司总人数509人，核心管理层团队锐意进取、投研团队经验丰富，研究人员90%以上来自清华、北大等一线名校，培养机制完善</w:t>
            </w:r>
            <w:r>
              <w:rPr>
                <w:rFonts w:ascii="仿宋" w:eastAsia="仿宋" w:hAnsi="仿宋" w:cs="仿宋" w:hint="eastAsia"/>
                <w:sz w:val="24"/>
                <w:szCs w:val="24"/>
              </w:rPr>
              <w:t>。</w:t>
            </w:r>
            <w:r w:rsidRPr="00D44FFB">
              <w:rPr>
                <w:rFonts w:ascii="仿宋" w:eastAsia="仿宋" w:hAnsi="仿宋" w:cs="仿宋" w:hint="eastAsia"/>
                <w:sz w:val="24"/>
                <w:szCs w:val="24"/>
              </w:rPr>
              <w:t>公司搭建有“温度”的人力资源平台，从发展、人文、薪酬和绩效四个角度确保团队精神的塑造、团队合作理念的凝聚，有效提高团队素质，保证团队稳定</w:t>
            </w:r>
            <w:r>
              <w:rPr>
                <w:rFonts w:ascii="仿宋" w:eastAsia="仿宋" w:hAnsi="仿宋" w:cs="仿宋" w:hint="eastAsia"/>
                <w:sz w:val="24"/>
                <w:szCs w:val="24"/>
              </w:rPr>
              <w:t>。</w:t>
            </w:r>
          </w:p>
          <w:p w14:paraId="1A11F358" w14:textId="77777777" w:rsidR="004E4596" w:rsidRPr="00D44FFB" w:rsidRDefault="000D58A6">
            <w:pPr>
              <w:widowControl/>
              <w:spacing w:line="240" w:lineRule="auto"/>
              <w:ind w:firstLineChars="200" w:firstLine="480"/>
              <w:jc w:val="left"/>
              <w:rPr>
                <w:rFonts w:ascii="仿宋" w:eastAsia="仿宋" w:hAnsi="仿宋" w:cs="仿宋"/>
                <w:sz w:val="24"/>
                <w:szCs w:val="24"/>
              </w:rPr>
            </w:pPr>
            <w:r w:rsidRPr="000D58A6">
              <w:rPr>
                <w:rFonts w:ascii="仿宋" w:eastAsia="仿宋" w:hAnsi="仿宋" w:cs="仿宋" w:hint="eastAsia"/>
                <w:sz w:val="24"/>
                <w:szCs w:val="24"/>
              </w:rPr>
              <w:t>截至目前，鹏华基金共有基金经理/投资经理77人，平均从业年限近10年，平均入司年限近7年，博士及硕士占比达99%。包括权益投资部16人（其中权益投资一部8人、权益投资二部8人）、固定收益投资部27人（其中债券投资一部10人、债券投资二部4人、现金投资部6人、固定收益研究部7人）、稳定收益投资部10人、量化及衍生品投资部6人、研究部10人、国际业务部4人、资产配置与基金投资部2人、基金投资顾问部2人。</w:t>
            </w:r>
            <w:r w:rsidR="00750C27" w:rsidRPr="00D44FFB">
              <w:rPr>
                <w:rFonts w:ascii="仿宋" w:eastAsia="仿宋" w:hAnsi="仿宋" w:cs="仿宋" w:hint="eastAsia"/>
                <w:sz w:val="24"/>
                <w:szCs w:val="24"/>
              </w:rPr>
              <w:t>截至2021年9月30日，公司管理公募资产总规模</w:t>
            </w:r>
            <w:r w:rsidR="00D44FFB" w:rsidRPr="00D44FFB">
              <w:rPr>
                <w:rFonts w:ascii="仿宋" w:eastAsia="仿宋" w:hAnsi="仿宋" w:cs="仿宋"/>
                <w:sz w:val="24"/>
                <w:szCs w:val="24"/>
              </w:rPr>
              <w:t>7346</w:t>
            </w:r>
            <w:r w:rsidR="00750C27" w:rsidRPr="00D44FFB">
              <w:rPr>
                <w:rFonts w:ascii="仿宋" w:eastAsia="仿宋" w:hAnsi="仿宋" w:cs="仿宋" w:hint="eastAsia"/>
                <w:sz w:val="24"/>
                <w:szCs w:val="24"/>
              </w:rPr>
              <w:t>亿元，其中非货币基金</w:t>
            </w:r>
            <w:r w:rsidR="00D44FFB" w:rsidRPr="00D44FFB">
              <w:rPr>
                <w:rFonts w:ascii="仿宋" w:eastAsia="仿宋" w:hAnsi="仿宋" w:cs="仿宋"/>
                <w:sz w:val="24"/>
                <w:szCs w:val="24"/>
              </w:rPr>
              <w:t>3827</w:t>
            </w:r>
            <w:r w:rsidR="00750C27" w:rsidRPr="00D44FFB">
              <w:rPr>
                <w:rFonts w:ascii="仿宋" w:eastAsia="仿宋" w:hAnsi="仿宋" w:cs="仿宋" w:hint="eastAsia"/>
                <w:sz w:val="24"/>
                <w:szCs w:val="24"/>
              </w:rPr>
              <w:t>亿</w:t>
            </w:r>
            <w:r w:rsidR="00D44FFB" w:rsidRPr="00D44FFB">
              <w:rPr>
                <w:rFonts w:ascii="仿宋" w:eastAsia="仿宋" w:hAnsi="仿宋" w:cs="仿宋" w:hint="eastAsia"/>
                <w:sz w:val="24"/>
                <w:szCs w:val="24"/>
              </w:rPr>
              <w:t>元</w:t>
            </w:r>
            <w:r w:rsidR="00750C27" w:rsidRPr="00D44FFB">
              <w:rPr>
                <w:rFonts w:ascii="仿宋" w:eastAsia="仿宋" w:hAnsi="仿宋" w:cs="仿宋" w:hint="eastAsia"/>
                <w:sz w:val="24"/>
                <w:szCs w:val="24"/>
              </w:rPr>
              <w:t>。</w:t>
            </w:r>
          </w:p>
          <w:p w14:paraId="3DB14891" w14:textId="77777777" w:rsidR="004E4596" w:rsidRPr="00740D89" w:rsidRDefault="004E4596">
            <w:pPr>
              <w:pStyle w:val="a0"/>
              <w:widowControl/>
              <w:spacing w:line="240" w:lineRule="auto"/>
              <w:ind w:leftChars="0" w:left="0"/>
              <w:jc w:val="left"/>
              <w:rPr>
                <w:rFonts w:ascii="仿宋" w:eastAsia="仿宋" w:hAnsi="仿宋" w:cs="仿宋"/>
                <w:sz w:val="24"/>
                <w:szCs w:val="24"/>
                <w:highlight w:val="yellow"/>
              </w:rPr>
            </w:pPr>
          </w:p>
          <w:p w14:paraId="5539B519" w14:textId="77777777" w:rsidR="004E4596" w:rsidRPr="00275D6D" w:rsidRDefault="00750C27">
            <w:pPr>
              <w:pStyle w:val="a0"/>
              <w:widowControl/>
              <w:spacing w:line="240" w:lineRule="auto"/>
              <w:ind w:leftChars="0" w:left="0"/>
              <w:jc w:val="left"/>
              <w:rPr>
                <w:rFonts w:ascii="仿宋" w:eastAsia="仿宋" w:hAnsi="仿宋" w:cs="仿宋"/>
                <w:sz w:val="24"/>
                <w:szCs w:val="24"/>
              </w:rPr>
            </w:pPr>
            <w:r w:rsidRPr="00275D6D">
              <w:rPr>
                <w:rFonts w:ascii="仿宋" w:eastAsia="仿宋" w:hAnsi="仿宋" w:cs="仿宋" w:hint="eastAsia"/>
                <w:sz w:val="24"/>
                <w:szCs w:val="24"/>
              </w:rPr>
              <w:t>二、基金基本信息</w:t>
            </w:r>
          </w:p>
          <w:p w14:paraId="21E5526E" w14:textId="77777777" w:rsidR="004E4596" w:rsidRPr="000E24B4" w:rsidRDefault="00750C27">
            <w:pPr>
              <w:pStyle w:val="a0"/>
              <w:widowControl/>
              <w:spacing w:line="240" w:lineRule="auto"/>
              <w:ind w:leftChars="0" w:left="0"/>
              <w:jc w:val="left"/>
              <w:rPr>
                <w:rFonts w:ascii="仿宋" w:eastAsia="仿宋" w:hAnsi="仿宋" w:cs="仿宋"/>
                <w:sz w:val="24"/>
                <w:szCs w:val="24"/>
              </w:rPr>
            </w:pPr>
            <w:r w:rsidRPr="00275D6D">
              <w:rPr>
                <w:rFonts w:ascii="仿宋" w:eastAsia="仿宋" w:hAnsi="仿宋" w:cs="仿宋" w:hint="eastAsia"/>
                <w:sz w:val="24"/>
                <w:szCs w:val="24"/>
              </w:rPr>
              <w:t>1、规模情况：基金经理当前管理总规模为</w:t>
            </w:r>
            <w:r w:rsidR="00275D6D" w:rsidRPr="00275D6D">
              <w:rPr>
                <w:rFonts w:ascii="仿宋" w:eastAsia="仿宋" w:hAnsi="仿宋" w:cs="仿宋"/>
                <w:sz w:val="24"/>
                <w:szCs w:val="24"/>
              </w:rPr>
              <w:t>228</w:t>
            </w:r>
            <w:r w:rsidRPr="00275D6D">
              <w:rPr>
                <w:rFonts w:ascii="仿宋" w:eastAsia="仿宋" w:hAnsi="仿宋" w:cs="仿宋" w:hint="eastAsia"/>
                <w:sz w:val="24"/>
                <w:szCs w:val="24"/>
              </w:rPr>
              <w:t>亿元，</w:t>
            </w:r>
            <w:r w:rsidRPr="000E24B4">
              <w:rPr>
                <w:rFonts w:ascii="仿宋" w:eastAsia="仿宋" w:hAnsi="仿宋" w:cs="仿宋" w:hint="eastAsia"/>
                <w:sz w:val="24"/>
                <w:szCs w:val="24"/>
              </w:rPr>
              <w:t>其中</w:t>
            </w:r>
            <w:r w:rsidR="000E24B4" w:rsidRPr="000E24B4">
              <w:rPr>
                <w:rFonts w:ascii="仿宋" w:eastAsia="仿宋" w:hAnsi="仿宋" w:cs="仿宋" w:hint="eastAsia"/>
                <w:sz w:val="24"/>
                <w:szCs w:val="24"/>
              </w:rPr>
              <w:t>鹏华双债增利</w:t>
            </w:r>
            <w:r w:rsidRPr="000E24B4">
              <w:rPr>
                <w:rFonts w:ascii="仿宋" w:eastAsia="仿宋" w:hAnsi="仿宋" w:cs="仿宋" w:hint="eastAsia"/>
                <w:sz w:val="24"/>
                <w:szCs w:val="24"/>
              </w:rPr>
              <w:t>基金当前规模为</w:t>
            </w:r>
            <w:r w:rsidR="000E24B4" w:rsidRPr="000E24B4">
              <w:rPr>
                <w:rFonts w:ascii="仿宋" w:eastAsia="仿宋" w:hAnsi="仿宋" w:cs="仿宋"/>
                <w:sz w:val="24"/>
                <w:szCs w:val="24"/>
              </w:rPr>
              <w:t>31</w:t>
            </w:r>
            <w:r w:rsidRPr="000E24B4">
              <w:rPr>
                <w:rFonts w:ascii="仿宋" w:eastAsia="仿宋" w:hAnsi="仿宋" w:cs="仿宋" w:hint="eastAsia"/>
                <w:sz w:val="24"/>
                <w:szCs w:val="24"/>
              </w:rPr>
              <w:t>.</w:t>
            </w:r>
            <w:r w:rsidR="000E24B4" w:rsidRPr="000E24B4">
              <w:rPr>
                <w:rFonts w:ascii="仿宋" w:eastAsia="仿宋" w:hAnsi="仿宋" w:cs="仿宋"/>
                <w:sz w:val="24"/>
                <w:szCs w:val="24"/>
              </w:rPr>
              <w:t>67</w:t>
            </w:r>
            <w:r w:rsidRPr="000E24B4">
              <w:rPr>
                <w:rFonts w:ascii="仿宋" w:eastAsia="仿宋" w:hAnsi="仿宋" w:cs="仿宋" w:hint="eastAsia"/>
                <w:sz w:val="24"/>
                <w:szCs w:val="24"/>
              </w:rPr>
              <w:t>亿元（1</w:t>
            </w:r>
            <w:r w:rsidR="000E24B4" w:rsidRPr="000E24B4">
              <w:rPr>
                <w:rFonts w:ascii="仿宋" w:eastAsia="仿宋" w:hAnsi="仿宋" w:cs="仿宋"/>
                <w:sz w:val="24"/>
                <w:szCs w:val="24"/>
              </w:rPr>
              <w:t>1</w:t>
            </w:r>
            <w:r w:rsidRPr="000E24B4">
              <w:rPr>
                <w:rFonts w:ascii="仿宋" w:eastAsia="仿宋" w:hAnsi="仿宋" w:cs="仿宋" w:hint="eastAsia"/>
                <w:sz w:val="24"/>
                <w:szCs w:val="24"/>
              </w:rPr>
              <w:t>月</w:t>
            </w:r>
            <w:r w:rsidR="000E24B4" w:rsidRPr="000E24B4">
              <w:rPr>
                <w:rFonts w:ascii="仿宋" w:eastAsia="仿宋" w:hAnsi="仿宋" w:cs="仿宋"/>
                <w:sz w:val="24"/>
                <w:szCs w:val="24"/>
              </w:rPr>
              <w:t>16</w:t>
            </w:r>
            <w:r w:rsidRPr="000E24B4">
              <w:rPr>
                <w:rFonts w:ascii="仿宋" w:eastAsia="仿宋" w:hAnsi="仿宋" w:cs="仿宋" w:hint="eastAsia"/>
                <w:sz w:val="24"/>
                <w:szCs w:val="24"/>
              </w:rPr>
              <w:t>日）</w:t>
            </w:r>
          </w:p>
          <w:tbl>
            <w:tblPr>
              <w:tblW w:w="10081" w:type="dxa"/>
              <w:jc w:val="center"/>
              <w:tblLayout w:type="fixed"/>
              <w:tblLook w:val="04A0" w:firstRow="1" w:lastRow="0" w:firstColumn="1" w:lastColumn="0" w:noHBand="0" w:noVBand="1"/>
            </w:tblPr>
            <w:tblGrid>
              <w:gridCol w:w="1270"/>
              <w:gridCol w:w="1270"/>
              <w:gridCol w:w="1270"/>
              <w:gridCol w:w="1270"/>
              <w:gridCol w:w="1270"/>
              <w:gridCol w:w="1270"/>
              <w:gridCol w:w="1270"/>
              <w:gridCol w:w="1191"/>
            </w:tblGrid>
            <w:tr w:rsidR="004E4596" w:rsidRPr="00740D89" w14:paraId="65DE061A" w14:textId="77777777">
              <w:trPr>
                <w:trHeight w:val="183"/>
                <w:jc w:val="center"/>
              </w:trPr>
              <w:tc>
                <w:tcPr>
                  <w:tcW w:w="10081" w:type="dxa"/>
                  <w:gridSpan w:val="8"/>
                  <w:tcBorders>
                    <w:top w:val="single" w:sz="4" w:space="0" w:color="auto"/>
                    <w:left w:val="single" w:sz="4" w:space="0" w:color="auto"/>
                    <w:bottom w:val="single" w:sz="4" w:space="0" w:color="auto"/>
                    <w:right w:val="single" w:sz="4" w:space="0" w:color="auto"/>
                  </w:tcBorders>
                  <w:shd w:val="clear" w:color="auto" w:fill="auto"/>
                  <w:noWrap/>
                  <w:vAlign w:val="center"/>
                </w:tcPr>
                <w:p w14:paraId="75981156" w14:textId="77777777" w:rsidR="004E4596" w:rsidRPr="003E2FC7" w:rsidRDefault="00275D6D">
                  <w:pPr>
                    <w:widowControl/>
                    <w:spacing w:line="240" w:lineRule="auto"/>
                    <w:jc w:val="center"/>
                    <w:rPr>
                      <w:rFonts w:ascii="仿宋" w:eastAsia="仿宋" w:hAnsi="仿宋" w:cs="仿宋"/>
                      <w:sz w:val="24"/>
                      <w:szCs w:val="24"/>
                    </w:rPr>
                  </w:pPr>
                  <w:r w:rsidRPr="003E2FC7">
                    <w:rPr>
                      <w:rFonts w:ascii="仿宋" w:eastAsia="仿宋" w:hAnsi="仿宋" w:cs="仿宋" w:hint="eastAsia"/>
                      <w:sz w:val="24"/>
                      <w:szCs w:val="24"/>
                    </w:rPr>
                    <w:t>鹏华双债增利</w:t>
                  </w:r>
                  <w:r w:rsidR="00750C27" w:rsidRPr="003E2FC7">
                    <w:rPr>
                      <w:rFonts w:ascii="仿宋" w:eastAsia="仿宋" w:hAnsi="仿宋" w:cs="仿宋" w:hint="eastAsia"/>
                      <w:sz w:val="24"/>
                      <w:szCs w:val="24"/>
                    </w:rPr>
                    <w:t>基金规模变动情况（亿元）</w:t>
                  </w:r>
                </w:p>
              </w:tc>
            </w:tr>
            <w:tr w:rsidR="004E4596" w:rsidRPr="00740D89" w14:paraId="7596B887" w14:textId="77777777">
              <w:trPr>
                <w:trHeight w:val="183"/>
                <w:jc w:val="center"/>
              </w:trPr>
              <w:tc>
                <w:tcPr>
                  <w:tcW w:w="1270" w:type="dxa"/>
                  <w:tcBorders>
                    <w:top w:val="nil"/>
                    <w:left w:val="single" w:sz="4" w:space="0" w:color="auto"/>
                    <w:bottom w:val="single" w:sz="4" w:space="0" w:color="auto"/>
                    <w:right w:val="single" w:sz="4" w:space="0" w:color="auto"/>
                  </w:tcBorders>
                  <w:shd w:val="clear" w:color="auto" w:fill="auto"/>
                  <w:noWrap/>
                  <w:vAlign w:val="center"/>
                </w:tcPr>
                <w:p w14:paraId="119D0903" w14:textId="77777777" w:rsidR="004E4596" w:rsidRPr="003E2FC7" w:rsidRDefault="00750C27">
                  <w:pPr>
                    <w:widowControl/>
                    <w:spacing w:line="240" w:lineRule="auto"/>
                    <w:jc w:val="center"/>
                    <w:rPr>
                      <w:rFonts w:ascii="仿宋" w:eastAsia="仿宋" w:hAnsi="仿宋" w:cs="仿宋"/>
                      <w:sz w:val="24"/>
                      <w:szCs w:val="24"/>
                    </w:rPr>
                  </w:pPr>
                  <w:r w:rsidRPr="003E2FC7">
                    <w:rPr>
                      <w:rFonts w:ascii="仿宋" w:eastAsia="仿宋" w:hAnsi="仿宋" w:cs="仿宋" w:hint="eastAsia"/>
                      <w:sz w:val="24"/>
                      <w:szCs w:val="24"/>
                    </w:rPr>
                    <w:t>20210930</w:t>
                  </w:r>
                </w:p>
              </w:tc>
              <w:tc>
                <w:tcPr>
                  <w:tcW w:w="1270" w:type="dxa"/>
                  <w:tcBorders>
                    <w:top w:val="nil"/>
                    <w:left w:val="nil"/>
                    <w:bottom w:val="single" w:sz="4" w:space="0" w:color="auto"/>
                    <w:right w:val="single" w:sz="4" w:space="0" w:color="auto"/>
                  </w:tcBorders>
                  <w:shd w:val="clear" w:color="auto" w:fill="auto"/>
                  <w:noWrap/>
                  <w:vAlign w:val="center"/>
                </w:tcPr>
                <w:p w14:paraId="506F6B57" w14:textId="77777777" w:rsidR="004E4596" w:rsidRPr="003E2FC7" w:rsidRDefault="00750C27">
                  <w:pPr>
                    <w:widowControl/>
                    <w:spacing w:line="240" w:lineRule="auto"/>
                    <w:jc w:val="center"/>
                    <w:rPr>
                      <w:rFonts w:ascii="仿宋" w:eastAsia="仿宋" w:hAnsi="仿宋" w:cs="仿宋"/>
                      <w:sz w:val="24"/>
                      <w:szCs w:val="24"/>
                    </w:rPr>
                  </w:pPr>
                  <w:r w:rsidRPr="003E2FC7">
                    <w:rPr>
                      <w:rFonts w:ascii="仿宋" w:eastAsia="仿宋" w:hAnsi="仿宋" w:cs="仿宋" w:hint="eastAsia"/>
                      <w:sz w:val="24"/>
                      <w:szCs w:val="24"/>
                    </w:rPr>
                    <w:t>20210630</w:t>
                  </w:r>
                </w:p>
              </w:tc>
              <w:tc>
                <w:tcPr>
                  <w:tcW w:w="1270" w:type="dxa"/>
                  <w:tcBorders>
                    <w:top w:val="nil"/>
                    <w:left w:val="nil"/>
                    <w:bottom w:val="single" w:sz="4" w:space="0" w:color="auto"/>
                    <w:right w:val="single" w:sz="4" w:space="0" w:color="auto"/>
                  </w:tcBorders>
                  <w:shd w:val="clear" w:color="auto" w:fill="auto"/>
                  <w:noWrap/>
                  <w:vAlign w:val="center"/>
                </w:tcPr>
                <w:p w14:paraId="5D75CBBC" w14:textId="77777777" w:rsidR="004E4596" w:rsidRPr="003E2FC7" w:rsidRDefault="00750C27">
                  <w:pPr>
                    <w:widowControl/>
                    <w:spacing w:line="240" w:lineRule="auto"/>
                    <w:jc w:val="center"/>
                    <w:rPr>
                      <w:rFonts w:ascii="仿宋" w:eastAsia="仿宋" w:hAnsi="仿宋" w:cs="仿宋"/>
                      <w:sz w:val="24"/>
                      <w:szCs w:val="24"/>
                    </w:rPr>
                  </w:pPr>
                  <w:r w:rsidRPr="003E2FC7">
                    <w:rPr>
                      <w:rFonts w:ascii="仿宋" w:eastAsia="仿宋" w:hAnsi="仿宋" w:cs="仿宋" w:hint="eastAsia"/>
                      <w:sz w:val="24"/>
                      <w:szCs w:val="24"/>
                    </w:rPr>
                    <w:t>20210331</w:t>
                  </w:r>
                </w:p>
              </w:tc>
              <w:tc>
                <w:tcPr>
                  <w:tcW w:w="1270" w:type="dxa"/>
                  <w:tcBorders>
                    <w:top w:val="nil"/>
                    <w:left w:val="nil"/>
                    <w:bottom w:val="single" w:sz="4" w:space="0" w:color="auto"/>
                    <w:right w:val="single" w:sz="4" w:space="0" w:color="auto"/>
                  </w:tcBorders>
                  <w:shd w:val="clear" w:color="auto" w:fill="auto"/>
                  <w:noWrap/>
                  <w:vAlign w:val="center"/>
                </w:tcPr>
                <w:p w14:paraId="0B15D10E" w14:textId="77777777" w:rsidR="004E4596" w:rsidRPr="003E2FC7" w:rsidRDefault="00750C27">
                  <w:pPr>
                    <w:widowControl/>
                    <w:spacing w:line="240" w:lineRule="auto"/>
                    <w:jc w:val="center"/>
                    <w:rPr>
                      <w:rFonts w:ascii="仿宋" w:eastAsia="仿宋" w:hAnsi="仿宋" w:cs="仿宋"/>
                      <w:sz w:val="24"/>
                      <w:szCs w:val="24"/>
                    </w:rPr>
                  </w:pPr>
                  <w:r w:rsidRPr="003E2FC7">
                    <w:rPr>
                      <w:rFonts w:ascii="仿宋" w:eastAsia="仿宋" w:hAnsi="仿宋" w:cs="仿宋" w:hint="eastAsia"/>
                      <w:sz w:val="24"/>
                      <w:szCs w:val="24"/>
                    </w:rPr>
                    <w:t>20201231</w:t>
                  </w:r>
                </w:p>
              </w:tc>
              <w:tc>
                <w:tcPr>
                  <w:tcW w:w="1270" w:type="dxa"/>
                  <w:tcBorders>
                    <w:top w:val="nil"/>
                    <w:left w:val="nil"/>
                    <w:bottom w:val="single" w:sz="4" w:space="0" w:color="auto"/>
                    <w:right w:val="single" w:sz="4" w:space="0" w:color="auto"/>
                  </w:tcBorders>
                  <w:shd w:val="clear" w:color="auto" w:fill="auto"/>
                  <w:noWrap/>
                  <w:vAlign w:val="center"/>
                </w:tcPr>
                <w:p w14:paraId="5F01ACD3" w14:textId="77777777" w:rsidR="004E4596" w:rsidRPr="003E2FC7" w:rsidRDefault="00750C27">
                  <w:pPr>
                    <w:widowControl/>
                    <w:spacing w:line="240" w:lineRule="auto"/>
                    <w:jc w:val="center"/>
                    <w:rPr>
                      <w:rFonts w:ascii="仿宋" w:eastAsia="仿宋" w:hAnsi="仿宋" w:cs="仿宋"/>
                      <w:sz w:val="24"/>
                      <w:szCs w:val="24"/>
                    </w:rPr>
                  </w:pPr>
                  <w:r w:rsidRPr="003E2FC7">
                    <w:rPr>
                      <w:rFonts w:ascii="仿宋" w:eastAsia="仿宋" w:hAnsi="仿宋" w:cs="仿宋" w:hint="eastAsia"/>
                      <w:sz w:val="24"/>
                      <w:szCs w:val="24"/>
                    </w:rPr>
                    <w:t>20200930</w:t>
                  </w:r>
                </w:p>
              </w:tc>
              <w:tc>
                <w:tcPr>
                  <w:tcW w:w="1270" w:type="dxa"/>
                  <w:tcBorders>
                    <w:top w:val="nil"/>
                    <w:left w:val="nil"/>
                    <w:bottom w:val="single" w:sz="4" w:space="0" w:color="auto"/>
                    <w:right w:val="single" w:sz="4" w:space="0" w:color="auto"/>
                  </w:tcBorders>
                  <w:shd w:val="clear" w:color="auto" w:fill="auto"/>
                  <w:noWrap/>
                  <w:vAlign w:val="center"/>
                </w:tcPr>
                <w:p w14:paraId="5E4FF0F8" w14:textId="77777777" w:rsidR="004E4596" w:rsidRPr="003E2FC7" w:rsidRDefault="00750C27">
                  <w:pPr>
                    <w:widowControl/>
                    <w:spacing w:line="240" w:lineRule="auto"/>
                    <w:jc w:val="center"/>
                    <w:rPr>
                      <w:rFonts w:ascii="仿宋" w:eastAsia="仿宋" w:hAnsi="仿宋" w:cs="仿宋"/>
                      <w:sz w:val="24"/>
                      <w:szCs w:val="24"/>
                    </w:rPr>
                  </w:pPr>
                  <w:r w:rsidRPr="003E2FC7">
                    <w:rPr>
                      <w:rFonts w:ascii="仿宋" w:eastAsia="仿宋" w:hAnsi="仿宋" w:cs="仿宋" w:hint="eastAsia"/>
                      <w:sz w:val="24"/>
                      <w:szCs w:val="24"/>
                    </w:rPr>
                    <w:t>20200630</w:t>
                  </w:r>
                </w:p>
              </w:tc>
              <w:tc>
                <w:tcPr>
                  <w:tcW w:w="1270" w:type="dxa"/>
                  <w:tcBorders>
                    <w:top w:val="nil"/>
                    <w:left w:val="nil"/>
                    <w:bottom w:val="single" w:sz="4" w:space="0" w:color="auto"/>
                    <w:right w:val="single" w:sz="4" w:space="0" w:color="auto"/>
                  </w:tcBorders>
                  <w:shd w:val="clear" w:color="auto" w:fill="auto"/>
                  <w:noWrap/>
                  <w:vAlign w:val="center"/>
                </w:tcPr>
                <w:p w14:paraId="3BDC3D86" w14:textId="77777777" w:rsidR="004E4596" w:rsidRPr="003E2FC7" w:rsidRDefault="00750C27">
                  <w:pPr>
                    <w:widowControl/>
                    <w:spacing w:line="240" w:lineRule="auto"/>
                    <w:jc w:val="center"/>
                    <w:rPr>
                      <w:rFonts w:ascii="仿宋" w:eastAsia="仿宋" w:hAnsi="仿宋" w:cs="仿宋"/>
                      <w:sz w:val="24"/>
                      <w:szCs w:val="24"/>
                    </w:rPr>
                  </w:pPr>
                  <w:r w:rsidRPr="003E2FC7">
                    <w:rPr>
                      <w:rFonts w:ascii="仿宋" w:eastAsia="仿宋" w:hAnsi="仿宋" w:cs="仿宋" w:hint="eastAsia"/>
                      <w:sz w:val="24"/>
                      <w:szCs w:val="24"/>
                    </w:rPr>
                    <w:t>20200331</w:t>
                  </w:r>
                </w:p>
              </w:tc>
              <w:tc>
                <w:tcPr>
                  <w:tcW w:w="1191" w:type="dxa"/>
                  <w:tcBorders>
                    <w:top w:val="nil"/>
                    <w:left w:val="nil"/>
                    <w:bottom w:val="single" w:sz="4" w:space="0" w:color="auto"/>
                    <w:right w:val="single" w:sz="4" w:space="0" w:color="auto"/>
                  </w:tcBorders>
                  <w:shd w:val="clear" w:color="auto" w:fill="auto"/>
                  <w:noWrap/>
                  <w:vAlign w:val="center"/>
                </w:tcPr>
                <w:p w14:paraId="0B3118F2" w14:textId="77777777" w:rsidR="004E4596" w:rsidRPr="003E2FC7" w:rsidRDefault="00750C27">
                  <w:pPr>
                    <w:widowControl/>
                    <w:spacing w:line="240" w:lineRule="auto"/>
                    <w:jc w:val="center"/>
                    <w:rPr>
                      <w:rFonts w:ascii="仿宋" w:eastAsia="仿宋" w:hAnsi="仿宋" w:cs="仿宋"/>
                      <w:sz w:val="24"/>
                      <w:szCs w:val="24"/>
                    </w:rPr>
                  </w:pPr>
                  <w:r w:rsidRPr="003E2FC7">
                    <w:rPr>
                      <w:rFonts w:ascii="仿宋" w:eastAsia="仿宋" w:hAnsi="仿宋" w:cs="仿宋" w:hint="eastAsia"/>
                      <w:sz w:val="24"/>
                      <w:szCs w:val="24"/>
                    </w:rPr>
                    <w:t>20191231</w:t>
                  </w:r>
                </w:p>
              </w:tc>
            </w:tr>
            <w:tr w:rsidR="004E4596" w:rsidRPr="00740D89" w14:paraId="6E27348B" w14:textId="77777777">
              <w:trPr>
                <w:trHeight w:val="183"/>
                <w:jc w:val="center"/>
              </w:trPr>
              <w:tc>
                <w:tcPr>
                  <w:tcW w:w="1270" w:type="dxa"/>
                  <w:tcBorders>
                    <w:top w:val="nil"/>
                    <w:left w:val="single" w:sz="4" w:space="0" w:color="auto"/>
                    <w:bottom w:val="single" w:sz="4" w:space="0" w:color="auto"/>
                    <w:right w:val="single" w:sz="4" w:space="0" w:color="auto"/>
                  </w:tcBorders>
                  <w:shd w:val="clear" w:color="auto" w:fill="auto"/>
                  <w:noWrap/>
                  <w:vAlign w:val="center"/>
                </w:tcPr>
                <w:p w14:paraId="32321139" w14:textId="77777777" w:rsidR="004E4596" w:rsidRPr="003E2FC7" w:rsidRDefault="003E2FC7">
                  <w:pPr>
                    <w:widowControl/>
                    <w:spacing w:line="240" w:lineRule="auto"/>
                    <w:jc w:val="center"/>
                    <w:rPr>
                      <w:rFonts w:ascii="仿宋" w:eastAsia="仿宋" w:hAnsi="仿宋" w:cs="仿宋"/>
                      <w:sz w:val="24"/>
                      <w:szCs w:val="24"/>
                    </w:rPr>
                  </w:pPr>
                  <w:r w:rsidRPr="003E2FC7">
                    <w:rPr>
                      <w:rFonts w:ascii="仿宋" w:eastAsia="仿宋" w:hAnsi="仿宋" w:cs="仿宋"/>
                      <w:sz w:val="24"/>
                      <w:szCs w:val="24"/>
                    </w:rPr>
                    <w:t>18.32</w:t>
                  </w:r>
                </w:p>
              </w:tc>
              <w:tc>
                <w:tcPr>
                  <w:tcW w:w="1270" w:type="dxa"/>
                  <w:tcBorders>
                    <w:top w:val="nil"/>
                    <w:left w:val="nil"/>
                    <w:bottom w:val="single" w:sz="4" w:space="0" w:color="auto"/>
                    <w:right w:val="single" w:sz="4" w:space="0" w:color="auto"/>
                  </w:tcBorders>
                  <w:shd w:val="clear" w:color="auto" w:fill="auto"/>
                  <w:noWrap/>
                  <w:vAlign w:val="center"/>
                </w:tcPr>
                <w:p w14:paraId="45CB8D0D" w14:textId="77777777" w:rsidR="004E4596" w:rsidRPr="003E2FC7" w:rsidRDefault="003E2FC7">
                  <w:pPr>
                    <w:widowControl/>
                    <w:spacing w:line="240" w:lineRule="auto"/>
                    <w:jc w:val="center"/>
                    <w:rPr>
                      <w:rFonts w:ascii="仿宋" w:eastAsia="仿宋" w:hAnsi="仿宋" w:cs="仿宋"/>
                      <w:sz w:val="24"/>
                      <w:szCs w:val="24"/>
                    </w:rPr>
                  </w:pPr>
                  <w:r w:rsidRPr="003E2FC7">
                    <w:rPr>
                      <w:rFonts w:ascii="仿宋" w:eastAsia="仿宋" w:hAnsi="仿宋" w:cs="仿宋"/>
                      <w:sz w:val="24"/>
                      <w:szCs w:val="24"/>
                    </w:rPr>
                    <w:t>4.27</w:t>
                  </w:r>
                </w:p>
              </w:tc>
              <w:tc>
                <w:tcPr>
                  <w:tcW w:w="1270" w:type="dxa"/>
                  <w:tcBorders>
                    <w:top w:val="nil"/>
                    <w:left w:val="nil"/>
                    <w:bottom w:val="single" w:sz="4" w:space="0" w:color="auto"/>
                    <w:right w:val="single" w:sz="4" w:space="0" w:color="auto"/>
                  </w:tcBorders>
                  <w:shd w:val="clear" w:color="auto" w:fill="auto"/>
                  <w:noWrap/>
                  <w:vAlign w:val="center"/>
                </w:tcPr>
                <w:p w14:paraId="2CEF014B" w14:textId="77777777" w:rsidR="004E4596" w:rsidRPr="003E2FC7" w:rsidRDefault="003E2FC7">
                  <w:pPr>
                    <w:widowControl/>
                    <w:spacing w:line="240" w:lineRule="auto"/>
                    <w:jc w:val="center"/>
                    <w:rPr>
                      <w:rFonts w:ascii="仿宋" w:eastAsia="仿宋" w:hAnsi="仿宋" w:cs="仿宋"/>
                      <w:sz w:val="24"/>
                      <w:szCs w:val="24"/>
                    </w:rPr>
                  </w:pPr>
                  <w:r w:rsidRPr="003E2FC7">
                    <w:rPr>
                      <w:rFonts w:ascii="仿宋" w:eastAsia="仿宋" w:hAnsi="仿宋" w:cs="仿宋"/>
                      <w:sz w:val="24"/>
                      <w:szCs w:val="24"/>
                    </w:rPr>
                    <w:t>5.70</w:t>
                  </w:r>
                </w:p>
              </w:tc>
              <w:tc>
                <w:tcPr>
                  <w:tcW w:w="1270" w:type="dxa"/>
                  <w:tcBorders>
                    <w:top w:val="nil"/>
                    <w:left w:val="nil"/>
                    <w:bottom w:val="single" w:sz="4" w:space="0" w:color="auto"/>
                    <w:right w:val="single" w:sz="4" w:space="0" w:color="auto"/>
                  </w:tcBorders>
                  <w:shd w:val="clear" w:color="auto" w:fill="auto"/>
                  <w:noWrap/>
                  <w:vAlign w:val="center"/>
                </w:tcPr>
                <w:p w14:paraId="68115E5B" w14:textId="77777777" w:rsidR="004E4596" w:rsidRPr="003E2FC7" w:rsidRDefault="003E2FC7">
                  <w:pPr>
                    <w:widowControl/>
                    <w:spacing w:line="240" w:lineRule="auto"/>
                    <w:jc w:val="center"/>
                    <w:rPr>
                      <w:rFonts w:ascii="仿宋" w:eastAsia="仿宋" w:hAnsi="仿宋" w:cs="仿宋"/>
                      <w:sz w:val="24"/>
                      <w:szCs w:val="24"/>
                    </w:rPr>
                  </w:pPr>
                  <w:r w:rsidRPr="003E2FC7">
                    <w:rPr>
                      <w:rFonts w:ascii="仿宋" w:eastAsia="仿宋" w:hAnsi="仿宋" w:cs="仿宋"/>
                      <w:sz w:val="24"/>
                      <w:szCs w:val="24"/>
                    </w:rPr>
                    <w:t>5.10</w:t>
                  </w:r>
                </w:p>
              </w:tc>
              <w:tc>
                <w:tcPr>
                  <w:tcW w:w="1270" w:type="dxa"/>
                  <w:tcBorders>
                    <w:top w:val="nil"/>
                    <w:left w:val="nil"/>
                    <w:bottom w:val="single" w:sz="4" w:space="0" w:color="auto"/>
                    <w:right w:val="single" w:sz="4" w:space="0" w:color="auto"/>
                  </w:tcBorders>
                  <w:shd w:val="clear" w:color="auto" w:fill="auto"/>
                  <w:noWrap/>
                  <w:vAlign w:val="center"/>
                </w:tcPr>
                <w:p w14:paraId="7D5DA72A" w14:textId="77777777" w:rsidR="004E4596" w:rsidRPr="003E2FC7" w:rsidRDefault="00750C27" w:rsidP="003E2FC7">
                  <w:pPr>
                    <w:widowControl/>
                    <w:spacing w:line="240" w:lineRule="auto"/>
                    <w:jc w:val="center"/>
                    <w:rPr>
                      <w:rFonts w:ascii="仿宋" w:eastAsia="仿宋" w:hAnsi="仿宋" w:cs="仿宋"/>
                      <w:sz w:val="24"/>
                      <w:szCs w:val="24"/>
                    </w:rPr>
                  </w:pPr>
                  <w:r w:rsidRPr="003E2FC7">
                    <w:rPr>
                      <w:rFonts w:ascii="仿宋" w:eastAsia="仿宋" w:hAnsi="仿宋" w:cs="仿宋" w:hint="eastAsia"/>
                      <w:sz w:val="24"/>
                      <w:szCs w:val="24"/>
                    </w:rPr>
                    <w:t>7.</w:t>
                  </w:r>
                  <w:r w:rsidR="003E2FC7" w:rsidRPr="003E2FC7">
                    <w:rPr>
                      <w:rFonts w:ascii="仿宋" w:eastAsia="仿宋" w:hAnsi="仿宋" w:cs="仿宋"/>
                      <w:sz w:val="24"/>
                      <w:szCs w:val="24"/>
                    </w:rPr>
                    <w:t>1</w:t>
                  </w:r>
                  <w:r w:rsidRPr="003E2FC7">
                    <w:rPr>
                      <w:rFonts w:ascii="仿宋" w:eastAsia="仿宋" w:hAnsi="仿宋" w:cs="仿宋" w:hint="eastAsia"/>
                      <w:sz w:val="24"/>
                      <w:szCs w:val="24"/>
                    </w:rPr>
                    <w:t>3</w:t>
                  </w:r>
                </w:p>
              </w:tc>
              <w:tc>
                <w:tcPr>
                  <w:tcW w:w="1270" w:type="dxa"/>
                  <w:tcBorders>
                    <w:top w:val="nil"/>
                    <w:left w:val="nil"/>
                    <w:bottom w:val="single" w:sz="4" w:space="0" w:color="auto"/>
                    <w:right w:val="single" w:sz="4" w:space="0" w:color="auto"/>
                  </w:tcBorders>
                  <w:shd w:val="clear" w:color="auto" w:fill="auto"/>
                  <w:noWrap/>
                  <w:vAlign w:val="center"/>
                </w:tcPr>
                <w:p w14:paraId="0CE2FBDC" w14:textId="77777777" w:rsidR="004E4596" w:rsidRPr="003E2FC7" w:rsidRDefault="003E2FC7">
                  <w:pPr>
                    <w:widowControl/>
                    <w:spacing w:line="240" w:lineRule="auto"/>
                    <w:jc w:val="center"/>
                    <w:rPr>
                      <w:rFonts w:ascii="仿宋" w:eastAsia="仿宋" w:hAnsi="仿宋" w:cs="仿宋"/>
                      <w:sz w:val="24"/>
                      <w:szCs w:val="24"/>
                    </w:rPr>
                  </w:pPr>
                  <w:r w:rsidRPr="003E2FC7">
                    <w:rPr>
                      <w:rFonts w:ascii="仿宋" w:eastAsia="仿宋" w:hAnsi="仿宋" w:cs="仿宋"/>
                      <w:sz w:val="24"/>
                      <w:szCs w:val="24"/>
                    </w:rPr>
                    <w:t>6.85</w:t>
                  </w:r>
                </w:p>
              </w:tc>
              <w:tc>
                <w:tcPr>
                  <w:tcW w:w="1270" w:type="dxa"/>
                  <w:tcBorders>
                    <w:top w:val="nil"/>
                    <w:left w:val="nil"/>
                    <w:bottom w:val="single" w:sz="4" w:space="0" w:color="auto"/>
                    <w:right w:val="single" w:sz="4" w:space="0" w:color="auto"/>
                  </w:tcBorders>
                  <w:shd w:val="clear" w:color="auto" w:fill="auto"/>
                  <w:noWrap/>
                  <w:vAlign w:val="center"/>
                </w:tcPr>
                <w:p w14:paraId="7AE4D54D" w14:textId="77777777" w:rsidR="004E4596" w:rsidRPr="003E2FC7" w:rsidRDefault="003E2FC7">
                  <w:pPr>
                    <w:widowControl/>
                    <w:spacing w:line="240" w:lineRule="auto"/>
                    <w:jc w:val="center"/>
                    <w:rPr>
                      <w:rFonts w:ascii="仿宋" w:eastAsia="仿宋" w:hAnsi="仿宋" w:cs="仿宋"/>
                      <w:sz w:val="24"/>
                      <w:szCs w:val="24"/>
                    </w:rPr>
                  </w:pPr>
                  <w:r w:rsidRPr="003E2FC7">
                    <w:rPr>
                      <w:rFonts w:ascii="仿宋" w:eastAsia="仿宋" w:hAnsi="仿宋" w:cs="仿宋"/>
                      <w:sz w:val="24"/>
                      <w:szCs w:val="24"/>
                    </w:rPr>
                    <w:t>6.87</w:t>
                  </w:r>
                </w:p>
              </w:tc>
              <w:tc>
                <w:tcPr>
                  <w:tcW w:w="1191" w:type="dxa"/>
                  <w:tcBorders>
                    <w:top w:val="nil"/>
                    <w:left w:val="nil"/>
                    <w:bottom w:val="single" w:sz="4" w:space="0" w:color="auto"/>
                    <w:right w:val="single" w:sz="4" w:space="0" w:color="auto"/>
                  </w:tcBorders>
                  <w:shd w:val="clear" w:color="auto" w:fill="auto"/>
                  <w:noWrap/>
                  <w:vAlign w:val="center"/>
                </w:tcPr>
                <w:p w14:paraId="37D7D586" w14:textId="77777777" w:rsidR="004E4596" w:rsidRPr="003E2FC7" w:rsidRDefault="003E2FC7" w:rsidP="003E2FC7">
                  <w:pPr>
                    <w:widowControl/>
                    <w:spacing w:line="240" w:lineRule="auto"/>
                    <w:jc w:val="center"/>
                    <w:rPr>
                      <w:rFonts w:ascii="仿宋" w:eastAsia="仿宋" w:hAnsi="仿宋" w:cs="仿宋"/>
                      <w:sz w:val="24"/>
                      <w:szCs w:val="24"/>
                    </w:rPr>
                  </w:pPr>
                  <w:r w:rsidRPr="003E2FC7">
                    <w:rPr>
                      <w:rFonts w:ascii="仿宋" w:eastAsia="仿宋" w:hAnsi="仿宋" w:cs="仿宋"/>
                      <w:sz w:val="24"/>
                      <w:szCs w:val="24"/>
                    </w:rPr>
                    <w:t>4.10</w:t>
                  </w:r>
                </w:p>
              </w:tc>
            </w:tr>
          </w:tbl>
          <w:p w14:paraId="7117A18B" w14:textId="77777777" w:rsidR="004E4596" w:rsidRPr="00275D6D" w:rsidRDefault="00750C27">
            <w:pPr>
              <w:pStyle w:val="a0"/>
              <w:widowControl/>
              <w:spacing w:line="240" w:lineRule="auto"/>
              <w:ind w:leftChars="0" w:left="0"/>
              <w:jc w:val="left"/>
              <w:rPr>
                <w:rFonts w:ascii="仿宋" w:eastAsia="仿宋" w:hAnsi="仿宋" w:cs="仿宋"/>
                <w:sz w:val="24"/>
                <w:szCs w:val="24"/>
              </w:rPr>
            </w:pPr>
            <w:r w:rsidRPr="00275D6D">
              <w:rPr>
                <w:rFonts w:ascii="仿宋" w:eastAsia="仿宋" w:hAnsi="仿宋" w:cs="仿宋" w:hint="eastAsia"/>
                <w:sz w:val="24"/>
                <w:szCs w:val="24"/>
              </w:rPr>
              <w:t>2、仓位及集中度情况：基金经理整体仓位维持较高，持续位于90%以上。21年三季报披露前十大重仓股占比</w:t>
            </w:r>
            <w:r w:rsidR="00275D6D" w:rsidRPr="00275D6D">
              <w:rPr>
                <w:rFonts w:ascii="仿宋" w:eastAsia="仿宋" w:hAnsi="仿宋" w:cs="仿宋"/>
                <w:sz w:val="24"/>
                <w:szCs w:val="24"/>
              </w:rPr>
              <w:t>3.23</w:t>
            </w:r>
            <w:r w:rsidRPr="00275D6D">
              <w:rPr>
                <w:rFonts w:ascii="仿宋" w:eastAsia="仿宋" w:hAnsi="仿宋" w:cs="仿宋" w:hint="eastAsia"/>
                <w:sz w:val="24"/>
                <w:szCs w:val="24"/>
              </w:rPr>
              <w:t>%，集中度适中。</w:t>
            </w:r>
          </w:p>
          <w:tbl>
            <w:tblPr>
              <w:tblW w:w="6727" w:type="dxa"/>
              <w:jc w:val="center"/>
              <w:tblLayout w:type="fixed"/>
              <w:tblLook w:val="04A0" w:firstRow="1" w:lastRow="0" w:firstColumn="1" w:lastColumn="0" w:noHBand="0" w:noVBand="1"/>
            </w:tblPr>
            <w:tblGrid>
              <w:gridCol w:w="3415"/>
              <w:gridCol w:w="3312"/>
            </w:tblGrid>
            <w:tr w:rsidR="004E4596" w:rsidRPr="00740D89" w14:paraId="5665A804" w14:textId="77777777">
              <w:trPr>
                <w:trHeight w:val="194"/>
                <w:jc w:val="center"/>
              </w:trPr>
              <w:tc>
                <w:tcPr>
                  <w:tcW w:w="6727"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29D44D0" w14:textId="77777777" w:rsidR="004E4596" w:rsidRPr="000E24B4" w:rsidRDefault="00D44FFB">
                  <w:pPr>
                    <w:widowControl/>
                    <w:spacing w:line="240" w:lineRule="auto"/>
                    <w:jc w:val="center"/>
                    <w:rPr>
                      <w:rFonts w:ascii="仿宋" w:eastAsia="仿宋" w:hAnsi="仿宋" w:cs="仿宋"/>
                      <w:sz w:val="24"/>
                      <w:szCs w:val="24"/>
                    </w:rPr>
                  </w:pPr>
                  <w:r>
                    <w:rPr>
                      <w:rFonts w:ascii="仿宋" w:eastAsia="仿宋" w:hAnsi="仿宋" w:cs="仿宋" w:hint="eastAsia"/>
                      <w:sz w:val="24"/>
                      <w:szCs w:val="24"/>
                    </w:rPr>
                    <w:t>鹏华双债增利</w:t>
                  </w:r>
                  <w:r w:rsidR="00750C27" w:rsidRPr="000E24B4">
                    <w:rPr>
                      <w:rFonts w:ascii="仿宋" w:eastAsia="仿宋" w:hAnsi="仿宋" w:cs="仿宋" w:hint="eastAsia"/>
                      <w:sz w:val="24"/>
                      <w:szCs w:val="24"/>
                    </w:rPr>
                    <w:t>基金21年三季度前十大持股</w:t>
                  </w:r>
                </w:p>
              </w:tc>
            </w:tr>
            <w:tr w:rsidR="004E4596" w:rsidRPr="00740D89" w14:paraId="25BEA392" w14:textId="77777777">
              <w:trPr>
                <w:trHeight w:val="194"/>
                <w:jc w:val="center"/>
              </w:trPr>
              <w:tc>
                <w:tcPr>
                  <w:tcW w:w="34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EB9419" w14:textId="77777777" w:rsidR="004E4596" w:rsidRPr="000E24B4" w:rsidRDefault="00750C27">
                  <w:pPr>
                    <w:widowControl/>
                    <w:spacing w:line="240" w:lineRule="auto"/>
                    <w:jc w:val="center"/>
                    <w:rPr>
                      <w:rFonts w:ascii="仿宋" w:eastAsia="仿宋" w:hAnsi="仿宋" w:cs="仿宋"/>
                      <w:sz w:val="24"/>
                      <w:szCs w:val="24"/>
                    </w:rPr>
                  </w:pPr>
                  <w:r w:rsidRPr="000E24B4">
                    <w:rPr>
                      <w:rFonts w:ascii="仿宋" w:eastAsia="仿宋" w:hAnsi="仿宋" w:cs="仿宋" w:hint="eastAsia"/>
                      <w:sz w:val="24"/>
                      <w:szCs w:val="24"/>
                    </w:rPr>
                    <w:t>股票名称</w:t>
                  </w:r>
                </w:p>
              </w:tc>
              <w:tc>
                <w:tcPr>
                  <w:tcW w:w="3312" w:type="dxa"/>
                  <w:tcBorders>
                    <w:top w:val="single" w:sz="4" w:space="0" w:color="auto"/>
                    <w:left w:val="nil"/>
                    <w:bottom w:val="single" w:sz="4" w:space="0" w:color="auto"/>
                    <w:right w:val="single" w:sz="4" w:space="0" w:color="auto"/>
                  </w:tcBorders>
                  <w:shd w:val="clear" w:color="auto" w:fill="auto"/>
                  <w:noWrap/>
                  <w:vAlign w:val="bottom"/>
                </w:tcPr>
                <w:p w14:paraId="2C9D331D" w14:textId="77777777" w:rsidR="004E4596" w:rsidRPr="000E24B4" w:rsidRDefault="00750C27">
                  <w:pPr>
                    <w:widowControl/>
                    <w:spacing w:line="240" w:lineRule="auto"/>
                    <w:jc w:val="center"/>
                    <w:rPr>
                      <w:rFonts w:ascii="仿宋" w:eastAsia="仿宋" w:hAnsi="仿宋" w:cs="仿宋"/>
                      <w:sz w:val="24"/>
                      <w:szCs w:val="24"/>
                    </w:rPr>
                  </w:pPr>
                  <w:r w:rsidRPr="000E24B4">
                    <w:rPr>
                      <w:rFonts w:ascii="仿宋" w:eastAsia="仿宋" w:hAnsi="仿宋" w:cs="仿宋" w:hint="eastAsia"/>
                      <w:sz w:val="24"/>
                      <w:szCs w:val="24"/>
                    </w:rPr>
                    <w:t>占净资产比例（%）</w:t>
                  </w:r>
                </w:p>
              </w:tc>
            </w:tr>
            <w:tr w:rsidR="004E4596" w:rsidRPr="00740D89" w14:paraId="1E1AAF79" w14:textId="77777777">
              <w:trPr>
                <w:trHeight w:val="194"/>
                <w:jc w:val="center"/>
              </w:trPr>
              <w:tc>
                <w:tcPr>
                  <w:tcW w:w="3415" w:type="dxa"/>
                  <w:tcBorders>
                    <w:top w:val="nil"/>
                    <w:left w:val="single" w:sz="4" w:space="0" w:color="auto"/>
                    <w:bottom w:val="single" w:sz="4" w:space="0" w:color="auto"/>
                    <w:right w:val="single" w:sz="4" w:space="0" w:color="auto"/>
                  </w:tcBorders>
                  <w:shd w:val="clear" w:color="auto" w:fill="auto"/>
                  <w:noWrap/>
                  <w:vAlign w:val="bottom"/>
                </w:tcPr>
                <w:p w14:paraId="1D95EF2F" w14:textId="77777777" w:rsidR="004E4596" w:rsidRPr="00740D89" w:rsidRDefault="000E24B4">
                  <w:pPr>
                    <w:widowControl/>
                    <w:spacing w:line="240" w:lineRule="auto"/>
                    <w:jc w:val="center"/>
                    <w:rPr>
                      <w:rFonts w:ascii="仿宋" w:eastAsia="仿宋" w:hAnsi="仿宋" w:cs="仿宋"/>
                      <w:sz w:val="24"/>
                      <w:szCs w:val="24"/>
                      <w:highlight w:val="yellow"/>
                    </w:rPr>
                  </w:pPr>
                  <w:r w:rsidRPr="000E24B4">
                    <w:rPr>
                      <w:rFonts w:ascii="仿宋" w:eastAsia="仿宋" w:hAnsi="仿宋" w:cs="仿宋" w:hint="eastAsia"/>
                      <w:sz w:val="24"/>
                      <w:szCs w:val="24"/>
                    </w:rPr>
                    <w:t>保利发展</w:t>
                  </w:r>
                </w:p>
              </w:tc>
              <w:tc>
                <w:tcPr>
                  <w:tcW w:w="3312" w:type="dxa"/>
                  <w:tcBorders>
                    <w:top w:val="nil"/>
                    <w:left w:val="nil"/>
                    <w:bottom w:val="single" w:sz="4" w:space="0" w:color="auto"/>
                    <w:right w:val="single" w:sz="4" w:space="0" w:color="auto"/>
                  </w:tcBorders>
                  <w:shd w:val="clear" w:color="auto" w:fill="auto"/>
                  <w:noWrap/>
                  <w:vAlign w:val="bottom"/>
                </w:tcPr>
                <w:p w14:paraId="1C059B12" w14:textId="77777777" w:rsidR="004E4596" w:rsidRPr="00740D89" w:rsidRDefault="000E24B4">
                  <w:pPr>
                    <w:widowControl/>
                    <w:spacing w:line="240" w:lineRule="auto"/>
                    <w:jc w:val="center"/>
                    <w:rPr>
                      <w:rFonts w:ascii="仿宋" w:eastAsia="仿宋" w:hAnsi="仿宋" w:cs="仿宋"/>
                      <w:sz w:val="24"/>
                      <w:szCs w:val="24"/>
                      <w:highlight w:val="yellow"/>
                    </w:rPr>
                  </w:pPr>
                  <w:r w:rsidRPr="000E24B4">
                    <w:rPr>
                      <w:rFonts w:ascii="仿宋" w:eastAsia="仿宋" w:hAnsi="仿宋" w:cs="仿宋"/>
                      <w:sz w:val="24"/>
                      <w:szCs w:val="24"/>
                    </w:rPr>
                    <w:t>0.44</w:t>
                  </w:r>
                </w:p>
              </w:tc>
            </w:tr>
            <w:tr w:rsidR="004E4596" w:rsidRPr="00740D89" w14:paraId="385AB5AD" w14:textId="77777777">
              <w:trPr>
                <w:trHeight w:val="194"/>
                <w:jc w:val="center"/>
              </w:trPr>
              <w:tc>
                <w:tcPr>
                  <w:tcW w:w="3415" w:type="dxa"/>
                  <w:tcBorders>
                    <w:top w:val="nil"/>
                    <w:left w:val="single" w:sz="4" w:space="0" w:color="auto"/>
                    <w:bottom w:val="single" w:sz="4" w:space="0" w:color="auto"/>
                    <w:right w:val="single" w:sz="4" w:space="0" w:color="auto"/>
                  </w:tcBorders>
                  <w:shd w:val="clear" w:color="auto" w:fill="auto"/>
                  <w:noWrap/>
                  <w:vAlign w:val="bottom"/>
                </w:tcPr>
                <w:p w14:paraId="00CA75B3" w14:textId="77777777" w:rsidR="004E4596" w:rsidRPr="00740D89" w:rsidRDefault="000E24B4">
                  <w:pPr>
                    <w:widowControl/>
                    <w:spacing w:line="240" w:lineRule="auto"/>
                    <w:jc w:val="center"/>
                    <w:rPr>
                      <w:rFonts w:ascii="仿宋" w:eastAsia="仿宋" w:hAnsi="仿宋" w:cs="仿宋"/>
                      <w:sz w:val="24"/>
                      <w:szCs w:val="24"/>
                      <w:highlight w:val="yellow"/>
                    </w:rPr>
                  </w:pPr>
                  <w:r w:rsidRPr="000E24B4">
                    <w:rPr>
                      <w:rFonts w:ascii="仿宋" w:eastAsia="仿宋" w:hAnsi="仿宋" w:cs="仿宋" w:hint="eastAsia"/>
                      <w:sz w:val="24"/>
                      <w:szCs w:val="24"/>
                    </w:rPr>
                    <w:lastRenderedPageBreak/>
                    <w:t>华电国际</w:t>
                  </w:r>
                </w:p>
              </w:tc>
              <w:tc>
                <w:tcPr>
                  <w:tcW w:w="3312" w:type="dxa"/>
                  <w:tcBorders>
                    <w:top w:val="nil"/>
                    <w:left w:val="nil"/>
                    <w:bottom w:val="single" w:sz="4" w:space="0" w:color="auto"/>
                    <w:right w:val="single" w:sz="4" w:space="0" w:color="auto"/>
                  </w:tcBorders>
                  <w:shd w:val="clear" w:color="auto" w:fill="auto"/>
                  <w:noWrap/>
                  <w:vAlign w:val="bottom"/>
                </w:tcPr>
                <w:p w14:paraId="7212051A" w14:textId="77777777" w:rsidR="004E4596" w:rsidRPr="00740D89" w:rsidRDefault="000E24B4">
                  <w:pPr>
                    <w:widowControl/>
                    <w:spacing w:line="240" w:lineRule="auto"/>
                    <w:jc w:val="center"/>
                    <w:rPr>
                      <w:rFonts w:ascii="仿宋" w:eastAsia="仿宋" w:hAnsi="仿宋" w:cs="仿宋"/>
                      <w:sz w:val="24"/>
                      <w:szCs w:val="24"/>
                      <w:highlight w:val="yellow"/>
                    </w:rPr>
                  </w:pPr>
                  <w:r w:rsidRPr="000E24B4">
                    <w:rPr>
                      <w:rFonts w:ascii="仿宋" w:eastAsia="仿宋" w:hAnsi="仿宋" w:cs="仿宋"/>
                      <w:sz w:val="24"/>
                      <w:szCs w:val="24"/>
                    </w:rPr>
                    <w:t>0.28</w:t>
                  </w:r>
                </w:p>
              </w:tc>
            </w:tr>
            <w:tr w:rsidR="004E4596" w:rsidRPr="00740D89" w14:paraId="4CF21D5E" w14:textId="77777777">
              <w:trPr>
                <w:trHeight w:val="194"/>
                <w:jc w:val="center"/>
              </w:trPr>
              <w:tc>
                <w:tcPr>
                  <w:tcW w:w="3415" w:type="dxa"/>
                  <w:tcBorders>
                    <w:top w:val="nil"/>
                    <w:left w:val="single" w:sz="4" w:space="0" w:color="auto"/>
                    <w:bottom w:val="single" w:sz="4" w:space="0" w:color="auto"/>
                    <w:right w:val="single" w:sz="4" w:space="0" w:color="auto"/>
                  </w:tcBorders>
                  <w:shd w:val="clear" w:color="auto" w:fill="auto"/>
                  <w:noWrap/>
                  <w:vAlign w:val="bottom"/>
                </w:tcPr>
                <w:p w14:paraId="0AF87D33" w14:textId="77777777" w:rsidR="004E4596" w:rsidRPr="00740D89" w:rsidRDefault="000E24B4">
                  <w:pPr>
                    <w:widowControl/>
                    <w:spacing w:line="240" w:lineRule="auto"/>
                    <w:jc w:val="center"/>
                    <w:rPr>
                      <w:rFonts w:ascii="仿宋" w:eastAsia="仿宋" w:hAnsi="仿宋" w:cs="仿宋"/>
                      <w:sz w:val="24"/>
                      <w:szCs w:val="24"/>
                      <w:highlight w:val="yellow"/>
                    </w:rPr>
                  </w:pPr>
                  <w:r w:rsidRPr="000E24B4">
                    <w:rPr>
                      <w:rFonts w:ascii="仿宋" w:eastAsia="仿宋" w:hAnsi="仿宋" w:cs="仿宋" w:hint="eastAsia"/>
                      <w:sz w:val="24"/>
                      <w:szCs w:val="24"/>
                    </w:rPr>
                    <w:t>招商蛇口</w:t>
                  </w:r>
                </w:p>
              </w:tc>
              <w:tc>
                <w:tcPr>
                  <w:tcW w:w="3312" w:type="dxa"/>
                  <w:tcBorders>
                    <w:top w:val="nil"/>
                    <w:left w:val="nil"/>
                    <w:bottom w:val="single" w:sz="4" w:space="0" w:color="auto"/>
                    <w:right w:val="single" w:sz="4" w:space="0" w:color="auto"/>
                  </w:tcBorders>
                  <w:shd w:val="clear" w:color="auto" w:fill="auto"/>
                  <w:noWrap/>
                  <w:vAlign w:val="bottom"/>
                </w:tcPr>
                <w:p w14:paraId="79E7CEB6" w14:textId="77777777" w:rsidR="004E4596" w:rsidRPr="00740D89" w:rsidRDefault="000E24B4">
                  <w:pPr>
                    <w:widowControl/>
                    <w:spacing w:line="240" w:lineRule="auto"/>
                    <w:jc w:val="center"/>
                    <w:rPr>
                      <w:rFonts w:ascii="仿宋" w:eastAsia="仿宋" w:hAnsi="仿宋" w:cs="仿宋"/>
                      <w:sz w:val="24"/>
                      <w:szCs w:val="24"/>
                      <w:highlight w:val="yellow"/>
                    </w:rPr>
                  </w:pPr>
                  <w:r w:rsidRPr="000E24B4">
                    <w:rPr>
                      <w:rFonts w:ascii="仿宋" w:eastAsia="仿宋" w:hAnsi="仿宋" w:cs="仿宋"/>
                      <w:sz w:val="24"/>
                      <w:szCs w:val="24"/>
                    </w:rPr>
                    <w:t>0.28</w:t>
                  </w:r>
                </w:p>
              </w:tc>
            </w:tr>
            <w:tr w:rsidR="004E4596" w:rsidRPr="00740D89" w14:paraId="4910A5EE" w14:textId="77777777">
              <w:trPr>
                <w:trHeight w:val="194"/>
                <w:jc w:val="center"/>
              </w:trPr>
              <w:tc>
                <w:tcPr>
                  <w:tcW w:w="3415" w:type="dxa"/>
                  <w:tcBorders>
                    <w:top w:val="nil"/>
                    <w:left w:val="single" w:sz="4" w:space="0" w:color="auto"/>
                    <w:bottom w:val="single" w:sz="4" w:space="0" w:color="auto"/>
                    <w:right w:val="single" w:sz="4" w:space="0" w:color="auto"/>
                  </w:tcBorders>
                  <w:shd w:val="clear" w:color="auto" w:fill="auto"/>
                  <w:noWrap/>
                  <w:vAlign w:val="bottom"/>
                </w:tcPr>
                <w:p w14:paraId="7F5D85B9" w14:textId="77777777" w:rsidR="004E4596" w:rsidRPr="00740D89" w:rsidRDefault="000E24B4">
                  <w:pPr>
                    <w:widowControl/>
                    <w:spacing w:line="240" w:lineRule="auto"/>
                    <w:jc w:val="center"/>
                    <w:rPr>
                      <w:rFonts w:ascii="仿宋" w:eastAsia="仿宋" w:hAnsi="仿宋" w:cs="仿宋"/>
                      <w:sz w:val="24"/>
                      <w:szCs w:val="24"/>
                      <w:highlight w:val="yellow"/>
                    </w:rPr>
                  </w:pPr>
                  <w:r w:rsidRPr="000E24B4">
                    <w:rPr>
                      <w:rFonts w:ascii="仿宋" w:eastAsia="仿宋" w:hAnsi="仿宋" w:cs="仿宋" w:hint="eastAsia"/>
                      <w:sz w:val="24"/>
                      <w:szCs w:val="24"/>
                    </w:rPr>
                    <w:t>华能水电</w:t>
                  </w:r>
                </w:p>
              </w:tc>
              <w:tc>
                <w:tcPr>
                  <w:tcW w:w="3312" w:type="dxa"/>
                  <w:tcBorders>
                    <w:top w:val="nil"/>
                    <w:left w:val="nil"/>
                    <w:bottom w:val="single" w:sz="4" w:space="0" w:color="auto"/>
                    <w:right w:val="single" w:sz="4" w:space="0" w:color="auto"/>
                  </w:tcBorders>
                  <w:shd w:val="clear" w:color="auto" w:fill="auto"/>
                  <w:noWrap/>
                  <w:vAlign w:val="bottom"/>
                </w:tcPr>
                <w:p w14:paraId="41DFFD99" w14:textId="77777777" w:rsidR="004E4596" w:rsidRPr="00740D89" w:rsidRDefault="000E24B4">
                  <w:pPr>
                    <w:widowControl/>
                    <w:spacing w:line="240" w:lineRule="auto"/>
                    <w:jc w:val="center"/>
                    <w:rPr>
                      <w:rFonts w:ascii="仿宋" w:eastAsia="仿宋" w:hAnsi="仿宋" w:cs="仿宋"/>
                      <w:sz w:val="24"/>
                      <w:szCs w:val="24"/>
                      <w:highlight w:val="yellow"/>
                    </w:rPr>
                  </w:pPr>
                  <w:r w:rsidRPr="000E24B4">
                    <w:rPr>
                      <w:rFonts w:ascii="仿宋" w:eastAsia="仿宋" w:hAnsi="仿宋" w:cs="仿宋"/>
                      <w:sz w:val="24"/>
                      <w:szCs w:val="24"/>
                    </w:rPr>
                    <w:t>0.28</w:t>
                  </w:r>
                </w:p>
              </w:tc>
            </w:tr>
            <w:tr w:rsidR="004E4596" w:rsidRPr="00740D89" w14:paraId="789D3152" w14:textId="77777777">
              <w:trPr>
                <w:trHeight w:val="230"/>
                <w:jc w:val="center"/>
              </w:trPr>
              <w:tc>
                <w:tcPr>
                  <w:tcW w:w="3415" w:type="dxa"/>
                  <w:tcBorders>
                    <w:top w:val="nil"/>
                    <w:left w:val="single" w:sz="4" w:space="0" w:color="auto"/>
                    <w:bottom w:val="single" w:sz="4" w:space="0" w:color="auto"/>
                    <w:right w:val="single" w:sz="4" w:space="0" w:color="auto"/>
                  </w:tcBorders>
                  <w:shd w:val="clear" w:color="auto" w:fill="auto"/>
                  <w:noWrap/>
                  <w:vAlign w:val="bottom"/>
                </w:tcPr>
                <w:p w14:paraId="1EBA8304" w14:textId="77777777" w:rsidR="004E4596" w:rsidRPr="00740D89" w:rsidRDefault="000E24B4">
                  <w:pPr>
                    <w:widowControl/>
                    <w:spacing w:line="240" w:lineRule="auto"/>
                    <w:jc w:val="center"/>
                    <w:rPr>
                      <w:rFonts w:ascii="仿宋" w:eastAsia="仿宋" w:hAnsi="仿宋" w:cs="仿宋"/>
                      <w:sz w:val="24"/>
                      <w:szCs w:val="24"/>
                      <w:highlight w:val="yellow"/>
                    </w:rPr>
                  </w:pPr>
                  <w:r w:rsidRPr="000E24B4">
                    <w:rPr>
                      <w:rFonts w:ascii="仿宋" w:eastAsia="仿宋" w:hAnsi="仿宋" w:cs="仿宋" w:hint="eastAsia"/>
                      <w:sz w:val="24"/>
                      <w:szCs w:val="24"/>
                    </w:rPr>
                    <w:t>中国铁建</w:t>
                  </w:r>
                </w:p>
              </w:tc>
              <w:tc>
                <w:tcPr>
                  <w:tcW w:w="3312" w:type="dxa"/>
                  <w:tcBorders>
                    <w:top w:val="nil"/>
                    <w:left w:val="nil"/>
                    <w:bottom w:val="single" w:sz="4" w:space="0" w:color="auto"/>
                    <w:right w:val="single" w:sz="4" w:space="0" w:color="auto"/>
                  </w:tcBorders>
                  <w:shd w:val="clear" w:color="auto" w:fill="auto"/>
                  <w:noWrap/>
                  <w:vAlign w:val="bottom"/>
                </w:tcPr>
                <w:p w14:paraId="7440E4FA" w14:textId="77777777" w:rsidR="004E4596" w:rsidRPr="00740D89" w:rsidRDefault="000E24B4">
                  <w:pPr>
                    <w:widowControl/>
                    <w:spacing w:line="240" w:lineRule="auto"/>
                    <w:jc w:val="center"/>
                    <w:rPr>
                      <w:rFonts w:ascii="仿宋" w:eastAsia="仿宋" w:hAnsi="仿宋" w:cs="仿宋"/>
                      <w:sz w:val="24"/>
                      <w:szCs w:val="24"/>
                      <w:highlight w:val="yellow"/>
                    </w:rPr>
                  </w:pPr>
                  <w:r w:rsidRPr="000E24B4">
                    <w:rPr>
                      <w:rFonts w:ascii="仿宋" w:eastAsia="仿宋" w:hAnsi="仿宋" w:cs="仿宋"/>
                      <w:sz w:val="24"/>
                      <w:szCs w:val="24"/>
                    </w:rPr>
                    <w:t>0.26</w:t>
                  </w:r>
                </w:p>
              </w:tc>
            </w:tr>
            <w:tr w:rsidR="004E4596" w:rsidRPr="00740D89" w14:paraId="4691CD0A" w14:textId="77777777">
              <w:trPr>
                <w:trHeight w:val="194"/>
                <w:jc w:val="center"/>
              </w:trPr>
              <w:tc>
                <w:tcPr>
                  <w:tcW w:w="3415" w:type="dxa"/>
                  <w:tcBorders>
                    <w:top w:val="nil"/>
                    <w:left w:val="single" w:sz="4" w:space="0" w:color="auto"/>
                    <w:bottom w:val="single" w:sz="4" w:space="0" w:color="auto"/>
                    <w:right w:val="single" w:sz="4" w:space="0" w:color="auto"/>
                  </w:tcBorders>
                  <w:shd w:val="clear" w:color="auto" w:fill="auto"/>
                  <w:noWrap/>
                  <w:vAlign w:val="bottom"/>
                </w:tcPr>
                <w:p w14:paraId="417A0336" w14:textId="77777777" w:rsidR="004E4596" w:rsidRPr="00740D89" w:rsidRDefault="000E24B4">
                  <w:pPr>
                    <w:widowControl/>
                    <w:spacing w:line="240" w:lineRule="auto"/>
                    <w:jc w:val="center"/>
                    <w:rPr>
                      <w:rFonts w:ascii="仿宋" w:eastAsia="仿宋" w:hAnsi="仿宋" w:cs="仿宋"/>
                      <w:sz w:val="24"/>
                      <w:szCs w:val="24"/>
                      <w:highlight w:val="yellow"/>
                    </w:rPr>
                  </w:pPr>
                  <w:r w:rsidRPr="000E24B4">
                    <w:rPr>
                      <w:rFonts w:ascii="仿宋" w:eastAsia="仿宋" w:hAnsi="仿宋" w:cs="仿宋" w:hint="eastAsia"/>
                      <w:sz w:val="24"/>
                      <w:szCs w:val="24"/>
                    </w:rPr>
                    <w:t>宁德时代</w:t>
                  </w:r>
                </w:p>
              </w:tc>
              <w:tc>
                <w:tcPr>
                  <w:tcW w:w="3312" w:type="dxa"/>
                  <w:tcBorders>
                    <w:top w:val="nil"/>
                    <w:left w:val="nil"/>
                    <w:bottom w:val="single" w:sz="4" w:space="0" w:color="auto"/>
                    <w:right w:val="single" w:sz="4" w:space="0" w:color="auto"/>
                  </w:tcBorders>
                  <w:shd w:val="clear" w:color="auto" w:fill="auto"/>
                  <w:noWrap/>
                  <w:vAlign w:val="bottom"/>
                </w:tcPr>
                <w:p w14:paraId="00DA022B" w14:textId="77777777" w:rsidR="004E4596" w:rsidRPr="00740D89" w:rsidRDefault="000E24B4">
                  <w:pPr>
                    <w:widowControl/>
                    <w:spacing w:line="240" w:lineRule="auto"/>
                    <w:jc w:val="center"/>
                    <w:rPr>
                      <w:rFonts w:ascii="仿宋" w:eastAsia="仿宋" w:hAnsi="仿宋" w:cs="仿宋"/>
                      <w:sz w:val="24"/>
                      <w:szCs w:val="24"/>
                      <w:highlight w:val="yellow"/>
                    </w:rPr>
                  </w:pPr>
                  <w:r w:rsidRPr="000E24B4">
                    <w:rPr>
                      <w:rFonts w:ascii="仿宋" w:eastAsia="仿宋" w:hAnsi="仿宋" w:cs="仿宋"/>
                      <w:sz w:val="24"/>
                      <w:szCs w:val="24"/>
                    </w:rPr>
                    <w:t>0.26</w:t>
                  </w:r>
                </w:p>
              </w:tc>
            </w:tr>
            <w:tr w:rsidR="004E4596" w:rsidRPr="00740D89" w14:paraId="21CD6A70" w14:textId="77777777">
              <w:trPr>
                <w:trHeight w:val="194"/>
                <w:jc w:val="center"/>
              </w:trPr>
              <w:tc>
                <w:tcPr>
                  <w:tcW w:w="3415" w:type="dxa"/>
                  <w:tcBorders>
                    <w:top w:val="nil"/>
                    <w:left w:val="single" w:sz="4" w:space="0" w:color="auto"/>
                    <w:bottom w:val="single" w:sz="4" w:space="0" w:color="auto"/>
                    <w:right w:val="single" w:sz="4" w:space="0" w:color="auto"/>
                  </w:tcBorders>
                  <w:shd w:val="clear" w:color="auto" w:fill="auto"/>
                  <w:noWrap/>
                  <w:vAlign w:val="bottom"/>
                </w:tcPr>
                <w:p w14:paraId="6273D2EC" w14:textId="77777777" w:rsidR="004E4596" w:rsidRPr="00740D89" w:rsidRDefault="000E24B4">
                  <w:pPr>
                    <w:widowControl/>
                    <w:spacing w:line="240" w:lineRule="auto"/>
                    <w:jc w:val="center"/>
                    <w:rPr>
                      <w:rFonts w:ascii="仿宋" w:eastAsia="仿宋" w:hAnsi="仿宋" w:cs="仿宋"/>
                      <w:sz w:val="24"/>
                      <w:szCs w:val="24"/>
                      <w:highlight w:val="yellow"/>
                    </w:rPr>
                  </w:pPr>
                  <w:r w:rsidRPr="000E24B4">
                    <w:rPr>
                      <w:rFonts w:ascii="仿宋" w:eastAsia="仿宋" w:hAnsi="仿宋" w:cs="仿宋" w:hint="eastAsia"/>
                      <w:sz w:val="24"/>
                      <w:szCs w:val="24"/>
                    </w:rPr>
                    <w:t>山东高速</w:t>
                  </w:r>
                </w:p>
              </w:tc>
              <w:tc>
                <w:tcPr>
                  <w:tcW w:w="3312" w:type="dxa"/>
                  <w:tcBorders>
                    <w:top w:val="nil"/>
                    <w:left w:val="nil"/>
                    <w:bottom w:val="single" w:sz="4" w:space="0" w:color="auto"/>
                    <w:right w:val="single" w:sz="4" w:space="0" w:color="auto"/>
                  </w:tcBorders>
                  <w:shd w:val="clear" w:color="auto" w:fill="auto"/>
                  <w:noWrap/>
                  <w:vAlign w:val="bottom"/>
                </w:tcPr>
                <w:p w14:paraId="106F8852" w14:textId="77777777" w:rsidR="004E4596" w:rsidRPr="00740D89" w:rsidRDefault="000E24B4">
                  <w:pPr>
                    <w:widowControl/>
                    <w:spacing w:line="240" w:lineRule="auto"/>
                    <w:jc w:val="center"/>
                    <w:rPr>
                      <w:rFonts w:ascii="仿宋" w:eastAsia="仿宋" w:hAnsi="仿宋" w:cs="仿宋"/>
                      <w:sz w:val="24"/>
                      <w:szCs w:val="24"/>
                      <w:highlight w:val="yellow"/>
                    </w:rPr>
                  </w:pPr>
                  <w:r w:rsidRPr="000E24B4">
                    <w:rPr>
                      <w:rFonts w:ascii="仿宋" w:eastAsia="仿宋" w:hAnsi="仿宋" w:cs="仿宋"/>
                      <w:sz w:val="24"/>
                      <w:szCs w:val="24"/>
                    </w:rPr>
                    <w:t>0.24</w:t>
                  </w:r>
                </w:p>
              </w:tc>
            </w:tr>
            <w:tr w:rsidR="004E4596" w:rsidRPr="00740D89" w14:paraId="00EAF3EC" w14:textId="77777777">
              <w:trPr>
                <w:trHeight w:val="194"/>
                <w:jc w:val="center"/>
              </w:trPr>
              <w:tc>
                <w:tcPr>
                  <w:tcW w:w="3415" w:type="dxa"/>
                  <w:tcBorders>
                    <w:top w:val="nil"/>
                    <w:left w:val="single" w:sz="4" w:space="0" w:color="auto"/>
                    <w:bottom w:val="single" w:sz="4" w:space="0" w:color="auto"/>
                    <w:right w:val="single" w:sz="4" w:space="0" w:color="auto"/>
                  </w:tcBorders>
                  <w:shd w:val="clear" w:color="auto" w:fill="auto"/>
                  <w:noWrap/>
                  <w:vAlign w:val="bottom"/>
                </w:tcPr>
                <w:p w14:paraId="60790A73" w14:textId="77777777" w:rsidR="004E4596" w:rsidRPr="00740D89" w:rsidRDefault="000E24B4">
                  <w:pPr>
                    <w:widowControl/>
                    <w:spacing w:line="240" w:lineRule="auto"/>
                    <w:jc w:val="center"/>
                    <w:rPr>
                      <w:rFonts w:ascii="仿宋" w:eastAsia="仿宋" w:hAnsi="仿宋" w:cs="仿宋"/>
                      <w:sz w:val="24"/>
                      <w:szCs w:val="24"/>
                      <w:highlight w:val="yellow"/>
                    </w:rPr>
                  </w:pPr>
                  <w:r w:rsidRPr="000E24B4">
                    <w:rPr>
                      <w:rFonts w:ascii="仿宋" w:eastAsia="仿宋" w:hAnsi="仿宋" w:cs="仿宋" w:hint="eastAsia"/>
                      <w:sz w:val="24"/>
                      <w:szCs w:val="24"/>
                    </w:rPr>
                    <w:t>中国石油</w:t>
                  </w:r>
                </w:p>
              </w:tc>
              <w:tc>
                <w:tcPr>
                  <w:tcW w:w="3312" w:type="dxa"/>
                  <w:tcBorders>
                    <w:top w:val="nil"/>
                    <w:left w:val="nil"/>
                    <w:bottom w:val="single" w:sz="4" w:space="0" w:color="auto"/>
                    <w:right w:val="single" w:sz="4" w:space="0" w:color="auto"/>
                  </w:tcBorders>
                  <w:shd w:val="clear" w:color="auto" w:fill="auto"/>
                  <w:noWrap/>
                  <w:vAlign w:val="bottom"/>
                </w:tcPr>
                <w:p w14:paraId="1E92CDB9" w14:textId="77777777" w:rsidR="004E4596" w:rsidRPr="00740D89" w:rsidRDefault="000E24B4">
                  <w:pPr>
                    <w:widowControl/>
                    <w:spacing w:line="240" w:lineRule="auto"/>
                    <w:jc w:val="center"/>
                    <w:rPr>
                      <w:rFonts w:ascii="仿宋" w:eastAsia="仿宋" w:hAnsi="仿宋" w:cs="仿宋"/>
                      <w:sz w:val="24"/>
                      <w:szCs w:val="24"/>
                      <w:highlight w:val="yellow"/>
                    </w:rPr>
                  </w:pPr>
                  <w:r w:rsidRPr="000E24B4">
                    <w:rPr>
                      <w:rFonts w:ascii="仿宋" w:eastAsia="仿宋" w:hAnsi="仿宋" w:cs="仿宋"/>
                      <w:sz w:val="24"/>
                      <w:szCs w:val="24"/>
                    </w:rPr>
                    <w:t>0.23</w:t>
                  </w:r>
                </w:p>
              </w:tc>
            </w:tr>
            <w:tr w:rsidR="004E4596" w:rsidRPr="00740D89" w14:paraId="54150202" w14:textId="77777777">
              <w:trPr>
                <w:trHeight w:val="194"/>
                <w:jc w:val="center"/>
              </w:trPr>
              <w:tc>
                <w:tcPr>
                  <w:tcW w:w="3415" w:type="dxa"/>
                  <w:tcBorders>
                    <w:top w:val="nil"/>
                    <w:left w:val="single" w:sz="4" w:space="0" w:color="auto"/>
                    <w:bottom w:val="single" w:sz="4" w:space="0" w:color="auto"/>
                    <w:right w:val="single" w:sz="4" w:space="0" w:color="auto"/>
                  </w:tcBorders>
                  <w:shd w:val="clear" w:color="auto" w:fill="auto"/>
                  <w:noWrap/>
                  <w:vAlign w:val="bottom"/>
                </w:tcPr>
                <w:p w14:paraId="509C63AC" w14:textId="77777777" w:rsidR="004E4596" w:rsidRPr="00740D89" w:rsidRDefault="000E24B4">
                  <w:pPr>
                    <w:widowControl/>
                    <w:spacing w:line="240" w:lineRule="auto"/>
                    <w:jc w:val="center"/>
                    <w:rPr>
                      <w:rFonts w:ascii="仿宋" w:eastAsia="仿宋" w:hAnsi="仿宋" w:cs="仿宋"/>
                      <w:sz w:val="24"/>
                      <w:szCs w:val="24"/>
                      <w:highlight w:val="yellow"/>
                    </w:rPr>
                  </w:pPr>
                  <w:r w:rsidRPr="000E24B4">
                    <w:rPr>
                      <w:rFonts w:ascii="仿宋" w:eastAsia="仿宋" w:hAnsi="仿宋" w:cs="仿宋" w:hint="eastAsia"/>
                      <w:sz w:val="24"/>
                      <w:szCs w:val="24"/>
                    </w:rPr>
                    <w:t>许继电气</w:t>
                  </w:r>
                </w:p>
              </w:tc>
              <w:tc>
                <w:tcPr>
                  <w:tcW w:w="3312" w:type="dxa"/>
                  <w:tcBorders>
                    <w:top w:val="nil"/>
                    <w:left w:val="nil"/>
                    <w:bottom w:val="single" w:sz="4" w:space="0" w:color="auto"/>
                    <w:right w:val="single" w:sz="4" w:space="0" w:color="auto"/>
                  </w:tcBorders>
                  <w:shd w:val="clear" w:color="auto" w:fill="auto"/>
                  <w:noWrap/>
                  <w:vAlign w:val="bottom"/>
                </w:tcPr>
                <w:p w14:paraId="1AA8AD82" w14:textId="77777777" w:rsidR="004E4596" w:rsidRPr="00740D89" w:rsidRDefault="000E24B4">
                  <w:pPr>
                    <w:widowControl/>
                    <w:spacing w:line="240" w:lineRule="auto"/>
                    <w:jc w:val="center"/>
                    <w:rPr>
                      <w:rFonts w:ascii="仿宋" w:eastAsia="仿宋" w:hAnsi="仿宋" w:cs="仿宋"/>
                      <w:sz w:val="24"/>
                      <w:szCs w:val="24"/>
                      <w:highlight w:val="yellow"/>
                    </w:rPr>
                  </w:pPr>
                  <w:r w:rsidRPr="000E24B4">
                    <w:rPr>
                      <w:rFonts w:ascii="仿宋" w:eastAsia="仿宋" w:hAnsi="仿宋" w:cs="仿宋"/>
                      <w:sz w:val="24"/>
                      <w:szCs w:val="24"/>
                    </w:rPr>
                    <w:t>0.22</w:t>
                  </w:r>
                </w:p>
              </w:tc>
            </w:tr>
            <w:tr w:rsidR="004E4596" w:rsidRPr="00740D89" w14:paraId="374F32B5" w14:textId="77777777">
              <w:trPr>
                <w:trHeight w:val="194"/>
                <w:jc w:val="center"/>
              </w:trPr>
              <w:tc>
                <w:tcPr>
                  <w:tcW w:w="3415" w:type="dxa"/>
                  <w:tcBorders>
                    <w:top w:val="nil"/>
                    <w:left w:val="single" w:sz="4" w:space="0" w:color="auto"/>
                    <w:bottom w:val="single" w:sz="4" w:space="0" w:color="auto"/>
                    <w:right w:val="single" w:sz="4" w:space="0" w:color="auto"/>
                  </w:tcBorders>
                  <w:shd w:val="clear" w:color="auto" w:fill="auto"/>
                  <w:noWrap/>
                  <w:vAlign w:val="bottom"/>
                </w:tcPr>
                <w:p w14:paraId="44FADFE4" w14:textId="77777777" w:rsidR="004E4596" w:rsidRPr="00740D89" w:rsidRDefault="000E24B4">
                  <w:pPr>
                    <w:widowControl/>
                    <w:spacing w:line="240" w:lineRule="auto"/>
                    <w:jc w:val="center"/>
                    <w:rPr>
                      <w:rFonts w:ascii="仿宋" w:eastAsia="仿宋" w:hAnsi="仿宋" w:cs="仿宋"/>
                      <w:sz w:val="24"/>
                      <w:szCs w:val="24"/>
                      <w:highlight w:val="yellow"/>
                    </w:rPr>
                  </w:pPr>
                  <w:r w:rsidRPr="000E24B4">
                    <w:rPr>
                      <w:rFonts w:ascii="仿宋" w:eastAsia="仿宋" w:hAnsi="仿宋" w:cs="仿宋" w:hint="eastAsia"/>
                      <w:sz w:val="24"/>
                      <w:szCs w:val="24"/>
                    </w:rPr>
                    <w:t>大秦铁路</w:t>
                  </w:r>
                </w:p>
              </w:tc>
              <w:tc>
                <w:tcPr>
                  <w:tcW w:w="3312" w:type="dxa"/>
                  <w:tcBorders>
                    <w:top w:val="nil"/>
                    <w:left w:val="nil"/>
                    <w:bottom w:val="single" w:sz="4" w:space="0" w:color="auto"/>
                    <w:right w:val="single" w:sz="4" w:space="0" w:color="auto"/>
                  </w:tcBorders>
                  <w:shd w:val="clear" w:color="auto" w:fill="auto"/>
                  <w:noWrap/>
                  <w:vAlign w:val="bottom"/>
                </w:tcPr>
                <w:p w14:paraId="676C0D82" w14:textId="77777777" w:rsidR="004E4596" w:rsidRPr="00740D89" w:rsidRDefault="000E24B4">
                  <w:pPr>
                    <w:widowControl/>
                    <w:spacing w:line="240" w:lineRule="auto"/>
                    <w:jc w:val="center"/>
                    <w:rPr>
                      <w:rFonts w:ascii="仿宋" w:eastAsia="仿宋" w:hAnsi="仿宋" w:cs="仿宋"/>
                      <w:sz w:val="24"/>
                      <w:szCs w:val="24"/>
                      <w:highlight w:val="yellow"/>
                    </w:rPr>
                  </w:pPr>
                  <w:r w:rsidRPr="000E24B4">
                    <w:rPr>
                      <w:rFonts w:ascii="仿宋" w:eastAsia="仿宋" w:hAnsi="仿宋" w:cs="仿宋"/>
                      <w:sz w:val="24"/>
                      <w:szCs w:val="24"/>
                    </w:rPr>
                    <w:t>0.22</w:t>
                  </w:r>
                </w:p>
              </w:tc>
            </w:tr>
          </w:tbl>
          <w:p w14:paraId="7459149B" w14:textId="77777777" w:rsidR="004E4596" w:rsidRPr="00D147D7" w:rsidRDefault="00750C27">
            <w:pPr>
              <w:widowControl/>
              <w:spacing w:line="240" w:lineRule="auto"/>
              <w:jc w:val="left"/>
              <w:rPr>
                <w:rFonts w:ascii="仿宋" w:eastAsia="仿宋" w:hAnsi="仿宋" w:cs="仿宋"/>
                <w:sz w:val="24"/>
                <w:szCs w:val="24"/>
              </w:rPr>
            </w:pPr>
            <w:r w:rsidRPr="00D147D7">
              <w:rPr>
                <w:rFonts w:ascii="仿宋" w:eastAsia="仿宋" w:hAnsi="仿宋" w:cs="仿宋" w:hint="eastAsia"/>
                <w:sz w:val="24"/>
                <w:szCs w:val="24"/>
              </w:rPr>
              <w:t>3、产品费率结构：</w:t>
            </w:r>
          </w:p>
          <w:tbl>
            <w:tblPr>
              <w:tblW w:w="9567" w:type="dxa"/>
              <w:jc w:val="center"/>
              <w:tblLayout w:type="fixed"/>
              <w:tblLook w:val="04A0" w:firstRow="1" w:lastRow="0" w:firstColumn="1" w:lastColumn="0" w:noHBand="0" w:noVBand="1"/>
            </w:tblPr>
            <w:tblGrid>
              <w:gridCol w:w="1076"/>
              <w:gridCol w:w="1076"/>
              <w:gridCol w:w="1076"/>
              <w:gridCol w:w="2890"/>
              <w:gridCol w:w="3449"/>
            </w:tblGrid>
            <w:tr w:rsidR="004E4596" w:rsidRPr="00D147D7" w14:paraId="787691EF" w14:textId="77777777">
              <w:trPr>
                <w:trHeight w:val="191"/>
                <w:jc w:val="center"/>
              </w:trPr>
              <w:tc>
                <w:tcPr>
                  <w:tcW w:w="1076" w:type="dxa"/>
                  <w:tcBorders>
                    <w:top w:val="single" w:sz="4" w:space="0" w:color="auto"/>
                    <w:left w:val="single" w:sz="4" w:space="0" w:color="auto"/>
                    <w:bottom w:val="single" w:sz="4" w:space="0" w:color="auto"/>
                    <w:right w:val="single" w:sz="4" w:space="0" w:color="auto"/>
                  </w:tcBorders>
                  <w:shd w:val="clear" w:color="auto" w:fill="auto"/>
                  <w:vAlign w:val="center"/>
                </w:tcPr>
                <w:p w14:paraId="187869C2" w14:textId="77777777" w:rsidR="004E4596" w:rsidRPr="00D147D7" w:rsidRDefault="00750C27">
                  <w:pPr>
                    <w:widowControl/>
                    <w:spacing w:line="240" w:lineRule="auto"/>
                    <w:jc w:val="center"/>
                    <w:rPr>
                      <w:rFonts w:ascii="仿宋" w:eastAsia="仿宋" w:hAnsi="仿宋" w:cs="仿宋"/>
                      <w:sz w:val="24"/>
                      <w:szCs w:val="24"/>
                    </w:rPr>
                  </w:pPr>
                  <w:r w:rsidRPr="00D147D7">
                    <w:rPr>
                      <w:rFonts w:ascii="仿宋" w:eastAsia="仿宋" w:hAnsi="仿宋" w:cs="仿宋" w:hint="eastAsia"/>
                      <w:sz w:val="24"/>
                      <w:szCs w:val="24"/>
                    </w:rPr>
                    <w:t>基金费率</w:t>
                  </w:r>
                </w:p>
              </w:tc>
              <w:tc>
                <w:tcPr>
                  <w:tcW w:w="1076" w:type="dxa"/>
                  <w:tcBorders>
                    <w:top w:val="single" w:sz="4" w:space="0" w:color="auto"/>
                    <w:left w:val="nil"/>
                    <w:bottom w:val="single" w:sz="4" w:space="0" w:color="auto"/>
                    <w:right w:val="single" w:sz="4" w:space="0" w:color="auto"/>
                  </w:tcBorders>
                  <w:shd w:val="clear" w:color="auto" w:fill="auto"/>
                  <w:vAlign w:val="center"/>
                </w:tcPr>
                <w:p w14:paraId="5E7DFD3C" w14:textId="77777777" w:rsidR="004E4596" w:rsidRPr="00D147D7" w:rsidRDefault="00750C27">
                  <w:pPr>
                    <w:widowControl/>
                    <w:spacing w:line="240" w:lineRule="auto"/>
                    <w:jc w:val="center"/>
                    <w:rPr>
                      <w:rFonts w:ascii="仿宋" w:eastAsia="仿宋" w:hAnsi="仿宋" w:cs="仿宋"/>
                      <w:sz w:val="24"/>
                      <w:szCs w:val="24"/>
                    </w:rPr>
                  </w:pPr>
                  <w:r w:rsidRPr="00D147D7">
                    <w:rPr>
                      <w:rFonts w:ascii="仿宋" w:eastAsia="仿宋" w:hAnsi="仿宋" w:cs="仿宋" w:hint="eastAsia"/>
                      <w:sz w:val="24"/>
                      <w:szCs w:val="24"/>
                    </w:rPr>
                    <w:t>管理费</w:t>
                  </w:r>
                </w:p>
              </w:tc>
              <w:tc>
                <w:tcPr>
                  <w:tcW w:w="1076" w:type="dxa"/>
                  <w:tcBorders>
                    <w:top w:val="single" w:sz="4" w:space="0" w:color="auto"/>
                    <w:left w:val="nil"/>
                    <w:bottom w:val="single" w:sz="4" w:space="0" w:color="auto"/>
                    <w:right w:val="single" w:sz="4" w:space="0" w:color="auto"/>
                  </w:tcBorders>
                  <w:shd w:val="clear" w:color="auto" w:fill="auto"/>
                  <w:vAlign w:val="center"/>
                </w:tcPr>
                <w:p w14:paraId="2268C4C2" w14:textId="77777777" w:rsidR="004E4596" w:rsidRPr="00D147D7" w:rsidRDefault="00750C27">
                  <w:pPr>
                    <w:widowControl/>
                    <w:spacing w:line="240" w:lineRule="auto"/>
                    <w:jc w:val="center"/>
                    <w:rPr>
                      <w:rFonts w:ascii="仿宋" w:eastAsia="仿宋" w:hAnsi="仿宋" w:cs="仿宋"/>
                      <w:sz w:val="24"/>
                      <w:szCs w:val="24"/>
                    </w:rPr>
                  </w:pPr>
                  <w:r w:rsidRPr="00D147D7">
                    <w:rPr>
                      <w:rFonts w:ascii="仿宋" w:eastAsia="仿宋" w:hAnsi="仿宋" w:cs="仿宋" w:hint="eastAsia"/>
                      <w:sz w:val="24"/>
                      <w:szCs w:val="24"/>
                    </w:rPr>
                    <w:t>托管费</w:t>
                  </w:r>
                </w:p>
              </w:tc>
              <w:tc>
                <w:tcPr>
                  <w:tcW w:w="2890" w:type="dxa"/>
                  <w:tcBorders>
                    <w:top w:val="single" w:sz="4" w:space="0" w:color="auto"/>
                    <w:left w:val="nil"/>
                    <w:bottom w:val="single" w:sz="4" w:space="0" w:color="auto"/>
                    <w:right w:val="single" w:sz="4" w:space="0" w:color="auto"/>
                  </w:tcBorders>
                  <w:shd w:val="clear" w:color="auto" w:fill="auto"/>
                  <w:vAlign w:val="center"/>
                </w:tcPr>
                <w:p w14:paraId="285117C7" w14:textId="77777777" w:rsidR="004E4596" w:rsidRPr="00D147D7" w:rsidRDefault="00750C27">
                  <w:pPr>
                    <w:widowControl/>
                    <w:spacing w:line="240" w:lineRule="auto"/>
                    <w:jc w:val="center"/>
                    <w:rPr>
                      <w:rFonts w:ascii="仿宋" w:eastAsia="仿宋" w:hAnsi="仿宋" w:cs="仿宋"/>
                      <w:sz w:val="24"/>
                      <w:szCs w:val="24"/>
                    </w:rPr>
                  </w:pPr>
                  <w:r w:rsidRPr="00D147D7">
                    <w:rPr>
                      <w:rFonts w:ascii="仿宋" w:eastAsia="仿宋" w:hAnsi="仿宋" w:cs="仿宋" w:hint="eastAsia"/>
                      <w:sz w:val="24"/>
                      <w:szCs w:val="24"/>
                    </w:rPr>
                    <w:t>申购费</w:t>
                  </w:r>
                </w:p>
              </w:tc>
              <w:tc>
                <w:tcPr>
                  <w:tcW w:w="3449" w:type="dxa"/>
                  <w:tcBorders>
                    <w:top w:val="single" w:sz="4" w:space="0" w:color="auto"/>
                    <w:left w:val="nil"/>
                    <w:bottom w:val="single" w:sz="4" w:space="0" w:color="auto"/>
                    <w:right w:val="single" w:sz="4" w:space="0" w:color="auto"/>
                  </w:tcBorders>
                  <w:shd w:val="clear" w:color="auto" w:fill="auto"/>
                  <w:vAlign w:val="center"/>
                </w:tcPr>
                <w:p w14:paraId="4A09E3D7" w14:textId="77777777" w:rsidR="004E4596" w:rsidRPr="00D147D7" w:rsidRDefault="00750C27">
                  <w:pPr>
                    <w:widowControl/>
                    <w:spacing w:line="240" w:lineRule="auto"/>
                    <w:jc w:val="center"/>
                    <w:rPr>
                      <w:rFonts w:ascii="仿宋" w:eastAsia="仿宋" w:hAnsi="仿宋" w:cs="仿宋"/>
                      <w:sz w:val="24"/>
                      <w:szCs w:val="24"/>
                    </w:rPr>
                  </w:pPr>
                  <w:r w:rsidRPr="00D147D7">
                    <w:rPr>
                      <w:rFonts w:ascii="仿宋" w:eastAsia="仿宋" w:hAnsi="仿宋" w:cs="仿宋" w:hint="eastAsia"/>
                      <w:sz w:val="24"/>
                      <w:szCs w:val="24"/>
                    </w:rPr>
                    <w:t>赎回费</w:t>
                  </w:r>
                </w:p>
              </w:tc>
            </w:tr>
            <w:tr w:rsidR="004E4596" w14:paraId="3B73B5C3" w14:textId="77777777">
              <w:trPr>
                <w:trHeight w:val="2613"/>
                <w:jc w:val="center"/>
              </w:trPr>
              <w:tc>
                <w:tcPr>
                  <w:tcW w:w="1076" w:type="dxa"/>
                  <w:tcBorders>
                    <w:top w:val="nil"/>
                    <w:left w:val="single" w:sz="4" w:space="0" w:color="auto"/>
                    <w:bottom w:val="single" w:sz="4" w:space="0" w:color="auto"/>
                    <w:right w:val="single" w:sz="4" w:space="0" w:color="auto"/>
                  </w:tcBorders>
                  <w:shd w:val="clear" w:color="auto" w:fill="auto"/>
                  <w:vAlign w:val="center"/>
                </w:tcPr>
                <w:p w14:paraId="77C96E10" w14:textId="77777777" w:rsidR="004E4596" w:rsidRPr="00D147D7" w:rsidRDefault="00D147D7">
                  <w:pPr>
                    <w:widowControl/>
                    <w:spacing w:line="240" w:lineRule="auto"/>
                    <w:jc w:val="center"/>
                    <w:rPr>
                      <w:rFonts w:ascii="仿宋" w:eastAsia="仿宋" w:hAnsi="仿宋" w:cs="仿宋"/>
                      <w:sz w:val="24"/>
                      <w:szCs w:val="24"/>
                    </w:rPr>
                  </w:pPr>
                  <w:r w:rsidRPr="00D147D7">
                    <w:rPr>
                      <w:rFonts w:ascii="仿宋" w:eastAsia="仿宋" w:hAnsi="仿宋" w:cs="仿宋" w:hint="eastAsia"/>
                      <w:sz w:val="24"/>
                      <w:szCs w:val="24"/>
                    </w:rPr>
                    <w:t>鹏华双债增利</w:t>
                  </w:r>
                </w:p>
              </w:tc>
              <w:tc>
                <w:tcPr>
                  <w:tcW w:w="1076" w:type="dxa"/>
                  <w:tcBorders>
                    <w:top w:val="nil"/>
                    <w:left w:val="nil"/>
                    <w:bottom w:val="single" w:sz="4" w:space="0" w:color="auto"/>
                    <w:right w:val="single" w:sz="4" w:space="0" w:color="auto"/>
                  </w:tcBorders>
                  <w:shd w:val="clear" w:color="auto" w:fill="auto"/>
                  <w:vAlign w:val="center"/>
                </w:tcPr>
                <w:p w14:paraId="05905FEA" w14:textId="77777777" w:rsidR="004E4596" w:rsidRPr="00D147D7" w:rsidRDefault="00D147D7">
                  <w:pPr>
                    <w:widowControl/>
                    <w:spacing w:line="240" w:lineRule="auto"/>
                    <w:jc w:val="center"/>
                    <w:rPr>
                      <w:rFonts w:ascii="仿宋" w:eastAsia="仿宋" w:hAnsi="仿宋" w:cs="仿宋"/>
                      <w:sz w:val="24"/>
                      <w:szCs w:val="24"/>
                    </w:rPr>
                  </w:pPr>
                  <w:r w:rsidRPr="00D147D7">
                    <w:rPr>
                      <w:rFonts w:ascii="仿宋" w:eastAsia="仿宋" w:hAnsi="仿宋" w:cs="仿宋"/>
                      <w:sz w:val="24"/>
                      <w:szCs w:val="24"/>
                    </w:rPr>
                    <w:t>0</w:t>
                  </w:r>
                  <w:r w:rsidR="00750C27" w:rsidRPr="00D147D7">
                    <w:rPr>
                      <w:rFonts w:ascii="仿宋" w:eastAsia="仿宋" w:hAnsi="仿宋" w:cs="仿宋" w:hint="eastAsia"/>
                      <w:sz w:val="24"/>
                      <w:szCs w:val="24"/>
                    </w:rPr>
                    <w:t>.50%</w:t>
                  </w:r>
                </w:p>
              </w:tc>
              <w:tc>
                <w:tcPr>
                  <w:tcW w:w="1076" w:type="dxa"/>
                  <w:tcBorders>
                    <w:top w:val="nil"/>
                    <w:left w:val="nil"/>
                    <w:bottom w:val="single" w:sz="4" w:space="0" w:color="auto"/>
                    <w:right w:val="single" w:sz="4" w:space="0" w:color="auto"/>
                  </w:tcBorders>
                  <w:shd w:val="clear" w:color="auto" w:fill="auto"/>
                  <w:vAlign w:val="center"/>
                </w:tcPr>
                <w:p w14:paraId="0EBC507A" w14:textId="77777777" w:rsidR="004E4596" w:rsidRPr="00D147D7" w:rsidRDefault="00750C27" w:rsidP="00D147D7">
                  <w:pPr>
                    <w:widowControl/>
                    <w:spacing w:line="240" w:lineRule="auto"/>
                    <w:jc w:val="center"/>
                    <w:rPr>
                      <w:rFonts w:ascii="仿宋" w:eastAsia="仿宋" w:hAnsi="仿宋" w:cs="仿宋"/>
                      <w:sz w:val="24"/>
                      <w:szCs w:val="24"/>
                    </w:rPr>
                  </w:pPr>
                  <w:r w:rsidRPr="00D147D7">
                    <w:rPr>
                      <w:rFonts w:ascii="仿宋" w:eastAsia="仿宋" w:hAnsi="仿宋" w:cs="仿宋" w:hint="eastAsia"/>
                      <w:sz w:val="24"/>
                      <w:szCs w:val="24"/>
                    </w:rPr>
                    <w:t>0.</w:t>
                  </w:r>
                  <w:r w:rsidR="00D147D7" w:rsidRPr="00D147D7">
                    <w:rPr>
                      <w:rFonts w:ascii="仿宋" w:eastAsia="仿宋" w:hAnsi="仿宋" w:cs="仿宋"/>
                      <w:sz w:val="24"/>
                      <w:szCs w:val="24"/>
                    </w:rPr>
                    <w:t>1</w:t>
                  </w:r>
                  <w:r w:rsidRPr="00D147D7">
                    <w:rPr>
                      <w:rFonts w:ascii="仿宋" w:eastAsia="仿宋" w:hAnsi="仿宋" w:cs="仿宋" w:hint="eastAsia"/>
                      <w:sz w:val="24"/>
                      <w:szCs w:val="24"/>
                    </w:rPr>
                    <w:t>5%</w:t>
                  </w:r>
                </w:p>
              </w:tc>
              <w:tc>
                <w:tcPr>
                  <w:tcW w:w="2890" w:type="dxa"/>
                  <w:tcBorders>
                    <w:top w:val="nil"/>
                    <w:left w:val="nil"/>
                    <w:bottom w:val="single" w:sz="4" w:space="0" w:color="auto"/>
                    <w:right w:val="single" w:sz="4" w:space="0" w:color="auto"/>
                  </w:tcBorders>
                  <w:shd w:val="clear" w:color="auto" w:fill="auto"/>
                  <w:vAlign w:val="center"/>
                </w:tcPr>
                <w:p w14:paraId="69682233" w14:textId="77777777" w:rsidR="004E4596" w:rsidRPr="00D147D7" w:rsidRDefault="00D147D7" w:rsidP="00D147D7">
                  <w:pPr>
                    <w:widowControl/>
                    <w:spacing w:line="240" w:lineRule="auto"/>
                    <w:jc w:val="center"/>
                    <w:rPr>
                      <w:rFonts w:ascii="仿宋" w:eastAsia="仿宋" w:hAnsi="仿宋" w:cs="仿宋"/>
                      <w:sz w:val="24"/>
                      <w:szCs w:val="24"/>
                    </w:rPr>
                  </w:pPr>
                  <w:r w:rsidRPr="00D147D7">
                    <w:rPr>
                      <w:rFonts w:ascii="仿宋" w:eastAsia="仿宋" w:hAnsi="仿宋" w:cs="仿宋"/>
                      <w:sz w:val="24"/>
                      <w:szCs w:val="24"/>
                    </w:rPr>
                    <w:t>5</w:t>
                  </w:r>
                  <w:r w:rsidR="00750C27" w:rsidRPr="00D147D7">
                    <w:rPr>
                      <w:rFonts w:ascii="仿宋" w:eastAsia="仿宋" w:hAnsi="仿宋" w:cs="仿宋" w:hint="eastAsia"/>
                      <w:sz w:val="24"/>
                      <w:szCs w:val="24"/>
                    </w:rPr>
                    <w:t>00万元以上 1000元/笔</w:t>
                  </w:r>
                  <w:r w:rsidR="00750C27" w:rsidRPr="00D147D7">
                    <w:rPr>
                      <w:rFonts w:ascii="仿宋" w:eastAsia="仿宋" w:hAnsi="仿宋" w:cs="仿宋" w:hint="eastAsia"/>
                      <w:sz w:val="24"/>
                      <w:szCs w:val="24"/>
                    </w:rPr>
                    <w:br/>
                  </w:r>
                  <w:r w:rsidRPr="00D147D7">
                    <w:rPr>
                      <w:rFonts w:ascii="仿宋" w:eastAsia="仿宋" w:hAnsi="仿宋" w:cs="仿宋"/>
                      <w:sz w:val="24"/>
                      <w:szCs w:val="24"/>
                    </w:rPr>
                    <w:t>100</w:t>
                  </w:r>
                  <w:r w:rsidR="00750C27" w:rsidRPr="00D147D7">
                    <w:rPr>
                      <w:rFonts w:ascii="仿宋" w:eastAsia="仿宋" w:hAnsi="仿宋" w:cs="仿宋" w:hint="eastAsia"/>
                      <w:sz w:val="24"/>
                      <w:szCs w:val="24"/>
                    </w:rPr>
                    <w:t xml:space="preserve">万元以下 </w:t>
                  </w:r>
                  <w:r w:rsidRPr="00D147D7">
                    <w:rPr>
                      <w:rFonts w:ascii="仿宋" w:eastAsia="仿宋" w:hAnsi="仿宋" w:cs="仿宋"/>
                      <w:sz w:val="24"/>
                      <w:szCs w:val="24"/>
                    </w:rPr>
                    <w:t>0</w:t>
                  </w:r>
                  <w:r w:rsidR="00750C27" w:rsidRPr="00D147D7">
                    <w:rPr>
                      <w:rFonts w:ascii="仿宋" w:eastAsia="仿宋" w:hAnsi="仿宋" w:cs="仿宋" w:hint="eastAsia"/>
                      <w:sz w:val="24"/>
                      <w:szCs w:val="24"/>
                    </w:rPr>
                    <w:t>.</w:t>
                  </w:r>
                  <w:r w:rsidRPr="00D147D7">
                    <w:rPr>
                      <w:rFonts w:ascii="仿宋" w:eastAsia="仿宋" w:hAnsi="仿宋" w:cs="仿宋"/>
                      <w:sz w:val="24"/>
                      <w:szCs w:val="24"/>
                    </w:rPr>
                    <w:t>32</w:t>
                  </w:r>
                  <w:r w:rsidR="00750C27" w:rsidRPr="00D147D7">
                    <w:rPr>
                      <w:rFonts w:ascii="仿宋" w:eastAsia="仿宋" w:hAnsi="仿宋" w:cs="仿宋" w:hint="eastAsia"/>
                      <w:sz w:val="24"/>
                      <w:szCs w:val="24"/>
                    </w:rPr>
                    <w:t>%</w:t>
                  </w:r>
                  <w:r w:rsidR="00750C27" w:rsidRPr="00D147D7">
                    <w:rPr>
                      <w:rFonts w:ascii="仿宋" w:eastAsia="仿宋" w:hAnsi="仿宋" w:cs="仿宋" w:hint="eastAsia"/>
                      <w:sz w:val="24"/>
                      <w:szCs w:val="24"/>
                    </w:rPr>
                    <w:br/>
                  </w:r>
                  <w:r w:rsidRPr="00D147D7">
                    <w:rPr>
                      <w:rFonts w:ascii="仿宋" w:eastAsia="仿宋" w:hAnsi="仿宋" w:cs="仿宋"/>
                      <w:sz w:val="24"/>
                      <w:szCs w:val="24"/>
                    </w:rPr>
                    <w:t>100</w:t>
                  </w:r>
                  <w:r w:rsidR="00750C27" w:rsidRPr="00D147D7">
                    <w:rPr>
                      <w:rFonts w:ascii="仿宋" w:eastAsia="仿宋" w:hAnsi="仿宋" w:cs="仿宋" w:hint="eastAsia"/>
                      <w:sz w:val="24"/>
                      <w:szCs w:val="24"/>
                    </w:rPr>
                    <w:t>~</w:t>
                  </w:r>
                  <w:r w:rsidRPr="00D147D7">
                    <w:rPr>
                      <w:rFonts w:ascii="仿宋" w:eastAsia="仿宋" w:hAnsi="仿宋" w:cs="仿宋"/>
                      <w:sz w:val="24"/>
                      <w:szCs w:val="24"/>
                    </w:rPr>
                    <w:t>500</w:t>
                  </w:r>
                  <w:r w:rsidR="00750C27" w:rsidRPr="00D147D7">
                    <w:rPr>
                      <w:rFonts w:ascii="仿宋" w:eastAsia="仿宋" w:hAnsi="仿宋" w:cs="仿宋" w:hint="eastAsia"/>
                      <w:sz w:val="24"/>
                      <w:szCs w:val="24"/>
                    </w:rPr>
                    <w:t xml:space="preserve">万元 </w:t>
                  </w:r>
                  <w:r w:rsidRPr="00D147D7">
                    <w:rPr>
                      <w:rFonts w:ascii="仿宋" w:eastAsia="仿宋" w:hAnsi="仿宋" w:cs="仿宋"/>
                      <w:sz w:val="24"/>
                      <w:szCs w:val="24"/>
                    </w:rPr>
                    <w:t>0</w:t>
                  </w:r>
                  <w:r w:rsidR="00750C27" w:rsidRPr="00D147D7">
                    <w:rPr>
                      <w:rFonts w:ascii="仿宋" w:eastAsia="仿宋" w:hAnsi="仿宋" w:cs="仿宋" w:hint="eastAsia"/>
                      <w:sz w:val="24"/>
                      <w:szCs w:val="24"/>
                    </w:rPr>
                    <w:t>.</w:t>
                  </w:r>
                  <w:r w:rsidRPr="00D147D7">
                    <w:rPr>
                      <w:rFonts w:ascii="仿宋" w:eastAsia="仿宋" w:hAnsi="仿宋" w:cs="仿宋"/>
                      <w:sz w:val="24"/>
                      <w:szCs w:val="24"/>
                    </w:rPr>
                    <w:t>1</w:t>
                  </w:r>
                  <w:r w:rsidRPr="00D147D7">
                    <w:rPr>
                      <w:rFonts w:ascii="仿宋" w:eastAsia="仿宋" w:hAnsi="仿宋" w:cs="仿宋" w:hint="eastAsia"/>
                      <w:sz w:val="24"/>
                      <w:szCs w:val="24"/>
                    </w:rPr>
                    <w:t>2%</w:t>
                  </w:r>
                  <w:r w:rsidR="00750C27" w:rsidRPr="00D147D7">
                    <w:rPr>
                      <w:rFonts w:ascii="仿宋" w:eastAsia="仿宋" w:hAnsi="仿宋" w:cs="仿宋" w:hint="eastAsia"/>
                      <w:sz w:val="24"/>
                      <w:szCs w:val="24"/>
                    </w:rPr>
                    <w:br/>
                    <w:t>500~1000万元</w:t>
                  </w:r>
                  <w:r w:rsidRPr="00D147D7">
                    <w:rPr>
                      <w:rFonts w:ascii="仿宋" w:eastAsia="仿宋" w:hAnsi="仿宋" w:cs="仿宋" w:hint="eastAsia"/>
                      <w:sz w:val="24"/>
                      <w:szCs w:val="24"/>
                    </w:rPr>
                    <w:t xml:space="preserve"> 0.5%</w:t>
                  </w:r>
                </w:p>
              </w:tc>
              <w:tc>
                <w:tcPr>
                  <w:tcW w:w="3449" w:type="dxa"/>
                  <w:tcBorders>
                    <w:top w:val="nil"/>
                    <w:left w:val="nil"/>
                    <w:bottom w:val="single" w:sz="4" w:space="0" w:color="auto"/>
                    <w:right w:val="single" w:sz="4" w:space="0" w:color="auto"/>
                  </w:tcBorders>
                  <w:shd w:val="clear" w:color="auto" w:fill="auto"/>
                  <w:vAlign w:val="center"/>
                </w:tcPr>
                <w:p w14:paraId="5AF4DC1D" w14:textId="77777777" w:rsidR="004E4596" w:rsidRPr="00D147D7" w:rsidRDefault="00750C27">
                  <w:pPr>
                    <w:widowControl/>
                    <w:spacing w:line="240" w:lineRule="auto"/>
                    <w:jc w:val="center"/>
                    <w:rPr>
                      <w:rFonts w:ascii="仿宋" w:eastAsia="仿宋" w:hAnsi="仿宋" w:cs="仿宋"/>
                      <w:sz w:val="24"/>
                      <w:szCs w:val="24"/>
                    </w:rPr>
                  </w:pPr>
                  <w:r w:rsidRPr="00D147D7">
                    <w:rPr>
                      <w:rFonts w:ascii="仿宋" w:eastAsia="仿宋" w:hAnsi="仿宋" w:cs="仿宋" w:hint="eastAsia"/>
                      <w:sz w:val="24"/>
                      <w:szCs w:val="24"/>
                    </w:rPr>
                    <w:t>普通投资群体:1~6日 1.5%;</w:t>
                  </w:r>
                </w:p>
                <w:p w14:paraId="7EAD195A" w14:textId="77777777" w:rsidR="004E4596" w:rsidRPr="00D147D7" w:rsidRDefault="00750C27">
                  <w:pPr>
                    <w:widowControl/>
                    <w:spacing w:line="240" w:lineRule="auto"/>
                    <w:jc w:val="center"/>
                    <w:rPr>
                      <w:rFonts w:ascii="仿宋" w:eastAsia="仿宋" w:hAnsi="仿宋" w:cs="仿宋"/>
                      <w:sz w:val="24"/>
                      <w:szCs w:val="24"/>
                    </w:rPr>
                  </w:pPr>
                  <w:r w:rsidRPr="00D147D7">
                    <w:rPr>
                      <w:rFonts w:ascii="仿宋" w:eastAsia="仿宋" w:hAnsi="仿宋" w:cs="仿宋" w:hint="eastAsia"/>
                      <w:sz w:val="24"/>
                      <w:szCs w:val="24"/>
                    </w:rPr>
                    <w:t>普通投资群体:7~365日 0.</w:t>
                  </w:r>
                  <w:r w:rsidR="00D147D7" w:rsidRPr="00D147D7">
                    <w:rPr>
                      <w:rFonts w:ascii="仿宋" w:eastAsia="仿宋" w:hAnsi="仿宋" w:cs="仿宋"/>
                      <w:sz w:val="24"/>
                      <w:szCs w:val="24"/>
                    </w:rPr>
                    <w:t>1</w:t>
                  </w:r>
                  <w:r w:rsidRPr="00D147D7">
                    <w:rPr>
                      <w:rFonts w:ascii="仿宋" w:eastAsia="仿宋" w:hAnsi="仿宋" w:cs="仿宋" w:hint="eastAsia"/>
                      <w:sz w:val="24"/>
                      <w:szCs w:val="24"/>
                    </w:rPr>
                    <w:t>%;</w:t>
                  </w:r>
                </w:p>
                <w:p w14:paraId="51B28336" w14:textId="77777777" w:rsidR="004E4596" w:rsidRPr="00D147D7" w:rsidRDefault="00750C27">
                  <w:pPr>
                    <w:widowControl/>
                    <w:spacing w:line="240" w:lineRule="auto"/>
                    <w:jc w:val="center"/>
                    <w:rPr>
                      <w:rFonts w:ascii="仿宋" w:eastAsia="仿宋" w:hAnsi="仿宋" w:cs="仿宋"/>
                      <w:sz w:val="24"/>
                      <w:szCs w:val="24"/>
                    </w:rPr>
                  </w:pPr>
                  <w:r w:rsidRPr="00D147D7">
                    <w:rPr>
                      <w:rFonts w:ascii="仿宋" w:eastAsia="仿宋" w:hAnsi="仿宋" w:cs="仿宋" w:hint="eastAsia"/>
                      <w:sz w:val="24"/>
                      <w:szCs w:val="24"/>
                    </w:rPr>
                    <w:t>普通投资群体:366~730日 0.</w:t>
                  </w:r>
                  <w:r w:rsidR="00D147D7" w:rsidRPr="00D147D7">
                    <w:rPr>
                      <w:rFonts w:ascii="仿宋" w:eastAsia="仿宋" w:hAnsi="仿宋" w:cs="仿宋"/>
                      <w:sz w:val="24"/>
                      <w:szCs w:val="24"/>
                    </w:rPr>
                    <w:t>0</w:t>
                  </w:r>
                  <w:r w:rsidRPr="00D147D7">
                    <w:rPr>
                      <w:rFonts w:ascii="仿宋" w:eastAsia="仿宋" w:hAnsi="仿宋" w:cs="仿宋" w:hint="eastAsia"/>
                      <w:sz w:val="24"/>
                      <w:szCs w:val="24"/>
                    </w:rPr>
                    <w:t>5%;</w:t>
                  </w:r>
                </w:p>
                <w:p w14:paraId="48608FA6" w14:textId="77777777" w:rsidR="004E4596" w:rsidRDefault="00750C27">
                  <w:pPr>
                    <w:widowControl/>
                    <w:spacing w:line="240" w:lineRule="auto"/>
                    <w:jc w:val="center"/>
                    <w:rPr>
                      <w:rFonts w:ascii="仿宋" w:eastAsia="仿宋" w:hAnsi="仿宋" w:cs="仿宋"/>
                      <w:sz w:val="24"/>
                      <w:szCs w:val="24"/>
                    </w:rPr>
                  </w:pPr>
                  <w:r w:rsidRPr="00D147D7">
                    <w:rPr>
                      <w:rFonts w:ascii="仿宋" w:eastAsia="仿宋" w:hAnsi="仿宋" w:cs="仿宋" w:hint="eastAsia"/>
                      <w:sz w:val="24"/>
                      <w:szCs w:val="24"/>
                    </w:rPr>
                    <w:t>普通投资群体:731日以上 0%</w:t>
                  </w:r>
                </w:p>
              </w:tc>
            </w:tr>
          </w:tbl>
          <w:p w14:paraId="6110C73D" w14:textId="77777777" w:rsidR="004E4596" w:rsidRDefault="00750C27">
            <w:pPr>
              <w:pStyle w:val="a0"/>
              <w:widowControl/>
              <w:spacing w:line="240" w:lineRule="auto"/>
              <w:ind w:leftChars="0" w:left="0"/>
              <w:jc w:val="left"/>
              <w:rPr>
                <w:rFonts w:ascii="仿宋" w:eastAsia="仿宋" w:hAnsi="仿宋" w:cs="仿宋"/>
                <w:sz w:val="24"/>
                <w:szCs w:val="24"/>
              </w:rPr>
            </w:pPr>
            <w:r>
              <w:rPr>
                <w:rFonts w:ascii="仿宋" w:eastAsia="仿宋" w:hAnsi="仿宋" w:cs="仿宋" w:hint="eastAsia"/>
                <w:sz w:val="24"/>
                <w:szCs w:val="24"/>
              </w:rPr>
              <w:t>4、产品持有人结构：2021</w:t>
            </w:r>
            <w:r w:rsidR="00740D89">
              <w:rPr>
                <w:rFonts w:ascii="仿宋" w:eastAsia="仿宋" w:hAnsi="仿宋" w:cs="仿宋" w:hint="eastAsia"/>
                <w:sz w:val="24"/>
                <w:szCs w:val="24"/>
              </w:rPr>
              <w:t>年中</w:t>
            </w:r>
            <w:r>
              <w:rPr>
                <w:rFonts w:ascii="仿宋" w:eastAsia="仿宋" w:hAnsi="仿宋" w:cs="仿宋" w:hint="eastAsia"/>
                <w:sz w:val="24"/>
                <w:szCs w:val="24"/>
              </w:rPr>
              <w:t>报显示，机构投资者占比</w:t>
            </w:r>
            <w:r w:rsidR="00740D89">
              <w:rPr>
                <w:rFonts w:ascii="仿宋" w:eastAsia="仿宋" w:hAnsi="仿宋" w:cs="仿宋"/>
                <w:sz w:val="24"/>
                <w:szCs w:val="24"/>
              </w:rPr>
              <w:t>9</w:t>
            </w:r>
            <w:r w:rsidR="000E24B4">
              <w:rPr>
                <w:rFonts w:ascii="仿宋" w:eastAsia="仿宋" w:hAnsi="仿宋" w:cs="仿宋"/>
                <w:sz w:val="24"/>
                <w:szCs w:val="24"/>
              </w:rPr>
              <w:t>8.11</w:t>
            </w:r>
            <w:r>
              <w:rPr>
                <w:rFonts w:ascii="仿宋" w:eastAsia="仿宋" w:hAnsi="仿宋" w:cs="仿宋" w:hint="eastAsia"/>
                <w:sz w:val="24"/>
                <w:szCs w:val="24"/>
              </w:rPr>
              <w:t>%，持有人结构</w:t>
            </w:r>
            <w:r w:rsidR="00740D89">
              <w:rPr>
                <w:rFonts w:ascii="仿宋" w:eastAsia="仿宋" w:hAnsi="仿宋" w:cs="仿宋" w:hint="eastAsia"/>
                <w:sz w:val="24"/>
                <w:szCs w:val="24"/>
              </w:rPr>
              <w:t>十分</w:t>
            </w:r>
            <w:r>
              <w:rPr>
                <w:rFonts w:ascii="仿宋" w:eastAsia="仿宋" w:hAnsi="仿宋" w:cs="仿宋" w:hint="eastAsia"/>
                <w:sz w:val="24"/>
                <w:szCs w:val="24"/>
              </w:rPr>
              <w:t>分散，流动性风险较低。</w:t>
            </w:r>
          </w:p>
          <w:p w14:paraId="5BB86159" w14:textId="77777777" w:rsidR="004E4596" w:rsidRDefault="004E4596">
            <w:pPr>
              <w:widowControl/>
              <w:spacing w:line="240" w:lineRule="auto"/>
              <w:jc w:val="left"/>
              <w:rPr>
                <w:rFonts w:ascii="仿宋" w:eastAsia="仿宋" w:hAnsi="仿宋" w:cs="仿宋"/>
                <w:sz w:val="24"/>
                <w:szCs w:val="24"/>
              </w:rPr>
            </w:pPr>
          </w:p>
          <w:p w14:paraId="4B7B8CA4" w14:textId="77777777" w:rsidR="004E4596" w:rsidRDefault="00750C27">
            <w:pPr>
              <w:widowControl/>
              <w:spacing w:line="240" w:lineRule="auto"/>
              <w:jc w:val="left"/>
              <w:rPr>
                <w:rFonts w:ascii="仿宋" w:eastAsia="仿宋" w:hAnsi="仿宋" w:cs="仿宋"/>
                <w:sz w:val="24"/>
                <w:szCs w:val="24"/>
              </w:rPr>
            </w:pPr>
            <w:r>
              <w:rPr>
                <w:rFonts w:ascii="仿宋" w:eastAsia="仿宋" w:hAnsi="仿宋" w:cs="仿宋" w:hint="eastAsia"/>
                <w:sz w:val="24"/>
                <w:szCs w:val="24"/>
              </w:rPr>
              <w:t>三、投资经理及策略情况</w:t>
            </w:r>
          </w:p>
          <w:p w14:paraId="5DCF4C56" w14:textId="77777777" w:rsidR="004E4596" w:rsidRDefault="00750C27">
            <w:pPr>
              <w:widowControl/>
              <w:spacing w:line="240" w:lineRule="auto"/>
              <w:jc w:val="left"/>
              <w:rPr>
                <w:rFonts w:ascii="仿宋" w:eastAsia="仿宋" w:hAnsi="仿宋" w:cs="仿宋"/>
                <w:sz w:val="24"/>
                <w:szCs w:val="24"/>
              </w:rPr>
            </w:pPr>
            <w:r>
              <w:rPr>
                <w:rFonts w:ascii="仿宋" w:eastAsia="仿宋" w:hAnsi="仿宋" w:cs="仿宋" w:hint="eastAsia"/>
                <w:sz w:val="24"/>
                <w:szCs w:val="24"/>
              </w:rPr>
              <w:t>1、基金经理：</w:t>
            </w:r>
            <w:r w:rsidR="00343C2E" w:rsidRPr="00343C2E">
              <w:rPr>
                <w:rFonts w:ascii="仿宋" w:eastAsia="仿宋" w:hAnsi="仿宋" w:cs="仿宋" w:hint="eastAsia"/>
                <w:sz w:val="24"/>
                <w:szCs w:val="24"/>
              </w:rPr>
              <w:t>张佳先生，金融学硕士，16年金融证券从业经验。曾任职于华夏银行资产管理部，担任投资经理，负责资产配置及固定收益投资；天津银行资产管理部，担任部门负责人工作，分管理财投资组合的研究、投资交易及风控工作。2015年8月加入鹏华基金管理有限公司，现任鹏华基金债券投资二部总经理，同时担任公司股债混投资决策委员会及固定收益投资决策委员会委员</w:t>
            </w:r>
            <w:r w:rsidR="00343C2E">
              <w:rPr>
                <w:rFonts w:ascii="仿宋" w:eastAsia="仿宋" w:hAnsi="仿宋" w:cs="仿宋" w:hint="eastAsia"/>
                <w:sz w:val="24"/>
                <w:szCs w:val="24"/>
              </w:rPr>
              <w:t>。</w:t>
            </w:r>
          </w:p>
          <w:p w14:paraId="74B07A7F" w14:textId="77777777" w:rsidR="00343C2E" w:rsidRPr="00343C2E" w:rsidRDefault="00343C2E" w:rsidP="00343C2E">
            <w:pPr>
              <w:pStyle w:val="a0"/>
              <w:ind w:leftChars="0" w:left="0" w:firstLineChars="200" w:firstLine="482"/>
              <w:rPr>
                <w:rFonts w:ascii="仿宋" w:eastAsia="仿宋" w:hAnsi="仿宋" w:cs="仿宋"/>
                <w:sz w:val="24"/>
                <w:szCs w:val="24"/>
              </w:rPr>
            </w:pPr>
            <w:r w:rsidRPr="00343C2E">
              <w:rPr>
                <w:rFonts w:ascii="仿宋" w:eastAsia="仿宋" w:hAnsi="仿宋" w:cs="仿宋" w:hint="eastAsia"/>
                <w:b/>
                <w:sz w:val="24"/>
                <w:szCs w:val="24"/>
              </w:rPr>
              <w:t>投资优势：</w:t>
            </w:r>
            <w:r w:rsidRPr="00343C2E">
              <w:rPr>
                <w:rFonts w:ascii="仿宋" w:eastAsia="仿宋" w:hAnsi="仿宋" w:cs="仿宋" w:hint="eastAsia"/>
                <w:sz w:val="24"/>
                <w:szCs w:val="24"/>
              </w:rPr>
              <w:t>拥有多年大规模组合管理经验，在大类资产配置方面具有突出能力，风格上注重对于宏观经济和债券、权益市场长期趋势的分析，并擅长根据宏观数据的变化参与交易性机会，历年以来其管理的组合均体现出风格稳健、收益稳健的风险收益特征</w:t>
            </w:r>
            <w:r>
              <w:rPr>
                <w:rFonts w:ascii="仿宋" w:eastAsia="仿宋" w:hAnsi="仿宋" w:cs="仿宋" w:hint="eastAsia"/>
                <w:sz w:val="24"/>
                <w:szCs w:val="24"/>
              </w:rPr>
              <w:t>。</w:t>
            </w:r>
          </w:p>
          <w:p w14:paraId="3158529F" w14:textId="77777777" w:rsidR="00343C2E" w:rsidRPr="00343C2E" w:rsidRDefault="00343C2E" w:rsidP="00343C2E">
            <w:pPr>
              <w:pStyle w:val="a0"/>
              <w:ind w:leftChars="0" w:left="0" w:firstLineChars="200" w:firstLine="482"/>
              <w:rPr>
                <w:rFonts w:ascii="仿宋" w:eastAsia="仿宋" w:hAnsi="仿宋" w:cs="仿宋"/>
                <w:sz w:val="24"/>
                <w:szCs w:val="24"/>
              </w:rPr>
            </w:pPr>
            <w:r w:rsidRPr="00343C2E">
              <w:rPr>
                <w:rFonts w:ascii="仿宋" w:eastAsia="仿宋" w:hAnsi="仿宋" w:cs="仿宋" w:hint="eastAsia"/>
                <w:b/>
                <w:sz w:val="24"/>
                <w:szCs w:val="24"/>
              </w:rPr>
              <w:t>指导管理组合情况：</w:t>
            </w:r>
            <w:r w:rsidRPr="00343C2E">
              <w:rPr>
                <w:rFonts w:ascii="仿宋" w:eastAsia="仿宋" w:hAnsi="仿宋" w:cs="仿宋" w:hint="eastAsia"/>
                <w:sz w:val="24"/>
                <w:szCs w:val="24"/>
              </w:rPr>
              <w:t>张佳投资团队负责管理的公募组合有鹏华招华一年持有、鹏华安裕5个月持有、鹏华丰盛、鹏华双债增利、鹏华金城等组合，9月底合计规模达228亿，涉及产品类型主要为偏债混合、二级债基</w:t>
            </w:r>
            <w:r>
              <w:rPr>
                <w:rFonts w:ascii="仿宋" w:eastAsia="仿宋" w:hAnsi="仿宋" w:cs="仿宋" w:hint="eastAsia"/>
                <w:sz w:val="24"/>
                <w:szCs w:val="24"/>
              </w:rPr>
              <w:t>。</w:t>
            </w:r>
          </w:p>
          <w:p w14:paraId="24667A9A" w14:textId="77777777" w:rsidR="004E4596" w:rsidRDefault="00750C27">
            <w:pPr>
              <w:widowControl/>
              <w:spacing w:line="240" w:lineRule="auto"/>
              <w:jc w:val="left"/>
              <w:rPr>
                <w:rFonts w:ascii="仿宋" w:eastAsia="仿宋" w:hAnsi="仿宋" w:cs="仿宋"/>
                <w:sz w:val="24"/>
                <w:szCs w:val="24"/>
              </w:rPr>
            </w:pPr>
            <w:r>
              <w:rPr>
                <w:rFonts w:ascii="仿宋" w:eastAsia="仿宋" w:hAnsi="仿宋" w:cs="仿宋" w:hint="eastAsia"/>
                <w:sz w:val="24"/>
                <w:szCs w:val="24"/>
              </w:rPr>
              <w:t>2、基金经理业绩情况：代表产品</w:t>
            </w:r>
            <w:r w:rsidR="00873778">
              <w:rPr>
                <w:rFonts w:ascii="仿宋" w:eastAsia="仿宋" w:hAnsi="仿宋" w:cs="仿宋" w:hint="eastAsia"/>
                <w:sz w:val="24"/>
                <w:szCs w:val="24"/>
              </w:rPr>
              <w:t>鹏华安裕5个月持有，成立于2</w:t>
            </w:r>
            <w:r w:rsidR="00873778">
              <w:rPr>
                <w:rFonts w:ascii="仿宋" w:eastAsia="仿宋" w:hAnsi="仿宋" w:cs="仿宋"/>
                <w:sz w:val="24"/>
                <w:szCs w:val="24"/>
              </w:rPr>
              <w:t>021</w:t>
            </w:r>
            <w:r w:rsidR="00873778">
              <w:rPr>
                <w:rFonts w:ascii="仿宋" w:eastAsia="仿宋" w:hAnsi="仿宋" w:cs="仿宋" w:hint="eastAsia"/>
                <w:sz w:val="24"/>
                <w:szCs w:val="24"/>
              </w:rPr>
              <w:t>/2/3，</w:t>
            </w:r>
            <w:r w:rsidR="00740D89">
              <w:rPr>
                <w:rFonts w:ascii="仿宋" w:eastAsia="仿宋" w:hAnsi="仿宋" w:cs="仿宋" w:hint="eastAsia"/>
                <w:sz w:val="24"/>
                <w:szCs w:val="24"/>
              </w:rPr>
              <w:t>截至2</w:t>
            </w:r>
            <w:r w:rsidR="00740D89">
              <w:rPr>
                <w:rFonts w:ascii="仿宋" w:eastAsia="仿宋" w:hAnsi="仿宋" w:cs="仿宋"/>
                <w:sz w:val="24"/>
                <w:szCs w:val="24"/>
              </w:rPr>
              <w:t>021</w:t>
            </w:r>
            <w:r w:rsidR="00740D89">
              <w:rPr>
                <w:rFonts w:ascii="仿宋" w:eastAsia="仿宋" w:hAnsi="仿宋" w:cs="仿宋" w:hint="eastAsia"/>
                <w:sz w:val="24"/>
                <w:szCs w:val="24"/>
              </w:rPr>
              <w:t>-</w:t>
            </w:r>
            <w:r w:rsidR="00740D89">
              <w:rPr>
                <w:rFonts w:ascii="仿宋" w:eastAsia="仿宋" w:hAnsi="仿宋" w:cs="仿宋"/>
                <w:sz w:val="24"/>
                <w:szCs w:val="24"/>
              </w:rPr>
              <w:t>10</w:t>
            </w:r>
            <w:r w:rsidR="00740D89">
              <w:rPr>
                <w:rFonts w:ascii="仿宋" w:eastAsia="仿宋" w:hAnsi="仿宋" w:cs="仿宋" w:hint="eastAsia"/>
                <w:sz w:val="24"/>
                <w:szCs w:val="24"/>
              </w:rPr>
              <w:t>-</w:t>
            </w:r>
            <w:r w:rsidR="00740D89">
              <w:rPr>
                <w:rFonts w:ascii="仿宋" w:eastAsia="仿宋" w:hAnsi="仿宋" w:cs="仿宋"/>
                <w:sz w:val="24"/>
                <w:szCs w:val="24"/>
              </w:rPr>
              <w:t>31</w:t>
            </w:r>
            <w:r w:rsidR="00740D89">
              <w:rPr>
                <w:rFonts w:ascii="仿宋" w:eastAsia="仿宋" w:hAnsi="仿宋" w:cs="仿宋" w:hint="eastAsia"/>
                <w:sz w:val="24"/>
                <w:szCs w:val="24"/>
              </w:rPr>
              <w:t>，</w:t>
            </w:r>
            <w:r w:rsidR="00740D89">
              <w:rPr>
                <w:rFonts w:ascii="仿宋" w:eastAsia="仿宋" w:hAnsi="仿宋" w:cs="仿宋"/>
                <w:sz w:val="24"/>
                <w:szCs w:val="24"/>
              </w:rPr>
              <w:t>成立以来年化收益</w:t>
            </w:r>
            <w:r w:rsidR="00740D89">
              <w:rPr>
                <w:rFonts w:ascii="仿宋" w:eastAsia="仿宋" w:hAnsi="仿宋" w:cs="仿宋" w:hint="eastAsia"/>
                <w:sz w:val="24"/>
                <w:szCs w:val="24"/>
              </w:rPr>
              <w:t>7</w:t>
            </w:r>
            <w:r w:rsidR="00740D89">
              <w:rPr>
                <w:rFonts w:ascii="仿宋" w:eastAsia="仿宋" w:hAnsi="仿宋" w:cs="仿宋"/>
                <w:sz w:val="24"/>
                <w:szCs w:val="24"/>
              </w:rPr>
              <w:t>.05</w:t>
            </w:r>
            <w:r w:rsidR="00740D89">
              <w:rPr>
                <w:rFonts w:ascii="仿宋" w:eastAsia="仿宋" w:hAnsi="仿宋" w:cs="仿宋" w:hint="eastAsia"/>
                <w:sz w:val="24"/>
                <w:szCs w:val="24"/>
              </w:rPr>
              <w:t>%，</w:t>
            </w:r>
            <w:r w:rsidR="00740D89">
              <w:rPr>
                <w:rFonts w:ascii="仿宋" w:eastAsia="仿宋" w:hAnsi="仿宋" w:cs="仿宋"/>
                <w:sz w:val="24"/>
                <w:szCs w:val="24"/>
              </w:rPr>
              <w:t>但成立以来最大回撤仅</w:t>
            </w:r>
            <w:r w:rsidR="00740D89">
              <w:rPr>
                <w:rFonts w:ascii="仿宋" w:eastAsia="仿宋" w:hAnsi="仿宋" w:cs="仿宋" w:hint="eastAsia"/>
                <w:sz w:val="24"/>
                <w:szCs w:val="24"/>
              </w:rPr>
              <w:t>-</w:t>
            </w:r>
            <w:r w:rsidR="00740D89">
              <w:rPr>
                <w:rFonts w:ascii="仿宋" w:eastAsia="仿宋" w:hAnsi="仿宋" w:cs="仿宋"/>
                <w:sz w:val="24"/>
                <w:szCs w:val="24"/>
              </w:rPr>
              <w:t>0.86</w:t>
            </w:r>
            <w:r w:rsidR="00740D89">
              <w:rPr>
                <w:rFonts w:ascii="仿宋" w:eastAsia="仿宋" w:hAnsi="仿宋" w:cs="仿宋" w:hint="eastAsia"/>
                <w:sz w:val="24"/>
                <w:szCs w:val="24"/>
              </w:rPr>
              <w:t>%，</w:t>
            </w:r>
            <w:r w:rsidR="00740D89">
              <w:rPr>
                <w:rFonts w:ascii="仿宋" w:eastAsia="仿宋" w:hAnsi="仿宋" w:cs="仿宋"/>
                <w:sz w:val="24"/>
                <w:szCs w:val="24"/>
              </w:rPr>
              <w:t>回撤控制优秀</w:t>
            </w:r>
            <w:r w:rsidR="00740D89">
              <w:rPr>
                <w:rFonts w:ascii="仿宋" w:eastAsia="仿宋" w:hAnsi="仿宋" w:cs="仿宋" w:hint="eastAsia"/>
                <w:sz w:val="24"/>
                <w:szCs w:val="24"/>
              </w:rPr>
              <w:t>。</w:t>
            </w:r>
          </w:p>
          <w:p w14:paraId="0A7A1B73" w14:textId="77777777" w:rsidR="004E4596" w:rsidRDefault="004E4596">
            <w:pPr>
              <w:pStyle w:val="a0"/>
              <w:ind w:leftChars="0" w:left="0"/>
              <w:rPr>
                <w:rFonts w:ascii="仿宋" w:eastAsia="仿宋" w:hAnsi="仿宋" w:cs="仿宋"/>
                <w:sz w:val="24"/>
                <w:szCs w:val="24"/>
              </w:rPr>
            </w:pPr>
          </w:p>
          <w:tbl>
            <w:tblPr>
              <w:tblW w:w="10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8"/>
              <w:gridCol w:w="2268"/>
              <w:gridCol w:w="1701"/>
              <w:gridCol w:w="2126"/>
              <w:gridCol w:w="2977"/>
            </w:tblGrid>
            <w:tr w:rsidR="00873778" w:rsidRPr="00665CF8" w14:paraId="26B387F7" w14:textId="77777777" w:rsidTr="00873778">
              <w:trPr>
                <w:trHeight w:val="520"/>
              </w:trPr>
              <w:tc>
                <w:tcPr>
                  <w:tcW w:w="1158" w:type="dxa"/>
                  <w:shd w:val="clear" w:color="auto" w:fill="auto"/>
                  <w:noWrap/>
                  <w:vAlign w:val="bottom"/>
                  <w:hideMark/>
                </w:tcPr>
                <w:p w14:paraId="097BB26B" w14:textId="77777777" w:rsidR="00665CF8" w:rsidRPr="00665CF8" w:rsidRDefault="00665CF8" w:rsidP="00873778">
                  <w:pPr>
                    <w:widowControl/>
                    <w:spacing w:line="240" w:lineRule="auto"/>
                    <w:jc w:val="center"/>
                    <w:rPr>
                      <w:rFonts w:ascii="仿宋" w:eastAsia="仿宋" w:hAnsi="仿宋" w:cs="Arial"/>
                      <w:kern w:val="0"/>
                      <w:sz w:val="20"/>
                      <w:szCs w:val="20"/>
                    </w:rPr>
                  </w:pPr>
                  <w:r w:rsidRPr="00665CF8">
                    <w:rPr>
                      <w:rFonts w:ascii="仿宋" w:eastAsia="仿宋" w:hAnsi="仿宋" w:cs="Arial"/>
                      <w:kern w:val="0"/>
                      <w:sz w:val="20"/>
                      <w:szCs w:val="20"/>
                    </w:rPr>
                    <w:t>证券代码</w:t>
                  </w:r>
                </w:p>
              </w:tc>
              <w:tc>
                <w:tcPr>
                  <w:tcW w:w="2268" w:type="dxa"/>
                  <w:shd w:val="clear" w:color="auto" w:fill="auto"/>
                  <w:noWrap/>
                  <w:vAlign w:val="bottom"/>
                  <w:hideMark/>
                </w:tcPr>
                <w:p w14:paraId="697869B7" w14:textId="77777777" w:rsidR="00665CF8" w:rsidRPr="00665CF8" w:rsidRDefault="00665CF8" w:rsidP="00873778">
                  <w:pPr>
                    <w:widowControl/>
                    <w:spacing w:line="240" w:lineRule="auto"/>
                    <w:jc w:val="center"/>
                    <w:rPr>
                      <w:rFonts w:ascii="仿宋" w:eastAsia="仿宋" w:hAnsi="仿宋" w:cs="Arial"/>
                      <w:kern w:val="0"/>
                      <w:sz w:val="20"/>
                      <w:szCs w:val="20"/>
                    </w:rPr>
                  </w:pPr>
                  <w:r w:rsidRPr="00665CF8">
                    <w:rPr>
                      <w:rFonts w:ascii="仿宋" w:eastAsia="仿宋" w:hAnsi="仿宋" w:cs="Arial"/>
                      <w:kern w:val="0"/>
                      <w:sz w:val="20"/>
                      <w:szCs w:val="20"/>
                    </w:rPr>
                    <w:t>证券简称</w:t>
                  </w:r>
                </w:p>
              </w:tc>
              <w:tc>
                <w:tcPr>
                  <w:tcW w:w="1701" w:type="dxa"/>
                  <w:shd w:val="clear" w:color="auto" w:fill="auto"/>
                  <w:vAlign w:val="bottom"/>
                  <w:hideMark/>
                </w:tcPr>
                <w:p w14:paraId="4B7C902F" w14:textId="77777777" w:rsidR="00665CF8" w:rsidRPr="00665CF8" w:rsidRDefault="00665CF8" w:rsidP="00873778">
                  <w:pPr>
                    <w:widowControl/>
                    <w:spacing w:line="240" w:lineRule="auto"/>
                    <w:jc w:val="center"/>
                    <w:rPr>
                      <w:rFonts w:ascii="仿宋" w:eastAsia="仿宋" w:hAnsi="仿宋" w:cs="Arial"/>
                      <w:kern w:val="0"/>
                      <w:sz w:val="20"/>
                      <w:szCs w:val="20"/>
                    </w:rPr>
                  </w:pPr>
                  <w:r w:rsidRPr="00665CF8">
                    <w:rPr>
                      <w:rFonts w:ascii="仿宋" w:eastAsia="仿宋" w:hAnsi="仿宋" w:cs="Arial" w:hint="eastAsia"/>
                      <w:kern w:val="0"/>
                      <w:sz w:val="20"/>
                      <w:szCs w:val="20"/>
                    </w:rPr>
                    <w:t>任职日期</w:t>
                  </w:r>
                </w:p>
              </w:tc>
              <w:tc>
                <w:tcPr>
                  <w:tcW w:w="2126" w:type="dxa"/>
                  <w:shd w:val="clear" w:color="auto" w:fill="auto"/>
                  <w:noWrap/>
                  <w:vAlign w:val="bottom"/>
                  <w:hideMark/>
                </w:tcPr>
                <w:p w14:paraId="04B43AD6" w14:textId="77777777" w:rsidR="00665CF8" w:rsidRPr="00665CF8" w:rsidRDefault="00665CF8" w:rsidP="00873778">
                  <w:pPr>
                    <w:widowControl/>
                    <w:spacing w:line="240" w:lineRule="auto"/>
                    <w:jc w:val="center"/>
                    <w:rPr>
                      <w:rFonts w:ascii="仿宋" w:eastAsia="仿宋" w:hAnsi="仿宋" w:cs="Arial"/>
                      <w:kern w:val="0"/>
                      <w:sz w:val="20"/>
                      <w:szCs w:val="20"/>
                    </w:rPr>
                  </w:pPr>
                  <w:r w:rsidRPr="00665CF8">
                    <w:rPr>
                      <w:rFonts w:ascii="仿宋" w:eastAsia="仿宋" w:hAnsi="仿宋" w:cs="Arial" w:hint="eastAsia"/>
                      <w:kern w:val="0"/>
                      <w:sz w:val="20"/>
                      <w:szCs w:val="20"/>
                    </w:rPr>
                    <w:t>任职以来年化收益率</w:t>
                  </w:r>
                </w:p>
              </w:tc>
              <w:tc>
                <w:tcPr>
                  <w:tcW w:w="2977" w:type="dxa"/>
                  <w:shd w:val="clear" w:color="auto" w:fill="auto"/>
                  <w:noWrap/>
                  <w:vAlign w:val="bottom"/>
                  <w:hideMark/>
                </w:tcPr>
                <w:p w14:paraId="1141DC77" w14:textId="77777777" w:rsidR="00665CF8" w:rsidRPr="00665CF8" w:rsidRDefault="00665CF8" w:rsidP="00873778">
                  <w:pPr>
                    <w:widowControl/>
                    <w:spacing w:line="240" w:lineRule="auto"/>
                    <w:jc w:val="center"/>
                    <w:rPr>
                      <w:rFonts w:ascii="仿宋" w:eastAsia="仿宋" w:hAnsi="仿宋" w:cs="Arial"/>
                      <w:kern w:val="0"/>
                      <w:sz w:val="20"/>
                      <w:szCs w:val="20"/>
                    </w:rPr>
                  </w:pPr>
                  <w:r w:rsidRPr="00665CF8">
                    <w:rPr>
                      <w:rFonts w:ascii="仿宋" w:eastAsia="仿宋" w:hAnsi="仿宋" w:cs="Arial" w:hint="eastAsia"/>
                      <w:kern w:val="0"/>
                      <w:sz w:val="20"/>
                      <w:szCs w:val="20"/>
                    </w:rPr>
                    <w:t>任职期间最大回撤</w:t>
                  </w:r>
                </w:p>
              </w:tc>
            </w:tr>
            <w:tr w:rsidR="00665CF8" w:rsidRPr="00665CF8" w14:paraId="300A65B1" w14:textId="77777777" w:rsidTr="00873778">
              <w:trPr>
                <w:trHeight w:val="250"/>
              </w:trPr>
              <w:tc>
                <w:tcPr>
                  <w:tcW w:w="1158" w:type="dxa"/>
                  <w:shd w:val="clear" w:color="auto" w:fill="auto"/>
                  <w:noWrap/>
                  <w:vAlign w:val="bottom"/>
                  <w:hideMark/>
                </w:tcPr>
                <w:p w14:paraId="5073D430" w14:textId="77777777" w:rsidR="00665CF8" w:rsidRPr="00665CF8" w:rsidRDefault="00665CF8" w:rsidP="00873778">
                  <w:pPr>
                    <w:widowControl/>
                    <w:spacing w:line="240" w:lineRule="auto"/>
                    <w:jc w:val="center"/>
                    <w:rPr>
                      <w:rFonts w:ascii="仿宋" w:eastAsia="仿宋" w:hAnsi="仿宋" w:cs="Arial"/>
                      <w:kern w:val="0"/>
                      <w:sz w:val="20"/>
                      <w:szCs w:val="20"/>
                    </w:rPr>
                  </w:pPr>
                  <w:r w:rsidRPr="00665CF8">
                    <w:rPr>
                      <w:rFonts w:ascii="仿宋" w:eastAsia="仿宋" w:hAnsi="仿宋" w:cs="Arial"/>
                      <w:kern w:val="0"/>
                      <w:sz w:val="20"/>
                      <w:szCs w:val="20"/>
                    </w:rPr>
                    <w:t>009822.OF</w:t>
                  </w:r>
                </w:p>
              </w:tc>
              <w:tc>
                <w:tcPr>
                  <w:tcW w:w="2268" w:type="dxa"/>
                  <w:shd w:val="clear" w:color="auto" w:fill="auto"/>
                  <w:noWrap/>
                  <w:vAlign w:val="bottom"/>
                  <w:hideMark/>
                </w:tcPr>
                <w:p w14:paraId="06A01DE4" w14:textId="77777777" w:rsidR="00665CF8" w:rsidRPr="00665CF8" w:rsidRDefault="00665CF8" w:rsidP="00873778">
                  <w:pPr>
                    <w:widowControl/>
                    <w:spacing w:line="240" w:lineRule="auto"/>
                    <w:jc w:val="center"/>
                    <w:rPr>
                      <w:rFonts w:ascii="仿宋" w:eastAsia="仿宋" w:hAnsi="仿宋" w:cs="Arial"/>
                      <w:kern w:val="0"/>
                      <w:sz w:val="20"/>
                      <w:szCs w:val="20"/>
                    </w:rPr>
                  </w:pPr>
                  <w:r w:rsidRPr="00665CF8">
                    <w:rPr>
                      <w:rFonts w:ascii="仿宋" w:eastAsia="仿宋" w:hAnsi="仿宋" w:cs="Arial"/>
                      <w:kern w:val="0"/>
                      <w:sz w:val="20"/>
                      <w:szCs w:val="20"/>
                    </w:rPr>
                    <w:t>鹏华招华一年持有A</w:t>
                  </w:r>
                </w:p>
              </w:tc>
              <w:tc>
                <w:tcPr>
                  <w:tcW w:w="1701" w:type="dxa"/>
                  <w:shd w:val="clear" w:color="auto" w:fill="auto"/>
                  <w:noWrap/>
                  <w:vAlign w:val="bottom"/>
                  <w:hideMark/>
                </w:tcPr>
                <w:p w14:paraId="47A76F3F" w14:textId="77777777" w:rsidR="00665CF8" w:rsidRPr="00665CF8" w:rsidRDefault="00665CF8" w:rsidP="00873778">
                  <w:pPr>
                    <w:widowControl/>
                    <w:spacing w:line="240" w:lineRule="auto"/>
                    <w:jc w:val="center"/>
                    <w:rPr>
                      <w:rFonts w:ascii="仿宋" w:eastAsia="仿宋" w:hAnsi="仿宋" w:cs="Arial"/>
                      <w:kern w:val="0"/>
                      <w:sz w:val="20"/>
                      <w:szCs w:val="20"/>
                    </w:rPr>
                  </w:pPr>
                  <w:r w:rsidRPr="00665CF8">
                    <w:rPr>
                      <w:rFonts w:ascii="仿宋" w:eastAsia="仿宋" w:hAnsi="仿宋" w:cs="Arial"/>
                      <w:kern w:val="0"/>
                      <w:sz w:val="20"/>
                      <w:szCs w:val="20"/>
                    </w:rPr>
                    <w:t>2020-08-29</w:t>
                  </w:r>
                </w:p>
              </w:tc>
              <w:tc>
                <w:tcPr>
                  <w:tcW w:w="2126" w:type="dxa"/>
                  <w:shd w:val="clear" w:color="auto" w:fill="auto"/>
                  <w:noWrap/>
                  <w:vAlign w:val="bottom"/>
                  <w:hideMark/>
                </w:tcPr>
                <w:p w14:paraId="7D639F4C" w14:textId="77777777" w:rsidR="00665CF8" w:rsidRPr="00665CF8" w:rsidRDefault="00665CF8" w:rsidP="00873778">
                  <w:pPr>
                    <w:widowControl/>
                    <w:spacing w:line="240" w:lineRule="auto"/>
                    <w:jc w:val="center"/>
                    <w:rPr>
                      <w:rFonts w:ascii="仿宋" w:eastAsia="仿宋" w:hAnsi="仿宋" w:cs="Arial"/>
                      <w:kern w:val="0"/>
                      <w:sz w:val="20"/>
                      <w:szCs w:val="20"/>
                    </w:rPr>
                  </w:pPr>
                  <w:r w:rsidRPr="00665CF8">
                    <w:rPr>
                      <w:rFonts w:ascii="仿宋" w:eastAsia="仿宋" w:hAnsi="仿宋" w:cs="Arial"/>
                      <w:kern w:val="0"/>
                      <w:sz w:val="20"/>
                      <w:szCs w:val="20"/>
                    </w:rPr>
                    <w:t>6.34%</w:t>
                  </w:r>
                </w:p>
              </w:tc>
              <w:tc>
                <w:tcPr>
                  <w:tcW w:w="2977" w:type="dxa"/>
                  <w:shd w:val="clear" w:color="auto" w:fill="auto"/>
                  <w:noWrap/>
                  <w:vAlign w:val="bottom"/>
                  <w:hideMark/>
                </w:tcPr>
                <w:p w14:paraId="71E31786" w14:textId="77777777" w:rsidR="00665CF8" w:rsidRPr="00665CF8" w:rsidRDefault="00665CF8" w:rsidP="00873778">
                  <w:pPr>
                    <w:widowControl/>
                    <w:spacing w:line="240" w:lineRule="auto"/>
                    <w:jc w:val="center"/>
                    <w:rPr>
                      <w:rFonts w:ascii="仿宋" w:eastAsia="仿宋" w:hAnsi="仿宋" w:cs="Arial"/>
                      <w:kern w:val="0"/>
                      <w:sz w:val="20"/>
                      <w:szCs w:val="20"/>
                    </w:rPr>
                  </w:pPr>
                  <w:r w:rsidRPr="00665CF8">
                    <w:rPr>
                      <w:rFonts w:ascii="仿宋" w:eastAsia="仿宋" w:hAnsi="仿宋" w:cs="Arial"/>
                      <w:kern w:val="0"/>
                      <w:sz w:val="20"/>
                      <w:szCs w:val="20"/>
                    </w:rPr>
                    <w:t>-0.61%</w:t>
                  </w:r>
                </w:p>
              </w:tc>
            </w:tr>
            <w:tr w:rsidR="00665CF8" w:rsidRPr="00665CF8" w14:paraId="7589C337" w14:textId="77777777" w:rsidTr="00873778">
              <w:trPr>
                <w:trHeight w:val="250"/>
              </w:trPr>
              <w:tc>
                <w:tcPr>
                  <w:tcW w:w="1158" w:type="dxa"/>
                  <w:shd w:val="clear" w:color="auto" w:fill="auto"/>
                  <w:noWrap/>
                  <w:vAlign w:val="bottom"/>
                  <w:hideMark/>
                </w:tcPr>
                <w:p w14:paraId="19EC1470" w14:textId="77777777" w:rsidR="00665CF8" w:rsidRPr="00665CF8" w:rsidRDefault="00665CF8" w:rsidP="00873778">
                  <w:pPr>
                    <w:widowControl/>
                    <w:spacing w:line="240" w:lineRule="auto"/>
                    <w:jc w:val="center"/>
                    <w:rPr>
                      <w:rFonts w:ascii="仿宋" w:eastAsia="仿宋" w:hAnsi="仿宋" w:cs="Arial"/>
                      <w:kern w:val="0"/>
                      <w:sz w:val="20"/>
                      <w:szCs w:val="20"/>
                    </w:rPr>
                  </w:pPr>
                  <w:r w:rsidRPr="00665CF8">
                    <w:rPr>
                      <w:rFonts w:ascii="仿宋" w:eastAsia="仿宋" w:hAnsi="仿宋" w:cs="Arial"/>
                      <w:kern w:val="0"/>
                      <w:sz w:val="20"/>
                      <w:szCs w:val="20"/>
                    </w:rPr>
                    <w:t>010863.OF</w:t>
                  </w:r>
                </w:p>
              </w:tc>
              <w:tc>
                <w:tcPr>
                  <w:tcW w:w="2268" w:type="dxa"/>
                  <w:shd w:val="clear" w:color="auto" w:fill="auto"/>
                  <w:noWrap/>
                  <w:vAlign w:val="bottom"/>
                  <w:hideMark/>
                </w:tcPr>
                <w:p w14:paraId="10D8DE10" w14:textId="77777777" w:rsidR="00665CF8" w:rsidRPr="00665CF8" w:rsidRDefault="00665CF8" w:rsidP="00873778">
                  <w:pPr>
                    <w:widowControl/>
                    <w:spacing w:line="240" w:lineRule="auto"/>
                    <w:jc w:val="center"/>
                    <w:rPr>
                      <w:rFonts w:ascii="仿宋" w:eastAsia="仿宋" w:hAnsi="仿宋" w:cs="Arial"/>
                      <w:kern w:val="0"/>
                      <w:sz w:val="20"/>
                      <w:szCs w:val="20"/>
                    </w:rPr>
                  </w:pPr>
                  <w:r w:rsidRPr="00665CF8">
                    <w:rPr>
                      <w:rFonts w:ascii="仿宋" w:eastAsia="仿宋" w:hAnsi="仿宋" w:cs="Arial"/>
                      <w:kern w:val="0"/>
                      <w:sz w:val="20"/>
                      <w:szCs w:val="20"/>
                    </w:rPr>
                    <w:t>鹏华安裕5个月持有A</w:t>
                  </w:r>
                </w:p>
              </w:tc>
              <w:tc>
                <w:tcPr>
                  <w:tcW w:w="1701" w:type="dxa"/>
                  <w:shd w:val="clear" w:color="auto" w:fill="auto"/>
                  <w:noWrap/>
                  <w:vAlign w:val="bottom"/>
                  <w:hideMark/>
                </w:tcPr>
                <w:p w14:paraId="6ACBC954" w14:textId="77777777" w:rsidR="00665CF8" w:rsidRPr="00665CF8" w:rsidRDefault="00665CF8" w:rsidP="00873778">
                  <w:pPr>
                    <w:widowControl/>
                    <w:spacing w:line="240" w:lineRule="auto"/>
                    <w:jc w:val="center"/>
                    <w:rPr>
                      <w:rFonts w:ascii="仿宋" w:eastAsia="仿宋" w:hAnsi="仿宋" w:cs="Arial"/>
                      <w:kern w:val="0"/>
                      <w:sz w:val="20"/>
                      <w:szCs w:val="20"/>
                    </w:rPr>
                  </w:pPr>
                  <w:r w:rsidRPr="00665CF8">
                    <w:rPr>
                      <w:rFonts w:ascii="仿宋" w:eastAsia="仿宋" w:hAnsi="仿宋" w:cs="Arial"/>
                      <w:kern w:val="0"/>
                      <w:sz w:val="20"/>
                      <w:szCs w:val="20"/>
                    </w:rPr>
                    <w:t>2021-02-03</w:t>
                  </w:r>
                </w:p>
              </w:tc>
              <w:tc>
                <w:tcPr>
                  <w:tcW w:w="2126" w:type="dxa"/>
                  <w:shd w:val="clear" w:color="auto" w:fill="auto"/>
                  <w:noWrap/>
                  <w:vAlign w:val="bottom"/>
                  <w:hideMark/>
                </w:tcPr>
                <w:p w14:paraId="26F77A3A" w14:textId="77777777" w:rsidR="00665CF8" w:rsidRPr="00665CF8" w:rsidRDefault="00665CF8" w:rsidP="00873778">
                  <w:pPr>
                    <w:widowControl/>
                    <w:spacing w:line="240" w:lineRule="auto"/>
                    <w:jc w:val="center"/>
                    <w:rPr>
                      <w:rFonts w:ascii="仿宋" w:eastAsia="仿宋" w:hAnsi="仿宋" w:cs="Arial"/>
                      <w:kern w:val="0"/>
                      <w:sz w:val="20"/>
                      <w:szCs w:val="20"/>
                    </w:rPr>
                  </w:pPr>
                  <w:r w:rsidRPr="00665CF8">
                    <w:rPr>
                      <w:rFonts w:ascii="仿宋" w:eastAsia="仿宋" w:hAnsi="仿宋" w:cs="Arial"/>
                      <w:kern w:val="0"/>
                      <w:sz w:val="20"/>
                      <w:szCs w:val="20"/>
                    </w:rPr>
                    <w:t>7.05%</w:t>
                  </w:r>
                </w:p>
              </w:tc>
              <w:tc>
                <w:tcPr>
                  <w:tcW w:w="2977" w:type="dxa"/>
                  <w:shd w:val="clear" w:color="auto" w:fill="auto"/>
                  <w:noWrap/>
                  <w:vAlign w:val="bottom"/>
                  <w:hideMark/>
                </w:tcPr>
                <w:p w14:paraId="7F18CD52" w14:textId="77777777" w:rsidR="00665CF8" w:rsidRPr="00665CF8" w:rsidRDefault="00665CF8" w:rsidP="00873778">
                  <w:pPr>
                    <w:widowControl/>
                    <w:spacing w:line="240" w:lineRule="auto"/>
                    <w:jc w:val="center"/>
                    <w:rPr>
                      <w:rFonts w:ascii="仿宋" w:eastAsia="仿宋" w:hAnsi="仿宋" w:cs="Arial"/>
                      <w:kern w:val="0"/>
                      <w:sz w:val="20"/>
                      <w:szCs w:val="20"/>
                    </w:rPr>
                  </w:pPr>
                  <w:r w:rsidRPr="00665CF8">
                    <w:rPr>
                      <w:rFonts w:ascii="仿宋" w:eastAsia="仿宋" w:hAnsi="仿宋" w:cs="Arial"/>
                      <w:kern w:val="0"/>
                      <w:sz w:val="20"/>
                      <w:szCs w:val="20"/>
                    </w:rPr>
                    <w:t>-0.86%</w:t>
                  </w:r>
                </w:p>
              </w:tc>
            </w:tr>
            <w:tr w:rsidR="00665CF8" w:rsidRPr="00665CF8" w14:paraId="535710B2" w14:textId="77777777" w:rsidTr="00873778">
              <w:trPr>
                <w:trHeight w:val="250"/>
              </w:trPr>
              <w:tc>
                <w:tcPr>
                  <w:tcW w:w="1158" w:type="dxa"/>
                  <w:shd w:val="clear" w:color="auto" w:fill="auto"/>
                  <w:noWrap/>
                  <w:vAlign w:val="bottom"/>
                  <w:hideMark/>
                </w:tcPr>
                <w:p w14:paraId="4112FBB5" w14:textId="77777777" w:rsidR="00665CF8" w:rsidRPr="00665CF8" w:rsidRDefault="00665CF8" w:rsidP="00873778">
                  <w:pPr>
                    <w:widowControl/>
                    <w:spacing w:line="240" w:lineRule="auto"/>
                    <w:jc w:val="center"/>
                    <w:rPr>
                      <w:rFonts w:ascii="仿宋" w:eastAsia="仿宋" w:hAnsi="仿宋" w:cs="Arial"/>
                      <w:kern w:val="0"/>
                      <w:sz w:val="20"/>
                      <w:szCs w:val="20"/>
                    </w:rPr>
                  </w:pPr>
                  <w:r w:rsidRPr="00665CF8">
                    <w:rPr>
                      <w:rFonts w:ascii="仿宋" w:eastAsia="仿宋" w:hAnsi="仿宋" w:cs="Arial"/>
                      <w:kern w:val="0"/>
                      <w:sz w:val="20"/>
                      <w:szCs w:val="20"/>
                    </w:rPr>
                    <w:t>000054.OF</w:t>
                  </w:r>
                </w:p>
              </w:tc>
              <w:tc>
                <w:tcPr>
                  <w:tcW w:w="2268" w:type="dxa"/>
                  <w:shd w:val="clear" w:color="auto" w:fill="auto"/>
                  <w:noWrap/>
                  <w:vAlign w:val="bottom"/>
                  <w:hideMark/>
                </w:tcPr>
                <w:p w14:paraId="104F29CC" w14:textId="77777777" w:rsidR="00665CF8" w:rsidRPr="00665CF8" w:rsidRDefault="00665CF8" w:rsidP="00873778">
                  <w:pPr>
                    <w:widowControl/>
                    <w:spacing w:line="240" w:lineRule="auto"/>
                    <w:jc w:val="center"/>
                    <w:rPr>
                      <w:rFonts w:ascii="仿宋" w:eastAsia="仿宋" w:hAnsi="仿宋" w:cs="Arial"/>
                      <w:kern w:val="0"/>
                      <w:sz w:val="20"/>
                      <w:szCs w:val="20"/>
                    </w:rPr>
                  </w:pPr>
                  <w:r w:rsidRPr="00665CF8">
                    <w:rPr>
                      <w:rFonts w:ascii="仿宋" w:eastAsia="仿宋" w:hAnsi="仿宋" w:cs="Arial"/>
                      <w:kern w:val="0"/>
                      <w:sz w:val="20"/>
                      <w:szCs w:val="20"/>
                    </w:rPr>
                    <w:t>鹏华双债增利</w:t>
                  </w:r>
                </w:p>
              </w:tc>
              <w:tc>
                <w:tcPr>
                  <w:tcW w:w="1701" w:type="dxa"/>
                  <w:shd w:val="clear" w:color="auto" w:fill="auto"/>
                  <w:noWrap/>
                  <w:vAlign w:val="bottom"/>
                  <w:hideMark/>
                </w:tcPr>
                <w:p w14:paraId="48031ED2" w14:textId="77777777" w:rsidR="00665CF8" w:rsidRPr="00665CF8" w:rsidRDefault="00665CF8" w:rsidP="00873778">
                  <w:pPr>
                    <w:widowControl/>
                    <w:spacing w:line="240" w:lineRule="auto"/>
                    <w:jc w:val="center"/>
                    <w:rPr>
                      <w:rFonts w:ascii="仿宋" w:eastAsia="仿宋" w:hAnsi="仿宋" w:cs="Arial"/>
                      <w:kern w:val="0"/>
                      <w:sz w:val="20"/>
                      <w:szCs w:val="20"/>
                    </w:rPr>
                  </w:pPr>
                  <w:r w:rsidRPr="00665CF8">
                    <w:rPr>
                      <w:rFonts w:ascii="仿宋" w:eastAsia="仿宋" w:hAnsi="仿宋" w:cs="Arial"/>
                      <w:kern w:val="0"/>
                      <w:sz w:val="20"/>
                      <w:szCs w:val="20"/>
                    </w:rPr>
                    <w:t>2021-08-07</w:t>
                  </w:r>
                </w:p>
              </w:tc>
              <w:tc>
                <w:tcPr>
                  <w:tcW w:w="2126" w:type="dxa"/>
                  <w:shd w:val="clear" w:color="auto" w:fill="auto"/>
                  <w:noWrap/>
                  <w:vAlign w:val="bottom"/>
                  <w:hideMark/>
                </w:tcPr>
                <w:p w14:paraId="3AC24278" w14:textId="77777777" w:rsidR="00665CF8" w:rsidRPr="00665CF8" w:rsidRDefault="00665CF8" w:rsidP="00873778">
                  <w:pPr>
                    <w:widowControl/>
                    <w:spacing w:line="240" w:lineRule="auto"/>
                    <w:jc w:val="center"/>
                    <w:rPr>
                      <w:rFonts w:ascii="仿宋" w:eastAsia="仿宋" w:hAnsi="仿宋" w:cs="Arial"/>
                      <w:kern w:val="0"/>
                      <w:sz w:val="20"/>
                      <w:szCs w:val="20"/>
                    </w:rPr>
                  </w:pPr>
                  <w:r w:rsidRPr="00665CF8">
                    <w:rPr>
                      <w:rFonts w:ascii="仿宋" w:eastAsia="仿宋" w:hAnsi="仿宋" w:cs="Arial"/>
                      <w:kern w:val="0"/>
                      <w:sz w:val="20"/>
                      <w:szCs w:val="20"/>
                    </w:rPr>
                    <w:t>5.35%</w:t>
                  </w:r>
                </w:p>
              </w:tc>
              <w:tc>
                <w:tcPr>
                  <w:tcW w:w="2977" w:type="dxa"/>
                  <w:shd w:val="clear" w:color="auto" w:fill="auto"/>
                  <w:noWrap/>
                  <w:vAlign w:val="bottom"/>
                  <w:hideMark/>
                </w:tcPr>
                <w:p w14:paraId="497CC9D0" w14:textId="77777777" w:rsidR="00665CF8" w:rsidRPr="00665CF8" w:rsidRDefault="00665CF8" w:rsidP="00873778">
                  <w:pPr>
                    <w:widowControl/>
                    <w:spacing w:line="240" w:lineRule="auto"/>
                    <w:jc w:val="center"/>
                    <w:rPr>
                      <w:rFonts w:ascii="仿宋" w:eastAsia="仿宋" w:hAnsi="仿宋" w:cs="Arial"/>
                      <w:kern w:val="0"/>
                      <w:sz w:val="20"/>
                      <w:szCs w:val="20"/>
                    </w:rPr>
                  </w:pPr>
                  <w:r w:rsidRPr="00665CF8">
                    <w:rPr>
                      <w:rFonts w:ascii="仿宋" w:eastAsia="仿宋" w:hAnsi="仿宋" w:cs="Arial"/>
                      <w:kern w:val="0"/>
                      <w:sz w:val="20"/>
                      <w:szCs w:val="20"/>
                    </w:rPr>
                    <w:t>-0.79%</w:t>
                  </w:r>
                </w:p>
              </w:tc>
            </w:tr>
            <w:tr w:rsidR="00665CF8" w:rsidRPr="00665CF8" w14:paraId="661BA926" w14:textId="77777777" w:rsidTr="00873778">
              <w:trPr>
                <w:trHeight w:val="250"/>
              </w:trPr>
              <w:tc>
                <w:tcPr>
                  <w:tcW w:w="1158" w:type="dxa"/>
                  <w:shd w:val="clear" w:color="auto" w:fill="auto"/>
                  <w:noWrap/>
                  <w:vAlign w:val="bottom"/>
                  <w:hideMark/>
                </w:tcPr>
                <w:p w14:paraId="4E28583A" w14:textId="77777777" w:rsidR="00665CF8" w:rsidRPr="00665CF8" w:rsidRDefault="00665CF8" w:rsidP="00873778">
                  <w:pPr>
                    <w:widowControl/>
                    <w:spacing w:line="240" w:lineRule="auto"/>
                    <w:jc w:val="center"/>
                    <w:rPr>
                      <w:rFonts w:ascii="仿宋" w:eastAsia="仿宋" w:hAnsi="仿宋" w:cs="Arial"/>
                      <w:kern w:val="0"/>
                      <w:sz w:val="20"/>
                      <w:szCs w:val="20"/>
                    </w:rPr>
                  </w:pPr>
                  <w:r w:rsidRPr="00665CF8">
                    <w:rPr>
                      <w:rFonts w:ascii="仿宋" w:eastAsia="仿宋" w:hAnsi="仿宋" w:cs="Arial"/>
                      <w:kern w:val="0"/>
                      <w:sz w:val="20"/>
                      <w:szCs w:val="20"/>
                    </w:rPr>
                    <w:t>206008.OF</w:t>
                  </w:r>
                </w:p>
              </w:tc>
              <w:tc>
                <w:tcPr>
                  <w:tcW w:w="2268" w:type="dxa"/>
                  <w:shd w:val="clear" w:color="auto" w:fill="auto"/>
                  <w:noWrap/>
                  <w:vAlign w:val="bottom"/>
                  <w:hideMark/>
                </w:tcPr>
                <w:p w14:paraId="7CCD818F" w14:textId="77777777" w:rsidR="00665CF8" w:rsidRPr="00665CF8" w:rsidRDefault="00665CF8" w:rsidP="00873778">
                  <w:pPr>
                    <w:widowControl/>
                    <w:spacing w:line="240" w:lineRule="auto"/>
                    <w:jc w:val="center"/>
                    <w:rPr>
                      <w:rFonts w:ascii="仿宋" w:eastAsia="仿宋" w:hAnsi="仿宋" w:cs="Arial"/>
                      <w:kern w:val="0"/>
                      <w:sz w:val="20"/>
                      <w:szCs w:val="20"/>
                    </w:rPr>
                  </w:pPr>
                  <w:r w:rsidRPr="00665CF8">
                    <w:rPr>
                      <w:rFonts w:ascii="仿宋" w:eastAsia="仿宋" w:hAnsi="仿宋" w:cs="Arial"/>
                      <w:kern w:val="0"/>
                      <w:sz w:val="20"/>
                      <w:szCs w:val="20"/>
                    </w:rPr>
                    <w:t>鹏华丰盛稳固收益</w:t>
                  </w:r>
                </w:p>
              </w:tc>
              <w:tc>
                <w:tcPr>
                  <w:tcW w:w="1701" w:type="dxa"/>
                  <w:shd w:val="clear" w:color="auto" w:fill="auto"/>
                  <w:noWrap/>
                  <w:vAlign w:val="bottom"/>
                  <w:hideMark/>
                </w:tcPr>
                <w:p w14:paraId="72F038A4" w14:textId="77777777" w:rsidR="00665CF8" w:rsidRPr="00665CF8" w:rsidRDefault="00665CF8" w:rsidP="00873778">
                  <w:pPr>
                    <w:widowControl/>
                    <w:spacing w:line="240" w:lineRule="auto"/>
                    <w:jc w:val="center"/>
                    <w:rPr>
                      <w:rFonts w:ascii="仿宋" w:eastAsia="仿宋" w:hAnsi="仿宋" w:cs="Arial"/>
                      <w:kern w:val="0"/>
                      <w:sz w:val="20"/>
                      <w:szCs w:val="20"/>
                    </w:rPr>
                  </w:pPr>
                  <w:r w:rsidRPr="00665CF8">
                    <w:rPr>
                      <w:rFonts w:ascii="仿宋" w:eastAsia="仿宋" w:hAnsi="仿宋" w:cs="Arial"/>
                      <w:kern w:val="0"/>
                      <w:sz w:val="20"/>
                      <w:szCs w:val="20"/>
                    </w:rPr>
                    <w:t>2021-08-07</w:t>
                  </w:r>
                </w:p>
              </w:tc>
              <w:tc>
                <w:tcPr>
                  <w:tcW w:w="2126" w:type="dxa"/>
                  <w:shd w:val="clear" w:color="auto" w:fill="auto"/>
                  <w:noWrap/>
                  <w:vAlign w:val="bottom"/>
                  <w:hideMark/>
                </w:tcPr>
                <w:p w14:paraId="04B9E8CA" w14:textId="77777777" w:rsidR="00665CF8" w:rsidRPr="00665CF8" w:rsidRDefault="00665CF8" w:rsidP="00873778">
                  <w:pPr>
                    <w:widowControl/>
                    <w:spacing w:line="240" w:lineRule="auto"/>
                    <w:jc w:val="center"/>
                    <w:rPr>
                      <w:rFonts w:ascii="仿宋" w:eastAsia="仿宋" w:hAnsi="仿宋" w:cs="Arial"/>
                      <w:kern w:val="0"/>
                      <w:sz w:val="20"/>
                      <w:szCs w:val="20"/>
                    </w:rPr>
                  </w:pPr>
                  <w:r w:rsidRPr="00665CF8">
                    <w:rPr>
                      <w:rFonts w:ascii="仿宋" w:eastAsia="仿宋" w:hAnsi="仿宋" w:cs="Arial"/>
                      <w:kern w:val="0"/>
                      <w:sz w:val="20"/>
                      <w:szCs w:val="20"/>
                    </w:rPr>
                    <w:t>5.47%</w:t>
                  </w:r>
                </w:p>
              </w:tc>
              <w:tc>
                <w:tcPr>
                  <w:tcW w:w="2977" w:type="dxa"/>
                  <w:shd w:val="clear" w:color="auto" w:fill="auto"/>
                  <w:noWrap/>
                  <w:vAlign w:val="bottom"/>
                  <w:hideMark/>
                </w:tcPr>
                <w:p w14:paraId="6B242E93" w14:textId="77777777" w:rsidR="00665CF8" w:rsidRPr="00665CF8" w:rsidRDefault="00665CF8" w:rsidP="00873778">
                  <w:pPr>
                    <w:widowControl/>
                    <w:spacing w:line="240" w:lineRule="auto"/>
                    <w:jc w:val="center"/>
                    <w:rPr>
                      <w:rFonts w:ascii="仿宋" w:eastAsia="仿宋" w:hAnsi="仿宋" w:cs="Arial"/>
                      <w:kern w:val="0"/>
                      <w:sz w:val="20"/>
                      <w:szCs w:val="20"/>
                    </w:rPr>
                  </w:pPr>
                  <w:r w:rsidRPr="00665CF8">
                    <w:rPr>
                      <w:rFonts w:ascii="仿宋" w:eastAsia="仿宋" w:hAnsi="仿宋" w:cs="Arial"/>
                      <w:kern w:val="0"/>
                      <w:sz w:val="20"/>
                      <w:szCs w:val="20"/>
                    </w:rPr>
                    <w:t>-1.41%</w:t>
                  </w:r>
                </w:p>
              </w:tc>
            </w:tr>
          </w:tbl>
          <w:p w14:paraId="4E34F870" w14:textId="77777777" w:rsidR="004E4596" w:rsidRPr="00873778" w:rsidRDefault="00873778">
            <w:pPr>
              <w:rPr>
                <w:rFonts w:ascii="仿宋" w:eastAsia="仿宋" w:hAnsi="仿宋" w:cs="仿宋"/>
                <w:szCs w:val="24"/>
              </w:rPr>
            </w:pPr>
            <w:r w:rsidRPr="00873778">
              <w:rPr>
                <w:rFonts w:ascii="仿宋" w:eastAsia="仿宋" w:hAnsi="仿宋" w:cs="仿宋"/>
                <w:szCs w:val="24"/>
              </w:rPr>
              <w:t>数据来源</w:t>
            </w:r>
            <w:r w:rsidRPr="00873778">
              <w:rPr>
                <w:rFonts w:ascii="仿宋" w:eastAsia="仿宋" w:hAnsi="仿宋" w:cs="仿宋" w:hint="eastAsia"/>
                <w:szCs w:val="24"/>
              </w:rPr>
              <w:t>：</w:t>
            </w:r>
            <w:r w:rsidRPr="00873778">
              <w:rPr>
                <w:rFonts w:ascii="仿宋" w:eastAsia="仿宋" w:hAnsi="仿宋" w:cs="仿宋"/>
                <w:szCs w:val="24"/>
              </w:rPr>
              <w:t>wind</w:t>
            </w:r>
            <w:r w:rsidRPr="00873778">
              <w:rPr>
                <w:rFonts w:ascii="仿宋" w:eastAsia="仿宋" w:hAnsi="仿宋" w:cs="仿宋" w:hint="eastAsia"/>
                <w:szCs w:val="24"/>
              </w:rPr>
              <w:t>；</w:t>
            </w:r>
            <w:r w:rsidRPr="00873778">
              <w:rPr>
                <w:rFonts w:ascii="仿宋" w:eastAsia="仿宋" w:hAnsi="仿宋" w:cs="仿宋"/>
                <w:szCs w:val="24"/>
              </w:rPr>
              <w:t>数据截至</w:t>
            </w:r>
            <w:r w:rsidRPr="00873778">
              <w:rPr>
                <w:rFonts w:ascii="仿宋" w:eastAsia="仿宋" w:hAnsi="仿宋" w:cs="仿宋" w:hint="eastAsia"/>
                <w:szCs w:val="24"/>
              </w:rPr>
              <w:t>：2</w:t>
            </w:r>
            <w:r w:rsidRPr="00873778">
              <w:rPr>
                <w:rFonts w:ascii="仿宋" w:eastAsia="仿宋" w:hAnsi="仿宋" w:cs="仿宋"/>
                <w:szCs w:val="24"/>
              </w:rPr>
              <w:t>021/10/31</w:t>
            </w:r>
          </w:p>
          <w:p w14:paraId="612BAE29" w14:textId="77777777" w:rsidR="004E4596" w:rsidRDefault="004E4596">
            <w:pPr>
              <w:pStyle w:val="a0"/>
              <w:ind w:leftChars="0" w:left="0"/>
              <w:rPr>
                <w:rFonts w:ascii="仿宋" w:eastAsia="仿宋" w:hAnsi="仿宋" w:cs="仿宋"/>
                <w:sz w:val="24"/>
                <w:szCs w:val="24"/>
              </w:rPr>
            </w:pPr>
          </w:p>
          <w:p w14:paraId="63C5540D" w14:textId="77777777" w:rsidR="004E4596" w:rsidRDefault="00750C27">
            <w:pPr>
              <w:pStyle w:val="a0"/>
              <w:widowControl/>
              <w:spacing w:line="240" w:lineRule="auto"/>
              <w:ind w:leftChars="0" w:left="0"/>
              <w:jc w:val="left"/>
              <w:rPr>
                <w:rFonts w:ascii="仿宋" w:eastAsia="仿宋" w:hAnsi="仿宋" w:cs="仿宋"/>
                <w:sz w:val="24"/>
                <w:szCs w:val="24"/>
              </w:rPr>
            </w:pPr>
            <w:r>
              <w:rPr>
                <w:rFonts w:ascii="仿宋" w:eastAsia="仿宋" w:hAnsi="仿宋" w:cs="仿宋" w:hint="eastAsia"/>
                <w:sz w:val="24"/>
                <w:szCs w:val="24"/>
              </w:rPr>
              <w:t>3、投资目标及投资策略</w:t>
            </w:r>
          </w:p>
          <w:p w14:paraId="24366BEA" w14:textId="77777777" w:rsidR="004E4596" w:rsidRDefault="00750C27">
            <w:pPr>
              <w:pStyle w:val="a0"/>
              <w:widowControl/>
              <w:spacing w:line="240" w:lineRule="auto"/>
              <w:ind w:leftChars="0" w:left="0" w:firstLineChars="200" w:firstLine="480"/>
              <w:jc w:val="left"/>
              <w:rPr>
                <w:rFonts w:ascii="仿宋" w:eastAsia="仿宋" w:hAnsi="仿宋" w:cs="仿宋"/>
                <w:sz w:val="24"/>
                <w:szCs w:val="24"/>
              </w:rPr>
            </w:pPr>
            <w:r>
              <w:rPr>
                <w:rFonts w:ascii="仿宋" w:eastAsia="仿宋" w:hAnsi="仿宋" w:cs="仿宋" w:hint="eastAsia"/>
                <w:sz w:val="24"/>
                <w:szCs w:val="24"/>
              </w:rPr>
              <w:t>投资目标：</w:t>
            </w:r>
            <w:r w:rsidR="000D4903">
              <w:rPr>
                <w:rFonts w:ascii="仿宋" w:eastAsia="仿宋" w:hAnsi="仿宋" w:cs="仿宋" w:hint="eastAsia"/>
                <w:sz w:val="24"/>
                <w:szCs w:val="24"/>
              </w:rPr>
              <w:t>鹏华双债增利自2</w:t>
            </w:r>
            <w:r w:rsidR="000D4903">
              <w:rPr>
                <w:rFonts w:ascii="仿宋" w:eastAsia="仿宋" w:hAnsi="仿宋" w:cs="仿宋"/>
                <w:sz w:val="24"/>
                <w:szCs w:val="24"/>
              </w:rPr>
              <w:t>021年</w:t>
            </w:r>
            <w:r w:rsidR="000D4903">
              <w:rPr>
                <w:rFonts w:ascii="仿宋" w:eastAsia="仿宋" w:hAnsi="仿宋" w:cs="仿宋" w:hint="eastAsia"/>
                <w:sz w:val="24"/>
                <w:szCs w:val="24"/>
              </w:rPr>
              <w:t>8月起以绝对收益思路管理，力争在控制回撤的前提下实现年化6%-</w:t>
            </w:r>
            <w:r w:rsidR="000D4903">
              <w:rPr>
                <w:rFonts w:ascii="仿宋" w:eastAsia="仿宋" w:hAnsi="仿宋" w:cs="仿宋"/>
                <w:sz w:val="24"/>
                <w:szCs w:val="24"/>
              </w:rPr>
              <w:t>8</w:t>
            </w:r>
            <w:r w:rsidR="000D4903">
              <w:rPr>
                <w:rFonts w:ascii="仿宋" w:eastAsia="仿宋" w:hAnsi="仿宋" w:cs="仿宋" w:hint="eastAsia"/>
                <w:sz w:val="24"/>
                <w:szCs w:val="24"/>
              </w:rPr>
              <w:t>%</w:t>
            </w:r>
            <w:r w:rsidR="000D4903">
              <w:rPr>
                <w:rFonts w:ascii="仿宋" w:eastAsia="仿宋" w:hAnsi="仿宋" w:cs="仿宋"/>
                <w:sz w:val="24"/>
                <w:szCs w:val="24"/>
              </w:rPr>
              <w:t>的</w:t>
            </w:r>
            <w:r w:rsidR="000D4903">
              <w:rPr>
                <w:rFonts w:ascii="仿宋" w:eastAsia="仿宋" w:hAnsi="仿宋" w:cs="仿宋" w:hint="eastAsia"/>
                <w:sz w:val="24"/>
                <w:szCs w:val="24"/>
              </w:rPr>
              <w:t>目标收益。</w:t>
            </w:r>
          </w:p>
          <w:p w14:paraId="56D6A6C8" w14:textId="77777777" w:rsidR="004E4596" w:rsidRDefault="00750C27">
            <w:pPr>
              <w:widowControl/>
              <w:spacing w:line="240" w:lineRule="auto"/>
              <w:ind w:firstLineChars="200" w:firstLine="480"/>
              <w:jc w:val="left"/>
              <w:rPr>
                <w:rFonts w:ascii="仿宋" w:eastAsia="仿宋" w:hAnsi="仿宋" w:cs="仿宋"/>
                <w:sz w:val="24"/>
                <w:szCs w:val="24"/>
              </w:rPr>
            </w:pPr>
            <w:r>
              <w:rPr>
                <w:rFonts w:ascii="仿宋" w:eastAsia="仿宋" w:hAnsi="仿宋" w:cs="仿宋" w:hint="eastAsia"/>
                <w:sz w:val="24"/>
                <w:szCs w:val="24"/>
              </w:rPr>
              <w:t>配置思路：</w:t>
            </w:r>
            <w:r w:rsidR="000D4903" w:rsidRPr="000D4903">
              <w:rPr>
                <w:rFonts w:ascii="仿宋" w:eastAsia="仿宋" w:hAnsi="仿宋" w:cs="仿宋" w:hint="eastAsia"/>
                <w:sz w:val="24"/>
                <w:szCs w:val="24"/>
              </w:rPr>
              <w:t>基于绝对收益的产品特点，我们把业绩的稳定性放在第一位，控制回撤水平，以股债均衡为目标，追求风险调整后收益</w:t>
            </w:r>
            <w:r w:rsidR="000D4903">
              <w:rPr>
                <w:rFonts w:ascii="仿宋" w:eastAsia="仿宋" w:hAnsi="仿宋" w:cs="仿宋" w:hint="eastAsia"/>
                <w:sz w:val="24"/>
                <w:szCs w:val="24"/>
              </w:rPr>
              <w:t>。</w:t>
            </w:r>
          </w:p>
          <w:p w14:paraId="03C91808" w14:textId="77777777" w:rsidR="009B03D1" w:rsidRPr="000D4903" w:rsidRDefault="000D4903" w:rsidP="000D4903">
            <w:pPr>
              <w:pStyle w:val="a0"/>
              <w:widowControl/>
              <w:spacing w:line="240" w:lineRule="auto"/>
              <w:ind w:leftChars="0" w:left="0" w:firstLineChars="200" w:firstLine="480"/>
              <w:jc w:val="left"/>
              <w:rPr>
                <w:rFonts w:ascii="仿宋" w:eastAsia="仿宋" w:hAnsi="仿宋" w:cs="仿宋"/>
                <w:sz w:val="24"/>
                <w:szCs w:val="24"/>
              </w:rPr>
            </w:pPr>
            <w:r w:rsidRPr="000D4903">
              <w:rPr>
                <w:rFonts w:ascii="仿宋" w:eastAsia="仿宋" w:hAnsi="仿宋" w:cs="仿宋" w:hint="eastAsia"/>
                <w:sz w:val="24"/>
                <w:szCs w:val="24"/>
              </w:rPr>
              <w:t>追求绝对收益，期限匹配策略为主：</w:t>
            </w:r>
            <w:r w:rsidR="00750C27" w:rsidRPr="000D4903">
              <w:rPr>
                <w:rFonts w:ascii="仿宋" w:eastAsia="仿宋" w:hAnsi="仿宋" w:cs="仿宋" w:hint="eastAsia"/>
                <w:sz w:val="24"/>
                <w:szCs w:val="24"/>
              </w:rPr>
              <w:t>债券投资方面，对于有一定收益要求的绝对收益策略的组合，在固定收益投资方面，我们会以期限匹配策略为主，获取稳定的票息收益。如有非常明确的机会，也参与利率债的波段交易</w:t>
            </w:r>
            <w:r w:rsidRPr="000D4903">
              <w:rPr>
                <w:rFonts w:ascii="仿宋" w:eastAsia="仿宋" w:hAnsi="仿宋" w:cs="仿宋" w:hint="eastAsia"/>
                <w:sz w:val="24"/>
                <w:szCs w:val="24"/>
              </w:rPr>
              <w:t>；</w:t>
            </w:r>
            <w:r w:rsidR="00750C27" w:rsidRPr="000D4903">
              <w:rPr>
                <w:rFonts w:ascii="仿宋" w:eastAsia="仿宋" w:hAnsi="仿宋" w:cs="仿宋" w:hint="eastAsia"/>
                <w:sz w:val="24"/>
                <w:szCs w:val="24"/>
              </w:rPr>
              <w:t>具体来看，</w:t>
            </w:r>
            <w:r w:rsidR="00665CF8">
              <w:rPr>
                <w:rFonts w:ascii="仿宋" w:eastAsia="仿宋" w:hAnsi="仿宋" w:cs="仿宋" w:hint="eastAsia"/>
                <w:sz w:val="24"/>
                <w:szCs w:val="24"/>
              </w:rPr>
              <w:t>固收+</w:t>
            </w:r>
            <w:r w:rsidR="00750C27" w:rsidRPr="000D4903">
              <w:rPr>
                <w:rFonts w:ascii="仿宋" w:eastAsia="仿宋" w:hAnsi="仿宋" w:cs="仿宋" w:hint="eastAsia"/>
                <w:sz w:val="24"/>
                <w:szCs w:val="24"/>
              </w:rPr>
              <w:t>组合久期上限为</w:t>
            </w:r>
            <w:r w:rsidR="00750C27" w:rsidRPr="000D4903">
              <w:rPr>
                <w:rFonts w:ascii="仿宋" w:eastAsia="仿宋" w:hAnsi="仿宋" w:cs="仿宋"/>
                <w:sz w:val="24"/>
                <w:szCs w:val="24"/>
              </w:rPr>
              <w:t>3</w:t>
            </w:r>
            <w:r w:rsidR="00750C27" w:rsidRPr="000D4903">
              <w:rPr>
                <w:rFonts w:ascii="仿宋" w:eastAsia="仿宋" w:hAnsi="仿宋" w:cs="仿宋" w:hint="eastAsia"/>
                <w:sz w:val="24"/>
                <w:szCs w:val="24"/>
              </w:rPr>
              <w:t>年</w:t>
            </w:r>
            <w:r w:rsidRPr="000D4903">
              <w:rPr>
                <w:rFonts w:ascii="仿宋" w:eastAsia="仿宋" w:hAnsi="仿宋" w:cs="仿宋" w:hint="eastAsia"/>
                <w:sz w:val="24"/>
                <w:szCs w:val="24"/>
              </w:rPr>
              <w:t>。</w:t>
            </w:r>
          </w:p>
          <w:p w14:paraId="54ABA86C" w14:textId="77777777" w:rsidR="000D4903" w:rsidRPr="000D4903" w:rsidRDefault="000D4903" w:rsidP="000D4903">
            <w:pPr>
              <w:pStyle w:val="a0"/>
              <w:widowControl/>
              <w:spacing w:line="240" w:lineRule="auto"/>
              <w:ind w:leftChars="0" w:left="0" w:firstLineChars="200" w:firstLine="480"/>
              <w:jc w:val="left"/>
              <w:rPr>
                <w:rFonts w:ascii="仿宋" w:eastAsia="仿宋" w:hAnsi="仿宋" w:cs="仿宋"/>
                <w:sz w:val="24"/>
                <w:szCs w:val="24"/>
              </w:rPr>
            </w:pPr>
            <w:r w:rsidRPr="000D4903">
              <w:rPr>
                <w:rFonts w:ascii="仿宋" w:eastAsia="仿宋" w:hAnsi="仿宋" w:cs="仿宋"/>
                <w:sz w:val="24"/>
                <w:szCs w:val="24"/>
              </w:rPr>
              <w:t>宏观驱动</w:t>
            </w:r>
            <w:r w:rsidRPr="000D4903">
              <w:rPr>
                <w:rFonts w:ascii="仿宋" w:eastAsia="仿宋" w:hAnsi="仿宋" w:cs="仿宋" w:hint="eastAsia"/>
                <w:sz w:val="24"/>
                <w:szCs w:val="24"/>
              </w:rPr>
              <w:t>：权益投资方面，我们基于与固定收益投资相同的“自上而下”的投资理念进行大类资产配置。通过对宏观经济、货币政策、财政政策、流动性、市场估值等全方位的评估进行仓位的管理</w:t>
            </w:r>
          </w:p>
          <w:p w14:paraId="586915F1" w14:textId="77777777" w:rsidR="000D4903" w:rsidRPr="000D4903" w:rsidRDefault="000D4903" w:rsidP="000D4903">
            <w:pPr>
              <w:pStyle w:val="a0"/>
              <w:widowControl/>
              <w:spacing w:line="240" w:lineRule="auto"/>
              <w:ind w:leftChars="0" w:left="0" w:firstLineChars="200" w:firstLine="480"/>
              <w:jc w:val="left"/>
              <w:rPr>
                <w:rFonts w:ascii="仿宋" w:eastAsia="仿宋" w:hAnsi="仿宋" w:cs="仿宋"/>
                <w:sz w:val="24"/>
                <w:szCs w:val="24"/>
              </w:rPr>
            </w:pPr>
            <w:r w:rsidRPr="000D4903">
              <w:rPr>
                <w:rFonts w:ascii="仿宋" w:eastAsia="仿宋" w:hAnsi="仿宋" w:cs="仿宋"/>
                <w:sz w:val="24"/>
                <w:szCs w:val="24"/>
              </w:rPr>
              <w:t>行业轮动</w:t>
            </w:r>
            <w:r w:rsidRPr="000D4903">
              <w:rPr>
                <w:rFonts w:ascii="仿宋" w:eastAsia="仿宋" w:hAnsi="仿宋" w:cs="仿宋" w:hint="eastAsia"/>
                <w:sz w:val="24"/>
                <w:szCs w:val="24"/>
              </w:rPr>
              <w:t>：通过对基本面、产业政策、行业景气度等进行行业比较，集中配置3-5个行业，在行业轮动中获取收益并控制组合回撤。最后，在我们选择的行业中精选个股。在个股的选择方面，我们会依靠权益研究部、固收部研究员及对公司调研的基础上，自下而上精选个股，分散投资。</w:t>
            </w:r>
          </w:p>
          <w:p w14:paraId="527BAF2B" w14:textId="77777777" w:rsidR="00343C2E" w:rsidRPr="00343C2E" w:rsidRDefault="00750C27" w:rsidP="00343C2E">
            <w:pPr>
              <w:pStyle w:val="a0"/>
              <w:widowControl/>
              <w:spacing w:line="240" w:lineRule="auto"/>
              <w:ind w:leftChars="0" w:left="0" w:firstLineChars="200" w:firstLine="480"/>
              <w:jc w:val="left"/>
              <w:rPr>
                <w:rFonts w:ascii="仿宋" w:eastAsia="仿宋" w:hAnsi="仿宋" w:cs="仿宋"/>
                <w:sz w:val="24"/>
                <w:szCs w:val="24"/>
              </w:rPr>
            </w:pPr>
            <w:r>
              <w:rPr>
                <w:rFonts w:ascii="仿宋" w:eastAsia="仿宋" w:hAnsi="仿宋" w:cs="仿宋" w:hint="eastAsia"/>
                <w:sz w:val="24"/>
                <w:szCs w:val="24"/>
              </w:rPr>
              <w:t>当前市场观点及持仓情况：</w:t>
            </w:r>
            <w:r w:rsidR="00343C2E" w:rsidRPr="00343C2E">
              <w:rPr>
                <w:rFonts w:ascii="仿宋" w:eastAsia="仿宋" w:hAnsi="仿宋" w:cs="仿宋" w:hint="eastAsia"/>
                <w:sz w:val="24"/>
                <w:szCs w:val="24"/>
              </w:rPr>
              <w:t>我们看到经济基本面出现边际回落，央行通过降准的方式向市场增加流动性，整体债券市场迎来增量资金，叠加地方债的发行节奏依然偏慢，市场整体呈现出一定的投资机会，本基金适当增加了中长期债券的配置，提升组合久期。</w:t>
            </w:r>
          </w:p>
          <w:p w14:paraId="6DFBDEAF" w14:textId="77777777" w:rsidR="00343C2E" w:rsidRPr="00343C2E" w:rsidRDefault="00343C2E" w:rsidP="00343C2E">
            <w:pPr>
              <w:pStyle w:val="a0"/>
              <w:widowControl/>
              <w:spacing w:line="240" w:lineRule="auto"/>
              <w:ind w:leftChars="0" w:left="0" w:firstLineChars="200" w:firstLine="480"/>
              <w:jc w:val="left"/>
              <w:rPr>
                <w:rFonts w:ascii="仿宋" w:eastAsia="仿宋" w:hAnsi="仿宋" w:cs="仿宋"/>
                <w:sz w:val="24"/>
                <w:szCs w:val="24"/>
              </w:rPr>
            </w:pPr>
            <w:r w:rsidRPr="00343C2E">
              <w:rPr>
                <w:rFonts w:ascii="仿宋" w:eastAsia="仿宋" w:hAnsi="仿宋" w:cs="仿宋" w:hint="eastAsia"/>
                <w:sz w:val="24"/>
                <w:szCs w:val="24"/>
              </w:rPr>
              <w:t>展望后市，我们认为当前经济依然面临挑战，货币政策大概率延续稳健灵活适度的基调，债券市场整体环境依然较好。但信用方面，我们认为当前的信用利差整体水平相对偏低，信用风险尚未得到明显的释放，整体信用层面主要关注中高评级，对信用风险保持谨慎。</w:t>
            </w:r>
          </w:p>
          <w:p w14:paraId="729AC626" w14:textId="77777777" w:rsidR="004E4596" w:rsidRDefault="00343C2E" w:rsidP="00343C2E">
            <w:pPr>
              <w:pStyle w:val="a0"/>
              <w:widowControl/>
              <w:spacing w:line="240" w:lineRule="auto"/>
              <w:ind w:leftChars="0" w:left="0" w:firstLineChars="200" w:firstLine="480"/>
              <w:jc w:val="left"/>
              <w:rPr>
                <w:rFonts w:ascii="仿宋" w:eastAsia="仿宋" w:hAnsi="仿宋" w:cs="仿宋"/>
                <w:sz w:val="24"/>
                <w:szCs w:val="24"/>
              </w:rPr>
            </w:pPr>
            <w:r w:rsidRPr="00343C2E">
              <w:rPr>
                <w:rFonts w:ascii="仿宋" w:eastAsia="仿宋" w:hAnsi="仿宋" w:cs="仿宋" w:hint="eastAsia"/>
                <w:sz w:val="24"/>
                <w:szCs w:val="24"/>
              </w:rPr>
              <w:t>2021</w:t>
            </w:r>
            <w:r>
              <w:rPr>
                <w:rFonts w:ascii="仿宋" w:eastAsia="仿宋" w:hAnsi="仿宋" w:cs="仿宋" w:hint="eastAsia"/>
                <w:sz w:val="24"/>
                <w:szCs w:val="24"/>
              </w:rPr>
              <w:t>年四</w:t>
            </w:r>
            <w:r w:rsidRPr="00343C2E">
              <w:rPr>
                <w:rFonts w:ascii="仿宋" w:eastAsia="仿宋" w:hAnsi="仿宋" w:cs="仿宋" w:hint="eastAsia"/>
                <w:sz w:val="24"/>
                <w:szCs w:val="24"/>
              </w:rPr>
              <w:t>季度权益市场延续分化的态势，消费、医药表现</w:t>
            </w:r>
            <w:r>
              <w:rPr>
                <w:rFonts w:ascii="仿宋" w:eastAsia="仿宋" w:hAnsi="仿宋" w:cs="仿宋" w:hint="eastAsia"/>
                <w:sz w:val="24"/>
                <w:szCs w:val="24"/>
              </w:rPr>
              <w:t>相对偏弱，市场关注的焦点聚集在当前较为突出的能源供应上，我们在四</w:t>
            </w:r>
            <w:r w:rsidRPr="00343C2E">
              <w:rPr>
                <w:rFonts w:ascii="仿宋" w:eastAsia="仿宋" w:hAnsi="仿宋" w:cs="仿宋" w:hint="eastAsia"/>
                <w:sz w:val="24"/>
                <w:szCs w:val="24"/>
              </w:rPr>
              <w:t>季度加大了对能源问题的关注，积极寻找其中相关的投资机会。同时我们认为新能源、半导体、工业软件、军工、医药等泛科技和高端制造领域在未来几年依然是较好的投资方向，我们将持续对相应的投资机会保持关注。</w:t>
            </w:r>
          </w:p>
          <w:p w14:paraId="36B09345" w14:textId="77777777" w:rsidR="00343C2E" w:rsidRPr="00343C2E" w:rsidRDefault="00343C2E" w:rsidP="00343C2E">
            <w:r>
              <w:rPr>
                <w:rFonts w:hint="eastAsia"/>
              </w:rPr>
              <w:t xml:space="preserve"> </w:t>
            </w:r>
            <w:r>
              <w:t xml:space="preserve">    </w:t>
            </w:r>
            <w:r w:rsidRPr="00343C2E">
              <w:rPr>
                <w:rFonts w:ascii="仿宋" w:eastAsia="仿宋" w:hAnsi="仿宋" w:cs="仿宋"/>
                <w:sz w:val="24"/>
                <w:szCs w:val="24"/>
              </w:rPr>
              <w:t>从目前鹏华双债增利的具体持仓行业来看</w:t>
            </w:r>
            <w:r w:rsidRPr="00343C2E">
              <w:rPr>
                <w:rFonts w:ascii="仿宋" w:eastAsia="仿宋" w:hAnsi="仿宋" w:cs="仿宋" w:hint="eastAsia"/>
                <w:sz w:val="24"/>
                <w:szCs w:val="24"/>
              </w:rPr>
              <w:t>，</w:t>
            </w:r>
            <w:r w:rsidRPr="00343C2E">
              <w:rPr>
                <w:rFonts w:ascii="仿宋" w:eastAsia="仿宋" w:hAnsi="仿宋" w:cs="仿宋"/>
                <w:sz w:val="24"/>
                <w:szCs w:val="24"/>
              </w:rPr>
              <w:t>电力设备</w:t>
            </w:r>
            <w:r w:rsidRPr="00343C2E">
              <w:rPr>
                <w:rFonts w:ascii="仿宋" w:eastAsia="仿宋" w:hAnsi="仿宋" w:cs="仿宋" w:hint="eastAsia"/>
                <w:sz w:val="24"/>
                <w:szCs w:val="24"/>
              </w:rPr>
              <w:t>，</w:t>
            </w:r>
            <w:r w:rsidRPr="00343C2E">
              <w:rPr>
                <w:rFonts w:ascii="仿宋" w:eastAsia="仿宋" w:hAnsi="仿宋" w:cs="仿宋"/>
                <w:sz w:val="24"/>
                <w:szCs w:val="24"/>
              </w:rPr>
              <w:t>占比</w:t>
            </w:r>
            <w:r w:rsidRPr="00343C2E">
              <w:rPr>
                <w:rFonts w:ascii="仿宋" w:eastAsia="仿宋" w:hAnsi="仿宋" w:cs="仿宋" w:hint="eastAsia"/>
                <w:sz w:val="24"/>
                <w:szCs w:val="24"/>
              </w:rPr>
              <w:t>2</w:t>
            </w:r>
            <w:r w:rsidRPr="00343C2E">
              <w:rPr>
                <w:rFonts w:ascii="仿宋" w:eastAsia="仿宋" w:hAnsi="仿宋" w:cs="仿宋"/>
                <w:sz w:val="24"/>
                <w:szCs w:val="24"/>
              </w:rPr>
              <w:t>.08</w:t>
            </w:r>
            <w:r w:rsidRPr="00343C2E">
              <w:rPr>
                <w:rFonts w:ascii="仿宋" w:eastAsia="仿宋" w:hAnsi="仿宋" w:cs="仿宋" w:hint="eastAsia"/>
                <w:sz w:val="24"/>
                <w:szCs w:val="24"/>
              </w:rPr>
              <w:t>%；</w:t>
            </w:r>
            <w:r w:rsidRPr="00343C2E">
              <w:rPr>
                <w:rFonts w:ascii="仿宋" w:eastAsia="仿宋" w:hAnsi="仿宋" w:cs="仿宋"/>
                <w:sz w:val="24"/>
                <w:szCs w:val="24"/>
              </w:rPr>
              <w:t>银行</w:t>
            </w:r>
            <w:r w:rsidRPr="00343C2E">
              <w:rPr>
                <w:rFonts w:ascii="仿宋" w:eastAsia="仿宋" w:hAnsi="仿宋" w:cs="仿宋" w:hint="eastAsia"/>
                <w:sz w:val="24"/>
                <w:szCs w:val="24"/>
              </w:rPr>
              <w:t>，</w:t>
            </w:r>
            <w:r w:rsidRPr="00343C2E">
              <w:rPr>
                <w:rFonts w:ascii="仿宋" w:eastAsia="仿宋" w:hAnsi="仿宋" w:cs="仿宋"/>
                <w:sz w:val="24"/>
                <w:szCs w:val="24"/>
              </w:rPr>
              <w:t>占比</w:t>
            </w:r>
            <w:r w:rsidRPr="00343C2E">
              <w:rPr>
                <w:rFonts w:ascii="仿宋" w:eastAsia="仿宋" w:hAnsi="仿宋" w:cs="仿宋" w:hint="eastAsia"/>
                <w:sz w:val="24"/>
                <w:szCs w:val="24"/>
              </w:rPr>
              <w:t>1</w:t>
            </w:r>
            <w:r w:rsidRPr="00343C2E">
              <w:rPr>
                <w:rFonts w:ascii="仿宋" w:eastAsia="仿宋" w:hAnsi="仿宋" w:cs="仿宋"/>
                <w:sz w:val="24"/>
                <w:szCs w:val="24"/>
              </w:rPr>
              <w:t>.56</w:t>
            </w:r>
            <w:r w:rsidRPr="00343C2E">
              <w:rPr>
                <w:rFonts w:ascii="仿宋" w:eastAsia="仿宋" w:hAnsi="仿宋" w:cs="仿宋" w:hint="eastAsia"/>
                <w:sz w:val="24"/>
                <w:szCs w:val="24"/>
              </w:rPr>
              <w:t>%；</w:t>
            </w:r>
            <w:r w:rsidRPr="00343C2E">
              <w:rPr>
                <w:rFonts w:ascii="仿宋" w:eastAsia="仿宋" w:hAnsi="仿宋" w:cs="仿宋"/>
                <w:sz w:val="24"/>
                <w:szCs w:val="24"/>
              </w:rPr>
              <w:t>房地产</w:t>
            </w:r>
            <w:r w:rsidRPr="00343C2E">
              <w:rPr>
                <w:rFonts w:ascii="仿宋" w:eastAsia="仿宋" w:hAnsi="仿宋" w:cs="仿宋" w:hint="eastAsia"/>
                <w:sz w:val="24"/>
                <w:szCs w:val="24"/>
              </w:rPr>
              <w:t>，</w:t>
            </w:r>
            <w:r w:rsidRPr="00343C2E">
              <w:rPr>
                <w:rFonts w:ascii="仿宋" w:eastAsia="仿宋" w:hAnsi="仿宋" w:cs="仿宋"/>
                <w:sz w:val="24"/>
                <w:szCs w:val="24"/>
              </w:rPr>
              <w:t>占比</w:t>
            </w:r>
            <w:r w:rsidRPr="00343C2E">
              <w:rPr>
                <w:rFonts w:ascii="仿宋" w:eastAsia="仿宋" w:hAnsi="仿宋" w:cs="仿宋" w:hint="eastAsia"/>
                <w:sz w:val="24"/>
                <w:szCs w:val="24"/>
              </w:rPr>
              <w:t>1</w:t>
            </w:r>
            <w:r w:rsidRPr="00343C2E">
              <w:rPr>
                <w:rFonts w:ascii="仿宋" w:eastAsia="仿宋" w:hAnsi="仿宋" w:cs="仿宋"/>
                <w:sz w:val="24"/>
                <w:szCs w:val="24"/>
              </w:rPr>
              <w:t>.30</w:t>
            </w:r>
            <w:r w:rsidRPr="00343C2E">
              <w:rPr>
                <w:rFonts w:ascii="仿宋" w:eastAsia="仿宋" w:hAnsi="仿宋" w:cs="仿宋" w:hint="eastAsia"/>
                <w:sz w:val="24"/>
                <w:szCs w:val="24"/>
              </w:rPr>
              <w:t>%。</w:t>
            </w:r>
          </w:p>
          <w:p w14:paraId="2F0E9476" w14:textId="77777777" w:rsidR="004E4596" w:rsidRDefault="00750C27">
            <w:pPr>
              <w:widowControl/>
              <w:numPr>
                <w:ilvl w:val="0"/>
                <w:numId w:val="1"/>
              </w:numPr>
              <w:spacing w:line="240" w:lineRule="auto"/>
              <w:jc w:val="left"/>
              <w:rPr>
                <w:rFonts w:ascii="仿宋" w:eastAsia="仿宋" w:hAnsi="仿宋" w:cs="仿宋"/>
                <w:sz w:val="24"/>
                <w:szCs w:val="24"/>
              </w:rPr>
            </w:pPr>
            <w:r>
              <w:rPr>
                <w:rFonts w:ascii="仿宋" w:eastAsia="仿宋" w:hAnsi="仿宋" w:cs="仿宋" w:hint="eastAsia"/>
                <w:sz w:val="24"/>
                <w:szCs w:val="24"/>
              </w:rPr>
              <w:t>风险分析：</w:t>
            </w:r>
            <w:r w:rsidR="00343C2E">
              <w:rPr>
                <w:rFonts w:ascii="仿宋" w:eastAsia="仿宋" w:hAnsi="仿宋" w:cs="仿宋" w:hint="eastAsia"/>
                <w:sz w:val="24"/>
                <w:szCs w:val="24"/>
              </w:rPr>
              <w:t>鹏华双债增利在调整为绝对收益思路管理后，暂不投资于转债，特别注重控制回撤，目前来看，控制回撤效果良好。</w:t>
            </w:r>
          </w:p>
          <w:p w14:paraId="5D6236E7" w14:textId="77777777" w:rsidR="004E4596" w:rsidRDefault="00750C27">
            <w:pPr>
              <w:pStyle w:val="a0"/>
              <w:ind w:leftChars="0" w:left="0"/>
              <w:rPr>
                <w:rFonts w:ascii="仿宋" w:eastAsia="仿宋" w:hAnsi="仿宋" w:cs="仿宋"/>
              </w:rPr>
            </w:pPr>
            <w:r>
              <w:rPr>
                <w:rFonts w:ascii="仿宋" w:eastAsia="仿宋" w:hAnsi="仿宋" w:cs="仿宋" w:hint="eastAsia"/>
                <w:b/>
                <w:bCs/>
                <w:sz w:val="24"/>
                <w:szCs w:val="24"/>
              </w:rPr>
              <w:t>五、申请理由：</w:t>
            </w:r>
            <w:r w:rsidR="000D4903">
              <w:rPr>
                <w:rFonts w:ascii="仿宋" w:eastAsia="仿宋" w:hAnsi="仿宋" w:cs="仿宋" w:hint="eastAsia"/>
                <w:b/>
                <w:bCs/>
                <w:sz w:val="24"/>
                <w:szCs w:val="24"/>
              </w:rPr>
              <w:t>因该投资团队负责人张佳管理固收+产品精要丰富，且业绩优秀，特此申请其管理的鹏华双债增利（0</w:t>
            </w:r>
            <w:r w:rsidR="000D4903">
              <w:rPr>
                <w:rFonts w:ascii="仿宋" w:eastAsia="仿宋" w:hAnsi="仿宋" w:cs="仿宋"/>
                <w:b/>
                <w:bCs/>
                <w:sz w:val="24"/>
                <w:szCs w:val="24"/>
              </w:rPr>
              <w:t>00054</w:t>
            </w:r>
            <w:r w:rsidR="000D4903">
              <w:rPr>
                <w:rFonts w:ascii="仿宋" w:eastAsia="仿宋" w:hAnsi="仿宋" w:cs="仿宋" w:hint="eastAsia"/>
                <w:b/>
                <w:bCs/>
                <w:sz w:val="24"/>
                <w:szCs w:val="24"/>
              </w:rPr>
              <w:t>）入库。</w:t>
            </w:r>
          </w:p>
        </w:tc>
      </w:tr>
    </w:tbl>
    <w:p w14:paraId="24A509CE" w14:textId="77777777" w:rsidR="004E4596" w:rsidRDefault="004E4596"/>
    <w:sectPr w:rsidR="004E45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17C7F" w14:textId="77777777" w:rsidR="00953B49" w:rsidRDefault="00953B49">
      <w:pPr>
        <w:spacing w:line="240" w:lineRule="auto"/>
      </w:pPr>
      <w:r>
        <w:separator/>
      </w:r>
    </w:p>
  </w:endnote>
  <w:endnote w:type="continuationSeparator" w:id="0">
    <w:p w14:paraId="7D3FD57A" w14:textId="77777777" w:rsidR="00953B49" w:rsidRDefault="00953B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96823" w14:textId="77777777" w:rsidR="00953B49" w:rsidRDefault="00953B49">
      <w:pPr>
        <w:spacing w:line="240" w:lineRule="auto"/>
      </w:pPr>
      <w:r>
        <w:separator/>
      </w:r>
    </w:p>
  </w:footnote>
  <w:footnote w:type="continuationSeparator" w:id="0">
    <w:p w14:paraId="601C5912" w14:textId="77777777" w:rsidR="00953B49" w:rsidRDefault="00953B4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0765DBD"/>
    <w:multiLevelType w:val="singleLevel"/>
    <w:tmpl w:val="D0765DBD"/>
    <w:lvl w:ilvl="0">
      <w:start w:val="4"/>
      <w:numFmt w:val="chineseCounting"/>
      <w:suff w:val="nothing"/>
      <w:lvlText w:val="%1、"/>
      <w:lvlJc w:val="left"/>
      <w:rPr>
        <w:rFonts w:hint="eastAsia"/>
      </w:rPr>
    </w:lvl>
  </w:abstractNum>
  <w:abstractNum w:abstractNumId="1" w15:restartNumberingAfterBreak="0">
    <w:nsid w:val="1AEA4020"/>
    <w:multiLevelType w:val="hybridMultilevel"/>
    <w:tmpl w:val="A7666810"/>
    <w:lvl w:ilvl="0" w:tplc="BBFE92EE">
      <w:start w:val="1"/>
      <w:numFmt w:val="bullet"/>
      <w:lvlText w:val=""/>
      <w:lvlJc w:val="left"/>
      <w:pPr>
        <w:tabs>
          <w:tab w:val="num" w:pos="720"/>
        </w:tabs>
        <w:ind w:left="720" w:hanging="360"/>
      </w:pPr>
      <w:rPr>
        <w:rFonts w:ascii="Wingdings" w:hAnsi="Wingdings" w:hint="default"/>
      </w:rPr>
    </w:lvl>
    <w:lvl w:ilvl="1" w:tplc="41CA63CC" w:tentative="1">
      <w:start w:val="1"/>
      <w:numFmt w:val="bullet"/>
      <w:lvlText w:val=""/>
      <w:lvlJc w:val="left"/>
      <w:pPr>
        <w:tabs>
          <w:tab w:val="num" w:pos="1440"/>
        </w:tabs>
        <w:ind w:left="1440" w:hanging="360"/>
      </w:pPr>
      <w:rPr>
        <w:rFonts w:ascii="Wingdings" w:hAnsi="Wingdings" w:hint="default"/>
      </w:rPr>
    </w:lvl>
    <w:lvl w:ilvl="2" w:tplc="E0441EFA" w:tentative="1">
      <w:start w:val="1"/>
      <w:numFmt w:val="bullet"/>
      <w:lvlText w:val=""/>
      <w:lvlJc w:val="left"/>
      <w:pPr>
        <w:tabs>
          <w:tab w:val="num" w:pos="2160"/>
        </w:tabs>
        <w:ind w:left="2160" w:hanging="360"/>
      </w:pPr>
      <w:rPr>
        <w:rFonts w:ascii="Wingdings" w:hAnsi="Wingdings" w:hint="default"/>
      </w:rPr>
    </w:lvl>
    <w:lvl w:ilvl="3" w:tplc="DB46915E" w:tentative="1">
      <w:start w:val="1"/>
      <w:numFmt w:val="bullet"/>
      <w:lvlText w:val=""/>
      <w:lvlJc w:val="left"/>
      <w:pPr>
        <w:tabs>
          <w:tab w:val="num" w:pos="2880"/>
        </w:tabs>
        <w:ind w:left="2880" w:hanging="360"/>
      </w:pPr>
      <w:rPr>
        <w:rFonts w:ascii="Wingdings" w:hAnsi="Wingdings" w:hint="default"/>
      </w:rPr>
    </w:lvl>
    <w:lvl w:ilvl="4" w:tplc="3E0A95A8" w:tentative="1">
      <w:start w:val="1"/>
      <w:numFmt w:val="bullet"/>
      <w:lvlText w:val=""/>
      <w:lvlJc w:val="left"/>
      <w:pPr>
        <w:tabs>
          <w:tab w:val="num" w:pos="3600"/>
        </w:tabs>
        <w:ind w:left="3600" w:hanging="360"/>
      </w:pPr>
      <w:rPr>
        <w:rFonts w:ascii="Wingdings" w:hAnsi="Wingdings" w:hint="default"/>
      </w:rPr>
    </w:lvl>
    <w:lvl w:ilvl="5" w:tplc="E048A9CE" w:tentative="1">
      <w:start w:val="1"/>
      <w:numFmt w:val="bullet"/>
      <w:lvlText w:val=""/>
      <w:lvlJc w:val="left"/>
      <w:pPr>
        <w:tabs>
          <w:tab w:val="num" w:pos="4320"/>
        </w:tabs>
        <w:ind w:left="4320" w:hanging="360"/>
      </w:pPr>
      <w:rPr>
        <w:rFonts w:ascii="Wingdings" w:hAnsi="Wingdings" w:hint="default"/>
      </w:rPr>
    </w:lvl>
    <w:lvl w:ilvl="6" w:tplc="F42E429C" w:tentative="1">
      <w:start w:val="1"/>
      <w:numFmt w:val="bullet"/>
      <w:lvlText w:val=""/>
      <w:lvlJc w:val="left"/>
      <w:pPr>
        <w:tabs>
          <w:tab w:val="num" w:pos="5040"/>
        </w:tabs>
        <w:ind w:left="5040" w:hanging="360"/>
      </w:pPr>
      <w:rPr>
        <w:rFonts w:ascii="Wingdings" w:hAnsi="Wingdings" w:hint="default"/>
      </w:rPr>
    </w:lvl>
    <w:lvl w:ilvl="7" w:tplc="B712CA1E" w:tentative="1">
      <w:start w:val="1"/>
      <w:numFmt w:val="bullet"/>
      <w:lvlText w:val=""/>
      <w:lvlJc w:val="left"/>
      <w:pPr>
        <w:tabs>
          <w:tab w:val="num" w:pos="5760"/>
        </w:tabs>
        <w:ind w:left="5760" w:hanging="360"/>
      </w:pPr>
      <w:rPr>
        <w:rFonts w:ascii="Wingdings" w:hAnsi="Wingdings" w:hint="default"/>
      </w:rPr>
    </w:lvl>
    <w:lvl w:ilvl="8" w:tplc="886C0B26"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F82591"/>
    <w:rsid w:val="000D4903"/>
    <w:rsid w:val="000D58A6"/>
    <w:rsid w:val="000E24B4"/>
    <w:rsid w:val="001474B9"/>
    <w:rsid w:val="0020410F"/>
    <w:rsid w:val="002247B4"/>
    <w:rsid w:val="00251E5D"/>
    <w:rsid w:val="00275D6D"/>
    <w:rsid w:val="00296CC2"/>
    <w:rsid w:val="002A39D3"/>
    <w:rsid w:val="002D73B4"/>
    <w:rsid w:val="003134FE"/>
    <w:rsid w:val="00333906"/>
    <w:rsid w:val="00343C2E"/>
    <w:rsid w:val="0038302E"/>
    <w:rsid w:val="00387DD9"/>
    <w:rsid w:val="003E2FC7"/>
    <w:rsid w:val="003E4F7D"/>
    <w:rsid w:val="003F5295"/>
    <w:rsid w:val="00417039"/>
    <w:rsid w:val="004816A9"/>
    <w:rsid w:val="004A0DBD"/>
    <w:rsid w:val="004A0FCB"/>
    <w:rsid w:val="004A46A1"/>
    <w:rsid w:val="004B0A95"/>
    <w:rsid w:val="004B1A4C"/>
    <w:rsid w:val="004B5148"/>
    <w:rsid w:val="004C06BA"/>
    <w:rsid w:val="004D7E6A"/>
    <w:rsid w:val="004E4596"/>
    <w:rsid w:val="004F4831"/>
    <w:rsid w:val="00523D27"/>
    <w:rsid w:val="005461C5"/>
    <w:rsid w:val="005A7108"/>
    <w:rsid w:val="005C1468"/>
    <w:rsid w:val="006050B0"/>
    <w:rsid w:val="00625AE2"/>
    <w:rsid w:val="00665CF8"/>
    <w:rsid w:val="006B4BF9"/>
    <w:rsid w:val="006F4B8E"/>
    <w:rsid w:val="00740D89"/>
    <w:rsid w:val="00750C27"/>
    <w:rsid w:val="007C0FAE"/>
    <w:rsid w:val="00807F60"/>
    <w:rsid w:val="00873778"/>
    <w:rsid w:val="00905D3A"/>
    <w:rsid w:val="00927737"/>
    <w:rsid w:val="00953B49"/>
    <w:rsid w:val="00960CA7"/>
    <w:rsid w:val="00960E70"/>
    <w:rsid w:val="00965DB4"/>
    <w:rsid w:val="00987708"/>
    <w:rsid w:val="009B03D1"/>
    <w:rsid w:val="00A43D71"/>
    <w:rsid w:val="00A467D3"/>
    <w:rsid w:val="00A94902"/>
    <w:rsid w:val="00AA3BA1"/>
    <w:rsid w:val="00AF1B64"/>
    <w:rsid w:val="00B461F6"/>
    <w:rsid w:val="00B92588"/>
    <w:rsid w:val="00BB7F80"/>
    <w:rsid w:val="00BF53E4"/>
    <w:rsid w:val="00C223FE"/>
    <w:rsid w:val="00D054FE"/>
    <w:rsid w:val="00D147D7"/>
    <w:rsid w:val="00D44FFB"/>
    <w:rsid w:val="00D47B2C"/>
    <w:rsid w:val="00D53ECE"/>
    <w:rsid w:val="00D94284"/>
    <w:rsid w:val="00E32648"/>
    <w:rsid w:val="00E43851"/>
    <w:rsid w:val="00E6479D"/>
    <w:rsid w:val="00E91094"/>
    <w:rsid w:val="00F56E52"/>
    <w:rsid w:val="00FC3E78"/>
    <w:rsid w:val="00FD02AD"/>
    <w:rsid w:val="00FE02CA"/>
    <w:rsid w:val="067176BA"/>
    <w:rsid w:val="0C4F52F3"/>
    <w:rsid w:val="29840955"/>
    <w:rsid w:val="29B2760B"/>
    <w:rsid w:val="2AF82591"/>
    <w:rsid w:val="32BD592E"/>
    <w:rsid w:val="3C3537C5"/>
    <w:rsid w:val="45331F53"/>
    <w:rsid w:val="733F0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729BD8"/>
  <w15:docId w15:val="{8C5BB311-32F7-4C2C-9699-7EF75ECC0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able of authorities" w:uiPriority="99"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uiPriority="99"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a0"/>
    <w:qFormat/>
    <w:pPr>
      <w:widowControl w:val="0"/>
      <w:spacing w:line="20" w:lineRule="atLeast"/>
      <w:jc w:val="both"/>
    </w:pPr>
    <w:rPr>
      <w:rFonts w:ascii="Calibri" w:eastAsia="宋体" w:hAnsi="Calibri" w:cs="Times New Roman"/>
      <w:kern w:val="2"/>
      <w:sz w:val="21"/>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able of authorities"/>
    <w:basedOn w:val="a"/>
    <w:next w:val="a"/>
    <w:uiPriority w:val="99"/>
    <w:unhideWhenUsed/>
    <w:qFormat/>
    <w:pPr>
      <w:ind w:leftChars="200" w:left="420"/>
    </w:pPr>
  </w:style>
  <w:style w:type="paragraph" w:styleId="a4">
    <w:name w:val="footer"/>
    <w:basedOn w:val="a"/>
    <w:link w:val="a5"/>
    <w:qFormat/>
    <w:pPr>
      <w:tabs>
        <w:tab w:val="center" w:pos="4153"/>
        <w:tab w:val="right" w:pos="8306"/>
      </w:tabs>
      <w:snapToGrid w:val="0"/>
      <w:spacing w:line="240" w:lineRule="atLeast"/>
      <w:jc w:val="left"/>
    </w:pPr>
    <w:rPr>
      <w:sz w:val="18"/>
      <w:szCs w:val="18"/>
    </w:rPr>
  </w:style>
  <w:style w:type="paragraph" w:styleId="a6">
    <w:name w:val="header"/>
    <w:basedOn w:val="a"/>
    <w:link w:val="a7"/>
    <w:qFormat/>
    <w:pPr>
      <w:pBdr>
        <w:bottom w:val="single" w:sz="6" w:space="1" w:color="auto"/>
      </w:pBdr>
      <w:tabs>
        <w:tab w:val="center" w:pos="4153"/>
        <w:tab w:val="right" w:pos="8306"/>
      </w:tabs>
      <w:snapToGrid w:val="0"/>
      <w:spacing w:line="240" w:lineRule="atLeast"/>
      <w:jc w:val="center"/>
    </w:pPr>
    <w:rPr>
      <w:sz w:val="18"/>
      <w:szCs w:val="18"/>
    </w:rPr>
  </w:style>
  <w:style w:type="paragraph" w:styleId="a8">
    <w:name w:val="List Paragraph"/>
    <w:basedOn w:val="a"/>
    <w:uiPriority w:val="34"/>
    <w:qFormat/>
    <w:pPr>
      <w:spacing w:line="240" w:lineRule="auto"/>
      <w:ind w:firstLineChars="200" w:firstLine="420"/>
    </w:pPr>
    <w:rPr>
      <w:rFonts w:asciiTheme="minorHAnsi" w:eastAsiaTheme="minorEastAsia" w:hAnsiTheme="minorHAnsi" w:cstheme="minorBidi"/>
    </w:rPr>
  </w:style>
  <w:style w:type="character" w:customStyle="1" w:styleId="a7">
    <w:name w:val="页眉 字符"/>
    <w:basedOn w:val="a1"/>
    <w:link w:val="a6"/>
    <w:qFormat/>
    <w:rPr>
      <w:rFonts w:ascii="Calibri" w:eastAsia="宋体" w:hAnsi="Calibri" w:cs="Times New Roman"/>
      <w:kern w:val="2"/>
      <w:sz w:val="18"/>
      <w:szCs w:val="18"/>
    </w:rPr>
  </w:style>
  <w:style w:type="character" w:customStyle="1" w:styleId="a5">
    <w:name w:val="页脚 字符"/>
    <w:basedOn w:val="a1"/>
    <w:link w:val="a4"/>
    <w:qFormat/>
    <w:rPr>
      <w:rFonts w:ascii="Calibri" w:eastAsia="宋体" w:hAnsi="Calibri"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324">
      <w:bodyDiv w:val="1"/>
      <w:marLeft w:val="0"/>
      <w:marRight w:val="0"/>
      <w:marTop w:val="0"/>
      <w:marBottom w:val="0"/>
      <w:divBdr>
        <w:top w:val="none" w:sz="0" w:space="0" w:color="auto"/>
        <w:left w:val="none" w:sz="0" w:space="0" w:color="auto"/>
        <w:bottom w:val="none" w:sz="0" w:space="0" w:color="auto"/>
        <w:right w:val="none" w:sz="0" w:space="0" w:color="auto"/>
      </w:divBdr>
    </w:div>
    <w:div w:id="329872362">
      <w:bodyDiv w:val="1"/>
      <w:marLeft w:val="0"/>
      <w:marRight w:val="0"/>
      <w:marTop w:val="0"/>
      <w:marBottom w:val="0"/>
      <w:divBdr>
        <w:top w:val="none" w:sz="0" w:space="0" w:color="auto"/>
        <w:left w:val="none" w:sz="0" w:space="0" w:color="auto"/>
        <w:bottom w:val="none" w:sz="0" w:space="0" w:color="auto"/>
        <w:right w:val="none" w:sz="0" w:space="0" w:color="auto"/>
      </w:divBdr>
      <w:divsChild>
        <w:div w:id="1375696728">
          <w:marLeft w:val="0"/>
          <w:marRight w:val="0"/>
          <w:marTop w:val="0"/>
          <w:marBottom w:val="120"/>
          <w:divBdr>
            <w:top w:val="none" w:sz="0" w:space="0" w:color="auto"/>
            <w:left w:val="none" w:sz="0" w:space="0" w:color="auto"/>
            <w:bottom w:val="none" w:sz="0" w:space="0" w:color="auto"/>
            <w:right w:val="none" w:sz="0" w:space="0" w:color="auto"/>
          </w:divBdr>
        </w:div>
        <w:div w:id="2008357593">
          <w:marLeft w:val="0"/>
          <w:marRight w:val="0"/>
          <w:marTop w:val="0"/>
          <w:marBottom w:val="120"/>
          <w:divBdr>
            <w:top w:val="none" w:sz="0" w:space="0" w:color="auto"/>
            <w:left w:val="none" w:sz="0" w:space="0" w:color="auto"/>
            <w:bottom w:val="none" w:sz="0" w:space="0" w:color="auto"/>
            <w:right w:val="none" w:sz="0" w:space="0" w:color="auto"/>
          </w:divBdr>
        </w:div>
      </w:divsChild>
    </w:div>
    <w:div w:id="381834489">
      <w:bodyDiv w:val="1"/>
      <w:marLeft w:val="0"/>
      <w:marRight w:val="0"/>
      <w:marTop w:val="0"/>
      <w:marBottom w:val="0"/>
      <w:divBdr>
        <w:top w:val="none" w:sz="0" w:space="0" w:color="auto"/>
        <w:left w:val="none" w:sz="0" w:space="0" w:color="auto"/>
        <w:bottom w:val="none" w:sz="0" w:space="0" w:color="auto"/>
        <w:right w:val="none" w:sz="0" w:space="0" w:color="auto"/>
      </w:divBdr>
    </w:div>
    <w:div w:id="821310054">
      <w:bodyDiv w:val="1"/>
      <w:marLeft w:val="0"/>
      <w:marRight w:val="0"/>
      <w:marTop w:val="0"/>
      <w:marBottom w:val="0"/>
      <w:divBdr>
        <w:top w:val="none" w:sz="0" w:space="0" w:color="auto"/>
        <w:left w:val="none" w:sz="0" w:space="0" w:color="auto"/>
        <w:bottom w:val="none" w:sz="0" w:space="0" w:color="auto"/>
        <w:right w:val="none" w:sz="0" w:space="0" w:color="auto"/>
      </w:divBdr>
      <w:divsChild>
        <w:div w:id="1632635038">
          <w:marLeft w:val="0"/>
          <w:marRight w:val="0"/>
          <w:marTop w:val="0"/>
          <w:marBottom w:val="120"/>
          <w:divBdr>
            <w:top w:val="none" w:sz="0" w:space="0" w:color="auto"/>
            <w:left w:val="none" w:sz="0" w:space="0" w:color="auto"/>
            <w:bottom w:val="none" w:sz="0" w:space="0" w:color="auto"/>
            <w:right w:val="none" w:sz="0" w:space="0" w:color="auto"/>
          </w:divBdr>
        </w:div>
      </w:divsChild>
    </w:div>
    <w:div w:id="925460016">
      <w:bodyDiv w:val="1"/>
      <w:marLeft w:val="0"/>
      <w:marRight w:val="0"/>
      <w:marTop w:val="0"/>
      <w:marBottom w:val="0"/>
      <w:divBdr>
        <w:top w:val="none" w:sz="0" w:space="0" w:color="auto"/>
        <w:left w:val="none" w:sz="0" w:space="0" w:color="auto"/>
        <w:bottom w:val="none" w:sz="0" w:space="0" w:color="auto"/>
        <w:right w:val="none" w:sz="0" w:space="0" w:color="auto"/>
      </w:divBdr>
    </w:div>
    <w:div w:id="1081373118">
      <w:bodyDiv w:val="1"/>
      <w:marLeft w:val="0"/>
      <w:marRight w:val="0"/>
      <w:marTop w:val="0"/>
      <w:marBottom w:val="0"/>
      <w:divBdr>
        <w:top w:val="none" w:sz="0" w:space="0" w:color="auto"/>
        <w:left w:val="none" w:sz="0" w:space="0" w:color="auto"/>
        <w:bottom w:val="none" w:sz="0" w:space="0" w:color="auto"/>
        <w:right w:val="none" w:sz="0" w:space="0" w:color="auto"/>
      </w:divBdr>
      <w:divsChild>
        <w:div w:id="1987539829">
          <w:marLeft w:val="0"/>
          <w:marRight w:val="0"/>
          <w:marTop w:val="0"/>
          <w:marBottom w:val="120"/>
          <w:divBdr>
            <w:top w:val="none" w:sz="0" w:space="0" w:color="auto"/>
            <w:left w:val="none" w:sz="0" w:space="0" w:color="auto"/>
            <w:bottom w:val="none" w:sz="0" w:space="0" w:color="auto"/>
            <w:right w:val="none" w:sz="0" w:space="0" w:color="auto"/>
          </w:divBdr>
        </w:div>
        <w:div w:id="763036180">
          <w:marLeft w:val="0"/>
          <w:marRight w:val="0"/>
          <w:marTop w:val="0"/>
          <w:marBottom w:val="120"/>
          <w:divBdr>
            <w:top w:val="none" w:sz="0" w:space="0" w:color="auto"/>
            <w:left w:val="none" w:sz="0" w:space="0" w:color="auto"/>
            <w:bottom w:val="none" w:sz="0" w:space="0" w:color="auto"/>
            <w:right w:val="none" w:sz="0" w:space="0" w:color="auto"/>
          </w:divBdr>
        </w:div>
      </w:divsChild>
    </w:div>
    <w:div w:id="1238594399">
      <w:bodyDiv w:val="1"/>
      <w:marLeft w:val="0"/>
      <w:marRight w:val="0"/>
      <w:marTop w:val="0"/>
      <w:marBottom w:val="0"/>
      <w:divBdr>
        <w:top w:val="none" w:sz="0" w:space="0" w:color="auto"/>
        <w:left w:val="none" w:sz="0" w:space="0" w:color="auto"/>
        <w:bottom w:val="none" w:sz="0" w:space="0" w:color="auto"/>
        <w:right w:val="none" w:sz="0" w:space="0" w:color="auto"/>
      </w:divBdr>
      <w:divsChild>
        <w:div w:id="1964384230">
          <w:marLeft w:val="446"/>
          <w:marRight w:val="0"/>
          <w:marTop w:val="120"/>
          <w:marBottom w:val="120"/>
          <w:divBdr>
            <w:top w:val="none" w:sz="0" w:space="0" w:color="auto"/>
            <w:left w:val="none" w:sz="0" w:space="0" w:color="auto"/>
            <w:bottom w:val="none" w:sz="0" w:space="0" w:color="auto"/>
            <w:right w:val="none" w:sz="0" w:space="0" w:color="auto"/>
          </w:divBdr>
        </w:div>
        <w:div w:id="455562952">
          <w:marLeft w:val="446"/>
          <w:marRight w:val="0"/>
          <w:marTop w:val="120"/>
          <w:marBottom w:val="120"/>
          <w:divBdr>
            <w:top w:val="none" w:sz="0" w:space="0" w:color="auto"/>
            <w:left w:val="none" w:sz="0" w:space="0" w:color="auto"/>
            <w:bottom w:val="none" w:sz="0" w:space="0" w:color="auto"/>
            <w:right w:val="none" w:sz="0" w:space="0" w:color="auto"/>
          </w:divBdr>
        </w:div>
      </w:divsChild>
    </w:div>
    <w:div w:id="1524787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3</Pages>
  <Words>473</Words>
  <Characters>2702</Characters>
  <Application>Microsoft Office Word</Application>
  <DocSecurity>0</DocSecurity>
  <Lines>22</Lines>
  <Paragraphs>6</Paragraphs>
  <ScaleCrop>false</ScaleCrop>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Xinyu Zhou</cp:lastModifiedBy>
  <cp:revision>23</cp:revision>
  <dcterms:created xsi:type="dcterms:W3CDTF">2021-10-29T11:25:00Z</dcterms:created>
  <dcterms:modified xsi:type="dcterms:W3CDTF">2021-11-16T06:44:00Z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4DC15FEBF39F4147A21ED9239CD17D9A</vt:lpwstr>
  </property>
</Properties>
</file>