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E95E51" w:rsidRDefault="00072BA1">
      <w:pPr>
        <w:pStyle w:val="afc"/>
        <w:spacing w:before="240" w:after="240" w:line="24" w:lineRule="atLeast"/>
        <w:rPr>
          <w:rFonts w:ascii="楷体" w:eastAsia="楷体" w:hAnsi="楷体"/>
          <w:color w:val="000000" w:themeColor="text1"/>
          <w:highlight w:val="yellow"/>
        </w:rPr>
      </w:pPr>
      <w:r>
        <w:rPr>
          <w:rFonts w:ascii="楷体" w:eastAsia="楷体" w:hAnsi="楷体"/>
          <w:noProof/>
          <w:color w:val="000000" w:themeColor="text1"/>
          <w:highlight w:val="yellow"/>
        </w:rPr>
        <mc:AlternateContent>
          <mc:Choice Requires="wps">
            <w:drawing>
              <wp:anchor distT="0" distB="0" distL="114300" distR="114300" simplePos="0" relativeHeight="251667456" behindDoc="0" locked="0" layoutInCell="1" allowOverlap="1" wp14:anchorId="7304A867" wp14:editId="14BD5EBF">
                <wp:simplePos x="0" y="0"/>
                <wp:positionH relativeFrom="margin">
                  <wp:align>right</wp:align>
                </wp:positionH>
                <wp:positionV relativeFrom="paragraph">
                  <wp:posOffset>19050</wp:posOffset>
                </wp:positionV>
                <wp:extent cx="6176645" cy="569595"/>
                <wp:effectExtent l="0" t="0" r="0" b="190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6645" cy="569595"/>
                        </a:xfrm>
                        <a:prstGeom prst="rect">
                          <a:avLst/>
                        </a:prstGeom>
                        <a:solidFill>
                          <a:srgbClr val="FFFFFF"/>
                        </a:solidFill>
                        <a:ln w="9525">
                          <a:noFill/>
                          <a:miter lim="800000"/>
                        </a:ln>
                      </wps:spPr>
                      <wps:txbx>
                        <w:txbxContent>
                          <w:p w:rsidR="00E95E51" w:rsidRDefault="00072BA1">
                            <w:pPr>
                              <w:adjustRightInd w:val="0"/>
                              <w:snapToGrid w:val="0"/>
                              <w:jc w:val="center"/>
                              <w:rPr>
                                <w:rFonts w:ascii="楷体" w:eastAsia="楷体" w:hAnsi="楷体"/>
                                <w:b/>
                                <w:color w:val="000000" w:themeColor="text1"/>
                                <w:sz w:val="32"/>
                                <w:szCs w:val="32"/>
                              </w:rPr>
                            </w:pPr>
                            <w:proofErr w:type="gramStart"/>
                            <w:r>
                              <w:rPr>
                                <w:rFonts w:ascii="楷体" w:eastAsia="楷体" w:hAnsi="楷体" w:hint="eastAsia"/>
                                <w:b/>
                                <w:color w:val="000000" w:themeColor="text1"/>
                                <w:sz w:val="32"/>
                                <w:szCs w:val="32"/>
                              </w:rPr>
                              <w:t>固收</w:t>
                            </w:r>
                            <w:proofErr w:type="gramEnd"/>
                            <w:r>
                              <w:rPr>
                                <w:rFonts w:ascii="楷体" w:eastAsia="楷体" w:hAnsi="楷体"/>
                                <w:b/>
                                <w:color w:val="000000" w:themeColor="text1"/>
                                <w:sz w:val="32"/>
                                <w:szCs w:val="32"/>
                              </w:rPr>
                              <w:t>+基金研究</w:t>
                            </w:r>
                            <w:r>
                              <w:rPr>
                                <w:rFonts w:ascii="楷体" w:eastAsia="楷体" w:hAnsi="楷体" w:hint="eastAsia"/>
                                <w:b/>
                                <w:color w:val="000000" w:themeColor="text1"/>
                                <w:sz w:val="32"/>
                                <w:szCs w:val="32"/>
                              </w:rPr>
                              <w:t>系列</w:t>
                            </w:r>
                            <w:r>
                              <w:rPr>
                                <w:rFonts w:ascii="楷体" w:eastAsia="楷体" w:hAnsi="楷体"/>
                                <w:b/>
                                <w:color w:val="000000" w:themeColor="text1"/>
                                <w:sz w:val="32"/>
                                <w:szCs w:val="32"/>
                              </w:rPr>
                              <w:t>之三：</w:t>
                            </w:r>
                            <w:proofErr w:type="gramStart"/>
                            <w:r w:rsidR="00502CD5">
                              <w:rPr>
                                <w:rFonts w:ascii="楷体" w:eastAsia="楷体" w:hAnsi="楷体" w:hint="eastAsia"/>
                                <w:b/>
                                <w:color w:val="000000" w:themeColor="text1"/>
                                <w:sz w:val="32"/>
                                <w:szCs w:val="32"/>
                              </w:rPr>
                              <w:t>固收</w:t>
                            </w:r>
                            <w:proofErr w:type="gramEnd"/>
                            <w:r w:rsidR="00502CD5">
                              <w:rPr>
                                <w:rFonts w:ascii="楷体" w:eastAsia="楷体" w:hAnsi="楷体" w:hint="eastAsia"/>
                                <w:b/>
                                <w:color w:val="000000" w:themeColor="text1"/>
                                <w:sz w:val="32"/>
                                <w:szCs w:val="32"/>
                              </w:rPr>
                              <w:t>+</w:t>
                            </w:r>
                            <w:r w:rsidR="00502CD5">
                              <w:rPr>
                                <w:rFonts w:ascii="楷体" w:eastAsia="楷体" w:hAnsi="楷体"/>
                                <w:b/>
                                <w:color w:val="000000" w:themeColor="text1"/>
                                <w:sz w:val="32"/>
                                <w:szCs w:val="32"/>
                              </w:rPr>
                              <w:t>基金的分类与优选</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type w14:anchorId="7304A867" id="_x0000_t202" coordsize="21600,21600" o:spt="202" path="m,l,21600r21600,l21600,xe">
                <v:stroke joinstyle="miter"/>
                <v:path gradientshapeok="t" o:connecttype="rect"/>
              </v:shapetype>
              <v:shape id="文本框 2" o:spid="_x0000_s1026" type="#_x0000_t202" style="position:absolute;left:0;text-align:left;margin-left:435.15pt;margin-top:1.5pt;width:486.35pt;height:44.8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0rRJgIAAAcEAAAOAAAAZHJzL2Uyb0RvYy54bWysU82O0zAQviPxDpbvNG1outuo6Wrpqghp&#10;+ZEWHsBxnMbC9gTbbbI8APsGnLhw57n6HIydbClwQ/hgeTwzn2e++by66rUiB2GdBFPQ2WRKiTAc&#10;Kml2Bf3wfvvskhLnmamYAiMKei8cvVo/fbLq2lyk0ICqhCUIYlzetQVtvG/zJHG8EZq5CbTCoLMG&#10;q5lH0+6SyrIO0bVK0ul0kXRgq9YCF87h7c3gpOuIX9eC+7d17YQnqqBYm4+7jXsZ9mS9YvnOsraR&#10;fCyD/UMVmkmDj56gbphnZG/lX1BacgsOaj/hoBOoa8lF7AG7mU3/6OauYa2IvSA5rj3R5P4fLH9z&#10;eGeJrAqaPqfEMI0zOn59OH77cfz+haSBn651OYbdtRjo+xfQ45xjr669Bf7REQObhpmduLYWukaw&#10;CuubhczkLHXAcQGk7F5Dhe+wvYcI1NdWB/KQDoLoOKf702xE7wnHy8XsYrGYZ5Rw9GWLZbbM4hMs&#10;f8xurfMvBWgSDgW1OPuIzg63zodqWP4YEh5zoGS1lUpFw+7KjbLkwFAn27hG9N/ClCFdQZdZmkVk&#10;AyE/SkhLjzpWUhf0chrWmK7MSEPofODA92U/0lpCdY+EWBh0if8IDw3Yz5R0qMmCuk97ZgUl6pVB&#10;Upez+TyIOBrz7CJFw557ynMPMxyhCsq9pWQwNj5KP3Rs4Brpr2VkJsxpqGWsFtUWCRt/RpDzuR2j&#10;fv3f9U8AAAD//wMAUEsDBBQABgAIAAAAIQBxFGoR3AAAAAUBAAAPAAAAZHJzL2Rvd25yZXYueG1s&#10;TI9Ba8JAEIXvhf6HZQq91Y0WjInZiC1YKBSKWqjHNTsmwexsyK5m++87PdXTm+ENb75XrKLtxBUH&#10;3zpSMJ0kIJAqZ1qqFXztN08LED5oMrpzhAp+0MOqvL8rdG7cSFu87kItOIR8rhU0IfS5lL5q0Go/&#10;cT0Seyc3WB14HWppBj1yuO3kLEnm0uqW+EOje3xtsDrvLlbBGLLsLd2814f1fPHybeLJx49PpR4f&#10;4noJImAM/8fwh8/oUDLT0V3IeNEp4CJBwTMLm1k6S0EceWCVZSFv6ctfAAAA//8DAFBLAQItABQA&#10;BgAIAAAAIQC2gziS/gAAAOEBAAATAAAAAAAAAAAAAAAAAAAAAABbQ29udGVudF9UeXBlc10ueG1s&#10;UEsBAi0AFAAGAAgAAAAhADj9If/WAAAAlAEAAAsAAAAAAAAAAAAAAAAALwEAAF9yZWxzLy5yZWxz&#10;UEsBAi0AFAAGAAgAAAAhAMgrStEmAgAABwQAAA4AAAAAAAAAAAAAAAAALgIAAGRycy9lMm9Eb2Mu&#10;eG1sUEsBAi0AFAAGAAgAAAAhAHEUahHcAAAABQEAAA8AAAAAAAAAAAAAAAAAgAQAAGRycy9kb3du&#10;cmV2LnhtbFBLBQYAAAAABAAEAPMAAACJBQAAAAA=&#10;" stroked="f">
                <v:textbox>
                  <w:txbxContent>
                    <w:p w:rsidR="00E95E51" w:rsidRDefault="00072BA1">
                      <w:pPr>
                        <w:adjustRightInd w:val="0"/>
                        <w:snapToGrid w:val="0"/>
                        <w:jc w:val="center"/>
                        <w:rPr>
                          <w:rFonts w:ascii="楷体" w:eastAsia="楷体" w:hAnsi="楷体"/>
                          <w:b/>
                          <w:color w:val="000000" w:themeColor="text1"/>
                          <w:sz w:val="32"/>
                          <w:szCs w:val="32"/>
                        </w:rPr>
                      </w:pPr>
                      <w:proofErr w:type="gramStart"/>
                      <w:r>
                        <w:rPr>
                          <w:rFonts w:ascii="楷体" w:eastAsia="楷体" w:hAnsi="楷体" w:hint="eastAsia"/>
                          <w:b/>
                          <w:color w:val="000000" w:themeColor="text1"/>
                          <w:sz w:val="32"/>
                          <w:szCs w:val="32"/>
                        </w:rPr>
                        <w:t>固收</w:t>
                      </w:r>
                      <w:proofErr w:type="gramEnd"/>
                      <w:r>
                        <w:rPr>
                          <w:rFonts w:ascii="楷体" w:eastAsia="楷体" w:hAnsi="楷体"/>
                          <w:b/>
                          <w:color w:val="000000" w:themeColor="text1"/>
                          <w:sz w:val="32"/>
                          <w:szCs w:val="32"/>
                        </w:rPr>
                        <w:t>+基金研究</w:t>
                      </w:r>
                      <w:r>
                        <w:rPr>
                          <w:rFonts w:ascii="楷体" w:eastAsia="楷体" w:hAnsi="楷体" w:hint="eastAsia"/>
                          <w:b/>
                          <w:color w:val="000000" w:themeColor="text1"/>
                          <w:sz w:val="32"/>
                          <w:szCs w:val="32"/>
                        </w:rPr>
                        <w:t>系列</w:t>
                      </w:r>
                      <w:r>
                        <w:rPr>
                          <w:rFonts w:ascii="楷体" w:eastAsia="楷体" w:hAnsi="楷体"/>
                          <w:b/>
                          <w:color w:val="000000" w:themeColor="text1"/>
                          <w:sz w:val="32"/>
                          <w:szCs w:val="32"/>
                        </w:rPr>
                        <w:t>之三：</w:t>
                      </w:r>
                      <w:proofErr w:type="gramStart"/>
                      <w:r w:rsidR="00502CD5">
                        <w:rPr>
                          <w:rFonts w:ascii="楷体" w:eastAsia="楷体" w:hAnsi="楷体" w:hint="eastAsia"/>
                          <w:b/>
                          <w:color w:val="000000" w:themeColor="text1"/>
                          <w:sz w:val="32"/>
                          <w:szCs w:val="32"/>
                        </w:rPr>
                        <w:t>固收</w:t>
                      </w:r>
                      <w:proofErr w:type="gramEnd"/>
                      <w:r w:rsidR="00502CD5">
                        <w:rPr>
                          <w:rFonts w:ascii="楷体" w:eastAsia="楷体" w:hAnsi="楷体" w:hint="eastAsia"/>
                          <w:b/>
                          <w:color w:val="000000" w:themeColor="text1"/>
                          <w:sz w:val="32"/>
                          <w:szCs w:val="32"/>
                        </w:rPr>
                        <w:t>+</w:t>
                      </w:r>
                      <w:r w:rsidR="00502CD5">
                        <w:rPr>
                          <w:rFonts w:ascii="楷体" w:eastAsia="楷体" w:hAnsi="楷体"/>
                          <w:b/>
                          <w:color w:val="000000" w:themeColor="text1"/>
                          <w:sz w:val="32"/>
                          <w:szCs w:val="32"/>
                        </w:rPr>
                        <w:t>基金的分类与优选</w:t>
                      </w:r>
                    </w:p>
                  </w:txbxContent>
                </v:textbox>
                <w10:wrap anchorx="margin"/>
              </v:shape>
            </w:pict>
          </mc:Fallback>
        </mc:AlternateContent>
      </w:r>
      <w:r w:rsidR="00502CD5">
        <w:rPr>
          <w:rFonts w:ascii="楷体" w:eastAsia="楷体" w:hAnsi="楷体"/>
          <w:noProof/>
          <w:color w:val="000000" w:themeColor="text1"/>
          <w:sz w:val="15"/>
          <w:szCs w:val="15"/>
          <w:highlight w:val="yellow"/>
        </w:rPr>
        <mc:AlternateContent>
          <mc:Choice Requires="wps">
            <w:drawing>
              <wp:anchor distT="45720" distB="45720" distL="144145" distR="144145" simplePos="0" relativeHeight="251664384" behindDoc="0" locked="0" layoutInCell="1" allowOverlap="1" wp14:anchorId="5A27F738" wp14:editId="4A440ACA">
                <wp:simplePos x="0" y="0"/>
                <wp:positionH relativeFrom="margin">
                  <wp:posOffset>-196850</wp:posOffset>
                </wp:positionH>
                <wp:positionV relativeFrom="paragraph">
                  <wp:posOffset>596900</wp:posOffset>
                </wp:positionV>
                <wp:extent cx="2268855" cy="8178165"/>
                <wp:effectExtent l="0" t="0" r="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855" cy="8178165"/>
                        </a:xfrm>
                        <a:prstGeom prst="rect">
                          <a:avLst/>
                        </a:prstGeom>
                        <a:solidFill>
                          <a:srgbClr val="F0DDBF">
                            <a:alpha val="29804"/>
                          </a:srgbClr>
                        </a:solidFill>
                        <a:ln w="9525">
                          <a:noFill/>
                          <a:miter lim="800000"/>
                        </a:ln>
                      </wps:spPr>
                      <wps:txbx>
                        <w:txbxContent>
                          <w:p w:rsidR="00E95E51" w:rsidRDefault="00502CD5">
                            <w:pPr>
                              <w:rPr>
                                <w:rFonts w:ascii="楷体" w:eastAsia="楷体" w:hAnsi="楷体"/>
                                <w:b/>
                                <w:szCs w:val="21"/>
                              </w:rPr>
                            </w:pPr>
                            <w:proofErr w:type="gramStart"/>
                            <w:r>
                              <w:rPr>
                                <w:rFonts w:ascii="楷体" w:eastAsia="楷体" w:hAnsi="楷体" w:hint="eastAsia"/>
                                <w:b/>
                                <w:szCs w:val="21"/>
                              </w:rPr>
                              <w:t>固收</w:t>
                            </w:r>
                            <w:proofErr w:type="gramEnd"/>
                            <w:r>
                              <w:rPr>
                                <w:rFonts w:ascii="楷体" w:eastAsia="楷体" w:hAnsi="楷体" w:hint="eastAsia"/>
                                <w:b/>
                                <w:szCs w:val="21"/>
                              </w:rPr>
                              <w:t>+基金</w:t>
                            </w:r>
                            <w:r>
                              <w:rPr>
                                <w:rFonts w:ascii="楷体" w:eastAsia="楷体" w:hAnsi="楷体"/>
                                <w:b/>
                                <w:szCs w:val="21"/>
                              </w:rPr>
                              <w:t>指数走势</w:t>
                            </w:r>
                          </w:p>
                          <w:p w:rsidR="00E95E51" w:rsidRDefault="00502CD5">
                            <w:pPr>
                              <w:rPr>
                                <w:rFonts w:ascii="楷体" w:eastAsia="楷体" w:hAnsi="楷体"/>
                                <w:szCs w:val="21"/>
                              </w:rPr>
                            </w:pPr>
                            <w:r>
                              <w:rPr>
                                <w:rFonts w:ascii="楷体" w:eastAsia="楷体" w:hAnsi="楷体"/>
                                <w:noProof/>
                                <w:color w:val="000000" w:themeColor="text1"/>
                                <w:sz w:val="18"/>
                                <w:szCs w:val="18"/>
                              </w:rPr>
                              <w:drawing>
                                <wp:inline distT="0" distB="0" distL="0" distR="0" wp14:anchorId="5293E6FE" wp14:editId="0F1189A6">
                                  <wp:extent cx="2076450" cy="11398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85033" cy="1144689"/>
                                          </a:xfrm>
                                          <a:prstGeom prst="rect">
                                            <a:avLst/>
                                          </a:prstGeom>
                                          <a:noFill/>
                                        </pic:spPr>
                                      </pic:pic>
                                    </a:graphicData>
                                  </a:graphic>
                                </wp:inline>
                              </w:drawing>
                            </w:r>
                          </w:p>
                          <w:p w:rsidR="00E95E51" w:rsidRDefault="00502CD5">
                            <w:pPr>
                              <w:widowControl/>
                              <w:adjustRightInd w:val="0"/>
                              <w:snapToGrid w:val="0"/>
                              <w:jc w:val="left"/>
                              <w:rPr>
                                <w:rFonts w:ascii="楷体" w:eastAsia="楷体" w:hAnsi="楷体" w:cs="宋体"/>
                                <w:bCs/>
                                <w:color w:val="000000"/>
                                <w:kern w:val="0"/>
                                <w:sz w:val="13"/>
                                <w:szCs w:val="15"/>
                              </w:rPr>
                            </w:pPr>
                            <w:r>
                              <w:rPr>
                                <w:rFonts w:ascii="楷体" w:eastAsia="楷体" w:hAnsi="楷体" w:cs="宋体" w:hint="eastAsia"/>
                                <w:bCs/>
                                <w:color w:val="000000"/>
                                <w:kern w:val="0"/>
                                <w:sz w:val="13"/>
                                <w:szCs w:val="15"/>
                              </w:rPr>
                              <w:t>数据来源：Wind，基</w:t>
                            </w:r>
                            <w:proofErr w:type="gramStart"/>
                            <w:r>
                              <w:rPr>
                                <w:rFonts w:ascii="楷体" w:eastAsia="楷体" w:hAnsi="楷体" w:cs="宋体" w:hint="eastAsia"/>
                                <w:bCs/>
                                <w:color w:val="000000"/>
                                <w:kern w:val="0"/>
                                <w:sz w:val="13"/>
                                <w:szCs w:val="15"/>
                              </w:rPr>
                              <w:t>煜</w:t>
                            </w:r>
                            <w:proofErr w:type="gramEnd"/>
                            <w:r>
                              <w:rPr>
                                <w:rFonts w:ascii="楷体" w:eastAsia="楷体" w:hAnsi="楷体" w:cs="宋体" w:hint="eastAsia"/>
                                <w:bCs/>
                                <w:color w:val="000000"/>
                                <w:kern w:val="0"/>
                                <w:sz w:val="13"/>
                                <w:szCs w:val="15"/>
                              </w:rPr>
                              <w:t>研究整理；数据区间：2018.1.1</w:t>
                            </w:r>
                            <w:r>
                              <w:rPr>
                                <w:rFonts w:ascii="楷体" w:eastAsia="楷体" w:hAnsi="楷体" w:cs="宋体"/>
                                <w:bCs/>
                                <w:color w:val="000000"/>
                                <w:kern w:val="0"/>
                                <w:sz w:val="13"/>
                                <w:szCs w:val="15"/>
                              </w:rPr>
                              <w:t>-</w:t>
                            </w:r>
                            <w:r>
                              <w:rPr>
                                <w:rFonts w:ascii="楷体" w:eastAsia="楷体" w:hAnsi="楷体" w:cs="宋体" w:hint="eastAsia"/>
                                <w:bCs/>
                                <w:color w:val="000000"/>
                                <w:kern w:val="0"/>
                                <w:sz w:val="13"/>
                                <w:szCs w:val="15"/>
                              </w:rPr>
                              <w:t>2021.3.31</w:t>
                            </w:r>
                          </w:p>
                          <w:p w:rsidR="00E95E51" w:rsidRDefault="00E95E51">
                            <w:pPr>
                              <w:widowControl/>
                              <w:adjustRightInd w:val="0"/>
                              <w:snapToGrid w:val="0"/>
                              <w:jc w:val="left"/>
                              <w:rPr>
                                <w:rFonts w:ascii="楷体" w:eastAsia="楷体" w:hAnsi="楷体" w:cs="Arial"/>
                                <w:color w:val="666666"/>
                                <w:kern w:val="0"/>
                                <w:sz w:val="18"/>
                                <w:szCs w:val="20"/>
                              </w:rPr>
                            </w:pPr>
                          </w:p>
                          <w:p w:rsidR="00E95E51" w:rsidRDefault="00502CD5">
                            <w:pPr>
                              <w:rPr>
                                <w:rFonts w:ascii="楷体" w:eastAsia="楷体" w:hAnsi="楷体"/>
                                <w:b/>
                                <w:szCs w:val="21"/>
                              </w:rPr>
                            </w:pPr>
                            <w:proofErr w:type="gramStart"/>
                            <w:r>
                              <w:rPr>
                                <w:rFonts w:ascii="楷体" w:eastAsia="楷体" w:hAnsi="楷体" w:hint="eastAsia"/>
                                <w:b/>
                                <w:szCs w:val="21"/>
                              </w:rPr>
                              <w:t>固收</w:t>
                            </w:r>
                            <w:proofErr w:type="gramEnd"/>
                            <w:r>
                              <w:rPr>
                                <w:rFonts w:ascii="楷体" w:eastAsia="楷体" w:hAnsi="楷体" w:hint="eastAsia"/>
                                <w:b/>
                                <w:szCs w:val="21"/>
                              </w:rPr>
                              <w:t>+分类风险收益特征</w:t>
                            </w:r>
                          </w:p>
                          <w:tbl>
                            <w:tblPr>
                              <w:tblW w:w="3473" w:type="dxa"/>
                              <w:tblInd w:w="-10" w:type="dxa"/>
                              <w:tblLayout w:type="fixed"/>
                              <w:tblLook w:val="04A0" w:firstRow="1" w:lastRow="0" w:firstColumn="1" w:lastColumn="0" w:noHBand="0" w:noVBand="1"/>
                            </w:tblPr>
                            <w:tblGrid>
                              <w:gridCol w:w="996"/>
                              <w:gridCol w:w="869"/>
                              <w:gridCol w:w="869"/>
                              <w:gridCol w:w="739"/>
                            </w:tblGrid>
                            <w:tr w:rsidR="00E95E51">
                              <w:trPr>
                                <w:trHeight w:val="246"/>
                              </w:trPr>
                              <w:tc>
                                <w:tcPr>
                                  <w:tcW w:w="996" w:type="dxa"/>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502CD5">
                                  <w:pPr>
                                    <w:widowControl/>
                                    <w:jc w:val="left"/>
                                    <w:rPr>
                                      <w:rFonts w:ascii="等线" w:eastAsia="等线" w:hAnsi="等线" w:cs="宋体"/>
                                      <w:color w:val="000000"/>
                                      <w:kern w:val="0"/>
                                      <w:sz w:val="13"/>
                                      <w:szCs w:val="21"/>
                                    </w:rPr>
                                  </w:pPr>
                                  <w:r>
                                    <w:rPr>
                                      <w:rFonts w:ascii="等线" w:eastAsia="等线" w:hAnsi="等线" w:cs="宋体" w:hint="eastAsia"/>
                                      <w:color w:val="000000"/>
                                      <w:kern w:val="0"/>
                                      <w:sz w:val="13"/>
                                      <w:szCs w:val="21"/>
                                    </w:rPr>
                                    <w:t xml:space="preserve">　</w:t>
                                  </w:r>
                                </w:p>
                              </w:tc>
                              <w:tc>
                                <w:tcPr>
                                  <w:tcW w:w="869"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3"/>
                                      <w:szCs w:val="18"/>
                                    </w:rPr>
                                  </w:pPr>
                                  <w:proofErr w:type="gramStart"/>
                                  <w:r>
                                    <w:rPr>
                                      <w:rFonts w:ascii="楷体" w:eastAsia="楷体" w:hAnsi="楷体" w:cs="宋体" w:hint="eastAsia"/>
                                      <w:b/>
                                      <w:bCs/>
                                      <w:color w:val="FFFFFF"/>
                                      <w:kern w:val="0"/>
                                      <w:sz w:val="13"/>
                                      <w:szCs w:val="18"/>
                                    </w:rPr>
                                    <w:t>年化波动</w:t>
                                  </w:r>
                                  <w:proofErr w:type="gramEnd"/>
                                  <w:r>
                                    <w:rPr>
                                      <w:rFonts w:ascii="楷体" w:eastAsia="楷体" w:hAnsi="楷体" w:cs="宋体" w:hint="eastAsia"/>
                                      <w:b/>
                                      <w:bCs/>
                                      <w:color w:val="FFFFFF"/>
                                      <w:kern w:val="0"/>
                                      <w:sz w:val="13"/>
                                      <w:szCs w:val="18"/>
                                    </w:rPr>
                                    <w:t>率</w:t>
                                  </w:r>
                                </w:p>
                              </w:tc>
                              <w:tc>
                                <w:tcPr>
                                  <w:tcW w:w="869"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3"/>
                                      <w:szCs w:val="18"/>
                                    </w:rPr>
                                  </w:pPr>
                                  <w:proofErr w:type="gramStart"/>
                                  <w:r>
                                    <w:rPr>
                                      <w:rFonts w:ascii="楷体" w:eastAsia="楷体" w:hAnsi="楷体" w:cs="宋体" w:hint="eastAsia"/>
                                      <w:b/>
                                      <w:bCs/>
                                      <w:color w:val="FFFFFF"/>
                                      <w:kern w:val="0"/>
                                      <w:sz w:val="13"/>
                                      <w:szCs w:val="18"/>
                                    </w:rPr>
                                    <w:t>年化收益率</w:t>
                                  </w:r>
                                  <w:proofErr w:type="gramEnd"/>
                                </w:p>
                              </w:tc>
                              <w:tc>
                                <w:tcPr>
                                  <w:tcW w:w="739"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3"/>
                                      <w:szCs w:val="18"/>
                                    </w:rPr>
                                  </w:pPr>
                                  <w:r>
                                    <w:rPr>
                                      <w:rFonts w:ascii="楷体" w:eastAsia="楷体" w:hAnsi="楷体" w:cs="宋体" w:hint="eastAsia"/>
                                      <w:b/>
                                      <w:bCs/>
                                      <w:color w:val="FFFFFF"/>
                                      <w:kern w:val="0"/>
                                      <w:sz w:val="13"/>
                                      <w:szCs w:val="18"/>
                                    </w:rPr>
                                    <w:t>夏普比率</w:t>
                                  </w:r>
                                </w:p>
                              </w:tc>
                            </w:tr>
                            <w:tr w:rsidR="00E95E51">
                              <w:trPr>
                                <w:trHeight w:val="238"/>
                              </w:trPr>
                              <w:tc>
                                <w:tcPr>
                                  <w:tcW w:w="99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股票基金</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18.02%</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12.39%</w:t>
                                  </w:r>
                                </w:p>
                              </w:tc>
                              <w:tc>
                                <w:tcPr>
                                  <w:tcW w:w="73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0.60</w:t>
                                  </w:r>
                                </w:p>
                              </w:tc>
                            </w:tr>
                            <w:tr w:rsidR="00E95E51">
                              <w:trPr>
                                <w:trHeight w:val="238"/>
                              </w:trPr>
                              <w:tc>
                                <w:tcPr>
                                  <w:tcW w:w="99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可转</w:t>
                                  </w:r>
                                  <w:proofErr w:type="gramStart"/>
                                  <w:r>
                                    <w:rPr>
                                      <w:rFonts w:ascii="楷体" w:eastAsia="楷体" w:hAnsi="楷体" w:cs="宋体" w:hint="eastAsia"/>
                                      <w:color w:val="000000"/>
                                      <w:kern w:val="0"/>
                                      <w:sz w:val="13"/>
                                      <w:szCs w:val="18"/>
                                    </w:rPr>
                                    <w:t>债基金</w:t>
                                  </w:r>
                                  <w:proofErr w:type="gramEnd"/>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12.28%</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5.15%</w:t>
                                  </w:r>
                                </w:p>
                              </w:tc>
                              <w:tc>
                                <w:tcPr>
                                  <w:tcW w:w="73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0.30</w:t>
                                  </w:r>
                                </w:p>
                              </w:tc>
                            </w:tr>
                            <w:tr w:rsidR="00E95E51">
                              <w:trPr>
                                <w:trHeight w:val="238"/>
                              </w:trPr>
                              <w:tc>
                                <w:tcPr>
                                  <w:tcW w:w="99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proofErr w:type="gramStart"/>
                                  <w:r>
                                    <w:rPr>
                                      <w:rFonts w:ascii="楷体" w:eastAsia="楷体" w:hAnsi="楷体" w:cs="宋体" w:hint="eastAsia"/>
                                      <w:b/>
                                      <w:color w:val="000000"/>
                                      <w:kern w:val="0"/>
                                      <w:sz w:val="13"/>
                                      <w:szCs w:val="18"/>
                                    </w:rPr>
                                    <w:t>偏股型固收</w:t>
                                  </w:r>
                                  <w:proofErr w:type="gramEnd"/>
                                  <w:r>
                                    <w:rPr>
                                      <w:rFonts w:ascii="楷体" w:eastAsia="楷体" w:hAnsi="楷体" w:cs="宋体" w:hint="eastAsia"/>
                                      <w:b/>
                                      <w:color w:val="000000"/>
                                      <w:kern w:val="0"/>
                                      <w:sz w:val="13"/>
                                      <w:szCs w:val="18"/>
                                    </w:rPr>
                                    <w:t>+</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4.80%</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6.53%</w:t>
                                  </w:r>
                                </w:p>
                              </w:tc>
                              <w:tc>
                                <w:tcPr>
                                  <w:tcW w:w="73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1.05</w:t>
                                  </w:r>
                                </w:p>
                              </w:tc>
                            </w:tr>
                            <w:tr w:rsidR="00E95E51">
                              <w:trPr>
                                <w:trHeight w:val="238"/>
                              </w:trPr>
                              <w:tc>
                                <w:tcPr>
                                  <w:tcW w:w="99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proofErr w:type="gramStart"/>
                                  <w:r>
                                    <w:rPr>
                                      <w:rFonts w:ascii="楷体" w:eastAsia="楷体" w:hAnsi="楷体" w:cs="宋体" w:hint="eastAsia"/>
                                      <w:color w:val="000000"/>
                                      <w:kern w:val="0"/>
                                      <w:sz w:val="13"/>
                                      <w:szCs w:val="18"/>
                                    </w:rPr>
                                    <w:t>二级债基</w:t>
                                  </w:r>
                                  <w:proofErr w:type="gramEnd"/>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4.15%</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4.51%</w:t>
                                  </w:r>
                                </w:p>
                              </w:tc>
                              <w:tc>
                                <w:tcPr>
                                  <w:tcW w:w="73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0.73</w:t>
                                  </w:r>
                                </w:p>
                              </w:tc>
                            </w:tr>
                            <w:tr w:rsidR="00E95E51">
                              <w:trPr>
                                <w:trHeight w:val="238"/>
                              </w:trPr>
                              <w:tc>
                                <w:tcPr>
                                  <w:tcW w:w="99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proofErr w:type="gramStart"/>
                                  <w:r>
                                    <w:rPr>
                                      <w:rFonts w:ascii="楷体" w:eastAsia="楷体" w:hAnsi="楷体" w:cs="宋体" w:hint="eastAsia"/>
                                      <w:color w:val="000000"/>
                                      <w:kern w:val="0"/>
                                      <w:sz w:val="13"/>
                                      <w:szCs w:val="18"/>
                                    </w:rPr>
                                    <w:t>偏债混合</w:t>
                                  </w:r>
                                  <w:proofErr w:type="gramEnd"/>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3.54%</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6.29%</w:t>
                                  </w:r>
                                </w:p>
                              </w:tc>
                              <w:tc>
                                <w:tcPr>
                                  <w:tcW w:w="73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1.35</w:t>
                                  </w:r>
                                </w:p>
                              </w:tc>
                            </w:tr>
                            <w:tr w:rsidR="00E95E51">
                              <w:trPr>
                                <w:trHeight w:val="238"/>
                              </w:trPr>
                              <w:tc>
                                <w:tcPr>
                                  <w:tcW w:w="99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股票市场中性</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3.20%</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4.69%</w:t>
                                  </w:r>
                                </w:p>
                              </w:tc>
                              <w:tc>
                                <w:tcPr>
                                  <w:tcW w:w="73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1.00</w:t>
                                  </w:r>
                                </w:p>
                              </w:tc>
                            </w:tr>
                            <w:tr w:rsidR="00E95E51">
                              <w:trPr>
                                <w:trHeight w:val="238"/>
                              </w:trPr>
                              <w:tc>
                                <w:tcPr>
                                  <w:tcW w:w="99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均衡</w:t>
                                  </w:r>
                                  <w:proofErr w:type="gramStart"/>
                                  <w:r>
                                    <w:rPr>
                                      <w:rFonts w:ascii="楷体" w:eastAsia="楷体" w:hAnsi="楷体" w:cs="宋体" w:hint="eastAsia"/>
                                      <w:b/>
                                      <w:color w:val="000000"/>
                                      <w:kern w:val="0"/>
                                      <w:sz w:val="13"/>
                                      <w:szCs w:val="18"/>
                                    </w:rPr>
                                    <w:t>型固收</w:t>
                                  </w:r>
                                  <w:proofErr w:type="gramEnd"/>
                                  <w:r>
                                    <w:rPr>
                                      <w:rFonts w:ascii="楷体" w:eastAsia="楷体" w:hAnsi="楷体" w:cs="宋体" w:hint="eastAsia"/>
                                      <w:b/>
                                      <w:color w:val="000000"/>
                                      <w:kern w:val="0"/>
                                      <w:sz w:val="13"/>
                                      <w:szCs w:val="18"/>
                                    </w:rPr>
                                    <w:t>+</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3.20%</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6.26%</w:t>
                                  </w:r>
                                </w:p>
                              </w:tc>
                              <w:tc>
                                <w:tcPr>
                                  <w:tcW w:w="73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1.49</w:t>
                                  </w:r>
                                </w:p>
                              </w:tc>
                            </w:tr>
                            <w:tr w:rsidR="00E95E51">
                              <w:trPr>
                                <w:trHeight w:val="238"/>
                              </w:trPr>
                              <w:tc>
                                <w:tcPr>
                                  <w:tcW w:w="99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3"/>
                                      <w:szCs w:val="18"/>
                                    </w:rPr>
                                  </w:pPr>
                                  <w:proofErr w:type="gramStart"/>
                                  <w:r>
                                    <w:rPr>
                                      <w:rFonts w:ascii="楷体" w:eastAsia="楷体" w:hAnsi="楷体" w:cs="宋体" w:hint="eastAsia"/>
                                      <w:b/>
                                      <w:color w:val="000000"/>
                                      <w:kern w:val="0"/>
                                      <w:sz w:val="13"/>
                                      <w:szCs w:val="18"/>
                                    </w:rPr>
                                    <w:t>偏债型固收</w:t>
                                  </w:r>
                                  <w:proofErr w:type="gramEnd"/>
                                  <w:r>
                                    <w:rPr>
                                      <w:rFonts w:ascii="楷体" w:eastAsia="楷体" w:hAnsi="楷体" w:cs="宋体" w:hint="eastAsia"/>
                                      <w:b/>
                                      <w:color w:val="000000"/>
                                      <w:kern w:val="0"/>
                                      <w:sz w:val="13"/>
                                      <w:szCs w:val="18"/>
                                    </w:rPr>
                                    <w:t>+</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1.93%</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4.60%</w:t>
                                  </w:r>
                                </w:p>
                              </w:tc>
                              <w:tc>
                                <w:tcPr>
                                  <w:tcW w:w="73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1.60</w:t>
                                  </w:r>
                                </w:p>
                              </w:tc>
                            </w:tr>
                            <w:tr w:rsidR="00E95E51">
                              <w:trPr>
                                <w:trHeight w:val="238"/>
                              </w:trPr>
                              <w:tc>
                                <w:tcPr>
                                  <w:tcW w:w="99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纯债债基</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1.35%</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3.06%</w:t>
                                  </w:r>
                                </w:p>
                              </w:tc>
                              <w:tc>
                                <w:tcPr>
                                  <w:tcW w:w="73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1.16</w:t>
                                  </w:r>
                                </w:p>
                              </w:tc>
                            </w:tr>
                          </w:tbl>
                          <w:p w:rsidR="00E95E51" w:rsidRDefault="00502CD5">
                            <w:pPr>
                              <w:widowControl/>
                              <w:adjustRightInd w:val="0"/>
                              <w:snapToGrid w:val="0"/>
                              <w:jc w:val="left"/>
                              <w:rPr>
                                <w:rFonts w:ascii="楷体" w:eastAsia="楷体" w:hAnsi="楷体" w:cs="宋体"/>
                                <w:bCs/>
                                <w:color w:val="000000"/>
                                <w:kern w:val="0"/>
                                <w:sz w:val="13"/>
                                <w:szCs w:val="15"/>
                              </w:rPr>
                            </w:pPr>
                            <w:r>
                              <w:rPr>
                                <w:rFonts w:ascii="楷体" w:eastAsia="楷体" w:hAnsi="楷体" w:cs="宋体" w:hint="eastAsia"/>
                                <w:bCs/>
                                <w:color w:val="000000"/>
                                <w:kern w:val="0"/>
                                <w:sz w:val="13"/>
                                <w:szCs w:val="15"/>
                              </w:rPr>
                              <w:t>数据来源：Wind，基</w:t>
                            </w:r>
                            <w:proofErr w:type="gramStart"/>
                            <w:r>
                              <w:rPr>
                                <w:rFonts w:ascii="楷体" w:eastAsia="楷体" w:hAnsi="楷体" w:cs="宋体" w:hint="eastAsia"/>
                                <w:bCs/>
                                <w:color w:val="000000"/>
                                <w:kern w:val="0"/>
                                <w:sz w:val="13"/>
                                <w:szCs w:val="15"/>
                              </w:rPr>
                              <w:t>煜</w:t>
                            </w:r>
                            <w:proofErr w:type="gramEnd"/>
                            <w:r>
                              <w:rPr>
                                <w:rFonts w:ascii="楷体" w:eastAsia="楷体" w:hAnsi="楷体" w:cs="宋体" w:hint="eastAsia"/>
                                <w:bCs/>
                                <w:color w:val="000000"/>
                                <w:kern w:val="0"/>
                                <w:sz w:val="13"/>
                                <w:szCs w:val="15"/>
                              </w:rPr>
                              <w:t>研究整理；数据区间：</w:t>
                            </w:r>
                            <w:r>
                              <w:rPr>
                                <w:rFonts w:ascii="楷体" w:eastAsia="楷体" w:hAnsi="楷体" w:cs="宋体"/>
                                <w:bCs/>
                                <w:color w:val="000000"/>
                                <w:kern w:val="0"/>
                                <w:sz w:val="13"/>
                                <w:szCs w:val="15"/>
                              </w:rPr>
                              <w:t>2016.6.30-2021.6.30</w:t>
                            </w:r>
                          </w:p>
                          <w:p w:rsidR="00E95E51" w:rsidRDefault="00E95E51">
                            <w:pPr>
                              <w:widowControl/>
                              <w:wordWrap w:val="0"/>
                              <w:spacing w:line="300" w:lineRule="atLeast"/>
                              <w:jc w:val="left"/>
                              <w:rPr>
                                <w:rFonts w:ascii="楷体" w:eastAsia="楷体" w:hAnsi="楷体" w:cs="Arial"/>
                                <w:color w:val="666666"/>
                                <w:kern w:val="0"/>
                                <w:sz w:val="18"/>
                                <w:szCs w:val="20"/>
                              </w:rPr>
                            </w:pPr>
                          </w:p>
                          <w:p w:rsidR="00E95E51" w:rsidRDefault="00502CD5">
                            <w:pPr>
                              <w:widowControl/>
                              <w:wordWrap w:val="0"/>
                              <w:spacing w:line="300" w:lineRule="atLeast"/>
                              <w:jc w:val="left"/>
                              <w:rPr>
                                <w:rFonts w:ascii="楷体" w:eastAsia="楷体" w:hAnsi="楷体"/>
                                <w:b/>
                                <w:sz w:val="22"/>
                                <w:szCs w:val="21"/>
                              </w:rPr>
                            </w:pPr>
                            <w:r>
                              <w:rPr>
                                <w:rFonts w:ascii="楷体" w:eastAsia="楷体" w:hAnsi="楷体" w:hint="eastAsia"/>
                                <w:b/>
                                <w:sz w:val="22"/>
                                <w:szCs w:val="21"/>
                              </w:rPr>
                              <w:t>不同</w:t>
                            </w:r>
                            <w:proofErr w:type="gramStart"/>
                            <w:r>
                              <w:rPr>
                                <w:rFonts w:ascii="楷体" w:eastAsia="楷体" w:hAnsi="楷体" w:hint="eastAsia"/>
                                <w:b/>
                                <w:sz w:val="22"/>
                                <w:szCs w:val="21"/>
                              </w:rPr>
                              <w:t>类型</w:t>
                            </w:r>
                            <w:r>
                              <w:rPr>
                                <w:rFonts w:ascii="楷体" w:eastAsia="楷体" w:hAnsi="楷体"/>
                                <w:b/>
                                <w:sz w:val="22"/>
                                <w:szCs w:val="21"/>
                              </w:rPr>
                              <w:t>固收</w:t>
                            </w:r>
                            <w:proofErr w:type="gramEnd"/>
                            <w:r>
                              <w:rPr>
                                <w:rFonts w:ascii="楷体" w:eastAsia="楷体" w:hAnsi="楷体"/>
                                <w:b/>
                                <w:sz w:val="22"/>
                                <w:szCs w:val="21"/>
                              </w:rPr>
                              <w:t>+与其他基金比较</w:t>
                            </w:r>
                          </w:p>
                          <w:p w:rsidR="00E95E51" w:rsidRDefault="00502CD5">
                            <w:pPr>
                              <w:widowControl/>
                              <w:wordWrap w:val="0"/>
                              <w:spacing w:line="300" w:lineRule="atLeast"/>
                              <w:jc w:val="left"/>
                              <w:rPr>
                                <w:rFonts w:ascii="楷体" w:eastAsia="楷体" w:hAnsi="楷体"/>
                                <w:b/>
                                <w:sz w:val="22"/>
                                <w:szCs w:val="21"/>
                              </w:rPr>
                            </w:pPr>
                            <w:r>
                              <w:rPr>
                                <w:noProof/>
                              </w:rPr>
                              <w:drawing>
                                <wp:inline distT="0" distB="0" distL="0" distR="0" wp14:anchorId="2EDA63F2" wp14:editId="0B390F10">
                                  <wp:extent cx="2075815" cy="122110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90893" cy="1229914"/>
                                          </a:xfrm>
                                          <a:prstGeom prst="rect">
                                            <a:avLst/>
                                          </a:prstGeom>
                                          <a:noFill/>
                                          <a:ln>
                                            <a:noFill/>
                                          </a:ln>
                                        </pic:spPr>
                                      </pic:pic>
                                    </a:graphicData>
                                  </a:graphic>
                                </wp:inline>
                              </w:drawing>
                            </w:r>
                          </w:p>
                          <w:p w:rsidR="00E95E51" w:rsidRDefault="00502CD5">
                            <w:pPr>
                              <w:widowControl/>
                              <w:wordWrap w:val="0"/>
                              <w:spacing w:line="300" w:lineRule="atLeast"/>
                              <w:jc w:val="left"/>
                              <w:rPr>
                                <w:rFonts w:ascii="楷体" w:eastAsia="楷体" w:hAnsi="楷体" w:cs="宋体"/>
                                <w:bCs/>
                                <w:color w:val="000000"/>
                                <w:kern w:val="0"/>
                                <w:sz w:val="13"/>
                                <w:szCs w:val="15"/>
                              </w:rPr>
                            </w:pPr>
                            <w:r>
                              <w:rPr>
                                <w:rFonts w:ascii="楷体" w:eastAsia="楷体" w:hAnsi="楷体" w:cs="宋体" w:hint="eastAsia"/>
                                <w:bCs/>
                                <w:color w:val="000000"/>
                                <w:kern w:val="0"/>
                                <w:sz w:val="13"/>
                                <w:szCs w:val="15"/>
                              </w:rPr>
                              <w:t>数据来源：Wind，基</w:t>
                            </w:r>
                            <w:proofErr w:type="gramStart"/>
                            <w:r>
                              <w:rPr>
                                <w:rFonts w:ascii="楷体" w:eastAsia="楷体" w:hAnsi="楷体" w:cs="宋体" w:hint="eastAsia"/>
                                <w:bCs/>
                                <w:color w:val="000000"/>
                                <w:kern w:val="0"/>
                                <w:sz w:val="13"/>
                                <w:szCs w:val="15"/>
                              </w:rPr>
                              <w:t>煜</w:t>
                            </w:r>
                            <w:proofErr w:type="gramEnd"/>
                            <w:r>
                              <w:rPr>
                                <w:rFonts w:ascii="楷体" w:eastAsia="楷体" w:hAnsi="楷体" w:cs="宋体" w:hint="eastAsia"/>
                                <w:bCs/>
                                <w:color w:val="000000"/>
                                <w:kern w:val="0"/>
                                <w:sz w:val="13"/>
                                <w:szCs w:val="15"/>
                              </w:rPr>
                              <w:t>研究整理；数据区间：2015.06.30–2021.</w:t>
                            </w:r>
                            <w:r>
                              <w:rPr>
                                <w:rFonts w:ascii="楷体" w:eastAsia="楷体" w:hAnsi="楷体" w:cs="宋体"/>
                                <w:bCs/>
                                <w:color w:val="000000"/>
                                <w:kern w:val="0"/>
                                <w:sz w:val="13"/>
                                <w:szCs w:val="15"/>
                              </w:rPr>
                              <w:t>0</w:t>
                            </w:r>
                            <w:r>
                              <w:rPr>
                                <w:rFonts w:ascii="楷体" w:eastAsia="楷体" w:hAnsi="楷体" w:cs="宋体" w:hint="eastAsia"/>
                                <w:bCs/>
                                <w:color w:val="000000"/>
                                <w:kern w:val="0"/>
                                <w:sz w:val="13"/>
                                <w:szCs w:val="15"/>
                              </w:rPr>
                              <w:t>6.30</w:t>
                            </w:r>
                          </w:p>
                          <w:p w:rsidR="00E95E51" w:rsidRDefault="00E95E51">
                            <w:pPr>
                              <w:widowControl/>
                              <w:wordWrap w:val="0"/>
                              <w:spacing w:line="300" w:lineRule="atLeast"/>
                              <w:jc w:val="left"/>
                              <w:rPr>
                                <w:rFonts w:ascii="楷体" w:eastAsia="楷体" w:hAnsi="楷体" w:cs="宋体"/>
                                <w:bCs/>
                                <w:color w:val="000000"/>
                                <w:kern w:val="0"/>
                                <w:sz w:val="13"/>
                                <w:szCs w:val="15"/>
                              </w:rPr>
                            </w:pPr>
                          </w:p>
                          <w:p w:rsidR="00E95E51" w:rsidRDefault="00E95E51">
                            <w:pPr>
                              <w:widowControl/>
                              <w:wordWrap w:val="0"/>
                              <w:spacing w:line="300" w:lineRule="atLeast"/>
                              <w:jc w:val="left"/>
                              <w:rPr>
                                <w:rFonts w:ascii="楷体" w:eastAsia="楷体" w:hAnsi="楷体" w:cs="宋体"/>
                                <w:bCs/>
                                <w:color w:val="000000"/>
                                <w:kern w:val="0"/>
                                <w:sz w:val="13"/>
                                <w:szCs w:val="15"/>
                              </w:rPr>
                            </w:pPr>
                          </w:p>
                          <w:p w:rsidR="00E95E51" w:rsidRDefault="00502CD5">
                            <w:pPr>
                              <w:widowControl/>
                              <w:wordWrap w:val="0"/>
                              <w:spacing w:line="300" w:lineRule="atLeast"/>
                              <w:jc w:val="left"/>
                              <w:rPr>
                                <w:rFonts w:ascii="楷体" w:eastAsia="楷体" w:hAnsi="楷体" w:cs="宋体"/>
                                <w:bCs/>
                                <w:color w:val="000000"/>
                                <w:kern w:val="0"/>
                                <w:sz w:val="13"/>
                                <w:szCs w:val="15"/>
                              </w:rPr>
                            </w:pPr>
                            <w:r>
                              <w:rPr>
                                <w:rFonts w:ascii="楷体" w:eastAsia="楷体" w:hAnsi="楷体" w:cs="Arial"/>
                                <w:color w:val="666666"/>
                                <w:kern w:val="0"/>
                                <w:sz w:val="18"/>
                                <w:szCs w:val="20"/>
                              </w:rPr>
                              <w:t>报告</w:t>
                            </w:r>
                            <w:r>
                              <w:rPr>
                                <w:rFonts w:ascii="楷体" w:eastAsia="楷体" w:hAnsi="楷体" w:cs="Arial" w:hint="eastAsia"/>
                                <w:color w:val="666666"/>
                                <w:kern w:val="0"/>
                                <w:sz w:val="18"/>
                                <w:szCs w:val="20"/>
                              </w:rPr>
                              <w:t>作者：</w:t>
                            </w:r>
                            <w:proofErr w:type="gramStart"/>
                            <w:r>
                              <w:rPr>
                                <w:rFonts w:ascii="楷体" w:eastAsia="楷体" w:hAnsi="楷体" w:cs="Arial" w:hint="eastAsia"/>
                                <w:color w:val="666666"/>
                                <w:kern w:val="0"/>
                                <w:sz w:val="18"/>
                                <w:szCs w:val="20"/>
                              </w:rPr>
                              <w:t>徐</w:t>
                            </w:r>
                            <w:r>
                              <w:rPr>
                                <w:rFonts w:ascii="楷体" w:eastAsia="楷体" w:hAnsi="楷体" w:cs="Arial"/>
                                <w:color w:val="666666"/>
                                <w:kern w:val="0"/>
                                <w:sz w:val="18"/>
                                <w:szCs w:val="20"/>
                              </w:rPr>
                              <w:t>意辰</w:t>
                            </w:r>
                            <w:proofErr w:type="gramEnd"/>
                          </w:p>
                          <w:p w:rsidR="00E95E51" w:rsidRDefault="00502CD5">
                            <w:pPr>
                              <w:widowControl/>
                              <w:wordWrap w:val="0"/>
                              <w:spacing w:line="300" w:lineRule="atLeast"/>
                              <w:jc w:val="left"/>
                              <w:rPr>
                                <w:rFonts w:ascii="楷体" w:eastAsia="楷体" w:hAnsi="楷体" w:cs="Arial"/>
                                <w:color w:val="666666"/>
                                <w:kern w:val="0"/>
                                <w:sz w:val="17"/>
                                <w:szCs w:val="17"/>
                              </w:rPr>
                            </w:pPr>
                            <w:r>
                              <w:rPr>
                                <w:rFonts w:ascii="楷体" w:eastAsia="楷体" w:hAnsi="楷体" w:cs="Arial" w:hint="eastAsia"/>
                                <w:color w:val="666666"/>
                                <w:kern w:val="0"/>
                                <w:sz w:val="17"/>
                                <w:szCs w:val="17"/>
                              </w:rPr>
                              <w:t>邮件地址：</w:t>
                            </w:r>
                            <w:hyperlink r:id="rId11" w:history="1">
                              <w:r>
                                <w:rPr>
                                  <w:rFonts w:ascii="楷体" w:eastAsia="楷体" w:hAnsi="楷体" w:cs="Arial" w:hint="eastAsia"/>
                                  <w:color w:val="666666"/>
                                  <w:kern w:val="0"/>
                                  <w:sz w:val="17"/>
                                  <w:szCs w:val="17"/>
                                </w:rPr>
                                <w:t>xuyichen</w:t>
                              </w:r>
                              <w:r>
                                <w:rPr>
                                  <w:rFonts w:ascii="楷体" w:eastAsia="楷体" w:hAnsi="楷体" w:cs="Arial"/>
                                  <w:color w:val="666666"/>
                                  <w:kern w:val="0"/>
                                  <w:sz w:val="17"/>
                                  <w:szCs w:val="17"/>
                                </w:rPr>
                                <w:t>@fofund.com.cn</w:t>
                              </w:r>
                            </w:hyperlink>
                          </w:p>
                          <w:p w:rsidR="00E95E51" w:rsidRDefault="00502CD5">
                            <w:pPr>
                              <w:widowControl/>
                              <w:wordWrap w:val="0"/>
                              <w:spacing w:line="300" w:lineRule="atLeast"/>
                              <w:jc w:val="left"/>
                              <w:rPr>
                                <w:rFonts w:ascii="楷体" w:eastAsia="楷体" w:hAnsi="楷体" w:cs="Arial"/>
                                <w:color w:val="666666"/>
                                <w:kern w:val="0"/>
                                <w:sz w:val="18"/>
                                <w:szCs w:val="18"/>
                              </w:rPr>
                            </w:pPr>
                            <w:r>
                              <w:rPr>
                                <w:rFonts w:ascii="楷体" w:eastAsia="楷体" w:hAnsi="楷体" w:cs="Arial" w:hint="eastAsia"/>
                                <w:color w:val="666666"/>
                                <w:kern w:val="0"/>
                                <w:sz w:val="18"/>
                                <w:szCs w:val="18"/>
                              </w:rPr>
                              <w:t>报告作者</w:t>
                            </w:r>
                            <w:r>
                              <w:rPr>
                                <w:rFonts w:ascii="楷体" w:eastAsia="楷体" w:hAnsi="楷体" w:cs="Arial"/>
                                <w:color w:val="666666"/>
                                <w:kern w:val="0"/>
                                <w:sz w:val="18"/>
                                <w:szCs w:val="18"/>
                              </w:rPr>
                              <w:t>：</w:t>
                            </w:r>
                            <w:r>
                              <w:rPr>
                                <w:rFonts w:ascii="楷体" w:eastAsia="楷体" w:hAnsi="楷体" w:cs="Arial" w:hint="eastAsia"/>
                                <w:color w:val="666666"/>
                                <w:kern w:val="0"/>
                                <w:sz w:val="18"/>
                                <w:szCs w:val="18"/>
                              </w:rPr>
                              <w:t>韩斯婕</w:t>
                            </w:r>
                          </w:p>
                          <w:p w:rsidR="00E95E51" w:rsidRDefault="00502CD5">
                            <w:pPr>
                              <w:widowControl/>
                              <w:wordWrap w:val="0"/>
                              <w:spacing w:line="300" w:lineRule="atLeast"/>
                              <w:jc w:val="left"/>
                              <w:rPr>
                                <w:rFonts w:ascii="楷体" w:eastAsia="楷体" w:hAnsi="楷体" w:cs="Arial"/>
                                <w:color w:val="666666"/>
                                <w:kern w:val="0"/>
                                <w:sz w:val="17"/>
                                <w:szCs w:val="17"/>
                              </w:rPr>
                            </w:pPr>
                            <w:r>
                              <w:rPr>
                                <w:rFonts w:ascii="楷体" w:eastAsia="楷体" w:hAnsi="楷体" w:cs="Arial" w:hint="eastAsia"/>
                                <w:color w:val="666666"/>
                                <w:kern w:val="0"/>
                                <w:sz w:val="17"/>
                                <w:szCs w:val="17"/>
                              </w:rPr>
                              <w:t>邮箱地址</w:t>
                            </w:r>
                            <w:r>
                              <w:rPr>
                                <w:rFonts w:ascii="楷体" w:eastAsia="楷体" w:hAnsi="楷体" w:cs="Arial"/>
                                <w:color w:val="666666"/>
                                <w:kern w:val="0"/>
                                <w:sz w:val="17"/>
                                <w:szCs w:val="17"/>
                              </w:rPr>
                              <w:t>：</w:t>
                            </w:r>
                            <w:hyperlink r:id="rId12" w:history="1">
                              <w:r>
                                <w:rPr>
                                  <w:rFonts w:ascii="楷体" w:eastAsia="楷体" w:hAnsi="楷体"/>
                                  <w:color w:val="666666"/>
                                  <w:sz w:val="17"/>
                                  <w:szCs w:val="17"/>
                                </w:rPr>
                                <w:t>hansijie</w:t>
                              </w:r>
                              <w:r>
                                <w:rPr>
                                  <w:rFonts w:ascii="楷体" w:eastAsia="楷体" w:hAnsi="楷体" w:hint="eastAsia"/>
                                  <w:color w:val="666666"/>
                                  <w:sz w:val="17"/>
                                  <w:szCs w:val="17"/>
                                </w:rPr>
                                <w:t>@fofund.com.cn</w:t>
                              </w:r>
                            </w:hyperlink>
                          </w:p>
                          <w:p w:rsidR="00E95E51" w:rsidRDefault="00502CD5">
                            <w:pPr>
                              <w:widowControl/>
                              <w:wordWrap w:val="0"/>
                              <w:spacing w:line="300" w:lineRule="atLeast"/>
                              <w:jc w:val="left"/>
                              <w:rPr>
                                <w:rFonts w:ascii="楷体" w:eastAsia="楷体" w:hAnsi="楷体" w:cs="Arial"/>
                                <w:color w:val="666666"/>
                                <w:kern w:val="0"/>
                                <w:sz w:val="18"/>
                                <w:szCs w:val="18"/>
                              </w:rPr>
                            </w:pPr>
                            <w:r>
                              <w:rPr>
                                <w:rFonts w:ascii="楷体" w:eastAsia="楷体" w:hAnsi="楷体" w:cs="Arial" w:hint="eastAsia"/>
                                <w:color w:val="666666"/>
                                <w:kern w:val="0"/>
                                <w:sz w:val="18"/>
                                <w:szCs w:val="18"/>
                              </w:rPr>
                              <w:t>报告作者</w:t>
                            </w:r>
                            <w:r>
                              <w:rPr>
                                <w:rFonts w:ascii="楷体" w:eastAsia="楷体" w:hAnsi="楷体" w:cs="Arial"/>
                                <w:color w:val="666666"/>
                                <w:kern w:val="0"/>
                                <w:sz w:val="18"/>
                                <w:szCs w:val="18"/>
                              </w:rPr>
                              <w:t>：</w:t>
                            </w:r>
                            <w:r>
                              <w:rPr>
                                <w:rFonts w:ascii="楷体" w:eastAsia="楷体" w:hAnsi="楷体" w:cs="Arial" w:hint="eastAsia"/>
                                <w:color w:val="666666"/>
                                <w:kern w:val="0"/>
                                <w:sz w:val="18"/>
                                <w:szCs w:val="18"/>
                              </w:rPr>
                              <w:t>张晨</w:t>
                            </w:r>
                            <w:r>
                              <w:rPr>
                                <w:rFonts w:ascii="楷体" w:eastAsia="楷体" w:hAnsi="楷体" w:cs="Arial"/>
                                <w:color w:val="666666"/>
                                <w:kern w:val="0"/>
                                <w:sz w:val="18"/>
                                <w:szCs w:val="18"/>
                              </w:rPr>
                              <w:t>，CAIA</w:t>
                            </w:r>
                            <w:r>
                              <w:rPr>
                                <w:rFonts w:ascii="楷体" w:eastAsia="楷体" w:hAnsi="楷体" w:cs="Arial" w:hint="eastAsia"/>
                                <w:color w:val="666666"/>
                                <w:kern w:val="0"/>
                                <w:sz w:val="18"/>
                                <w:szCs w:val="18"/>
                              </w:rPr>
                              <w:t>，FRM</w:t>
                            </w:r>
                          </w:p>
                          <w:p w:rsidR="00E95E51" w:rsidRDefault="00502CD5">
                            <w:pPr>
                              <w:widowControl/>
                              <w:wordWrap w:val="0"/>
                              <w:spacing w:line="300" w:lineRule="atLeast"/>
                              <w:jc w:val="left"/>
                              <w:rPr>
                                <w:rFonts w:ascii="楷体" w:eastAsia="楷体" w:hAnsi="楷体" w:cs="Arial"/>
                                <w:color w:val="666666"/>
                                <w:kern w:val="0"/>
                                <w:sz w:val="17"/>
                                <w:szCs w:val="17"/>
                              </w:rPr>
                            </w:pPr>
                            <w:r>
                              <w:rPr>
                                <w:rFonts w:ascii="楷体" w:eastAsia="楷体" w:hAnsi="楷体" w:cs="Arial" w:hint="eastAsia"/>
                                <w:color w:val="666666"/>
                                <w:kern w:val="0"/>
                                <w:sz w:val="17"/>
                                <w:szCs w:val="17"/>
                              </w:rPr>
                              <w:t>邮箱地址</w:t>
                            </w:r>
                            <w:r>
                              <w:rPr>
                                <w:rFonts w:ascii="楷体" w:eastAsia="楷体" w:hAnsi="楷体" w:cs="Arial"/>
                                <w:color w:val="666666"/>
                                <w:kern w:val="0"/>
                                <w:sz w:val="17"/>
                                <w:szCs w:val="17"/>
                              </w:rPr>
                              <w:t>：</w:t>
                            </w:r>
                            <w:r>
                              <w:rPr>
                                <w:rFonts w:ascii="楷体" w:eastAsia="楷体" w:hAnsi="楷体"/>
                                <w:color w:val="666666"/>
                                <w:sz w:val="17"/>
                                <w:szCs w:val="17"/>
                              </w:rPr>
                              <w:t>zhangchen</w:t>
                            </w:r>
                            <w:r>
                              <w:rPr>
                                <w:rFonts w:ascii="楷体" w:eastAsia="楷体" w:hAnsi="楷体" w:hint="eastAsia"/>
                                <w:color w:val="666666"/>
                                <w:sz w:val="17"/>
                                <w:szCs w:val="17"/>
                              </w:rPr>
                              <w:t>@fofund.com.cn</w:t>
                            </w:r>
                          </w:p>
                          <w:p w:rsidR="00E95E51" w:rsidRDefault="00E95E51">
                            <w:pPr>
                              <w:widowControl/>
                              <w:wordWrap w:val="0"/>
                              <w:spacing w:line="300" w:lineRule="atLeast"/>
                              <w:jc w:val="left"/>
                              <w:rPr>
                                <w:rFonts w:ascii="楷体" w:eastAsia="楷体" w:hAnsi="楷体" w:cstheme="minorHAnsi"/>
                                <w:b/>
                                <w:sz w:val="22"/>
                                <w:szCs w:val="24"/>
                              </w:rPr>
                            </w:pPr>
                          </w:p>
                        </w:txbxContent>
                      </wps:txbx>
                      <wps:bodyPr rot="0" vert="horz" wrap="square" lIns="91440" tIns="45720" rIns="91440" bIns="45720" anchor="t" anchorCtr="0">
                        <a:noAutofit/>
                      </wps:bodyPr>
                    </wps:wsp>
                  </a:graphicData>
                </a:graphic>
              </wp:anchor>
            </w:drawing>
          </mc:Choice>
          <mc:Fallback>
            <w:pict>
              <v:shapetype w14:anchorId="5A27F738" id="_x0000_t202" coordsize="21600,21600" o:spt="202" path="m,l,21600r21600,l21600,xe">
                <v:stroke joinstyle="miter"/>
                <v:path gradientshapeok="t" o:connecttype="rect"/>
              </v:shapetype>
              <v:shape id="_x0000_s1027" type="#_x0000_t202" style="position:absolute;left:0;text-align:left;margin-left:-15.5pt;margin-top:47pt;width:178.65pt;height:643.95pt;z-index:251664384;visibility:visible;mso-wrap-style:square;mso-wrap-distance-left:11.35pt;mso-wrap-distance-top:3.6pt;mso-wrap-distance-right:11.35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DwOAIAAC4EAAAOAAAAZHJzL2Uyb0RvYy54bWysU82O0zAQviPxDpbvNGnUdtuo6Wq3VRHS&#10;8iMtPIDrOI2F4zG222R5AHgDTly481x9DsZOtlvghvDB8nhmvpn5ZmZ53TWKHIV1EnRBx6OUEqE5&#10;lFLvC/rh/fbFnBLnmS6ZAi0K+iAcvV49f7ZsTS4yqEGVwhIE0S5vTUFr702eJI7XomFuBEZoVFZg&#10;G+ZRtPuktKxF9EYlWZrOkhZsaSxw4Rz+bnolXUX8qhLcv60qJzxRBcXcfLxtvHfhTlZLlu8tM7Xk&#10;QxrsH7JomNQY9Ay1YZ6Rg5V/QTWSW3BQ+RGHJoGqklzEGrCacfpHNfc1MyLWguQ4c6bJ/T9Y/ub4&#10;zhJZYu8ySjRrsEenb19P33+efnwhWeCnNS5Hs3uDhr67hQ5tY63O3AH/6IiGdc30XtxYC20tWIn5&#10;jYNncuHa47gAsmtfQ4lx2MFDBOoq2wTykA6C6Ninh3NvROcJx88sm83n0yklHHXz8dV8PJvGGCx/&#10;dDfW+ZcCGhIeBbXY/AjPjnfOh3RY/mgSojlQstxKpaJg97u1suTIcFC26WZzu+19lalZ/5st5ulk&#10;COl684j5G47SpC3oYppNo7uGECAOWSM9TrqSDaafhjNAKT0QFbjpWfLdrut7EmwCiTsoH5A5C/0A&#10;48Lhowb7mZIWh7eg7tOBWUGJeqWR/cV4MgnTHoXJ9CpDwV5qdpcapjlCFdRT0j/XPm5I4EXDDXap&#10;kpG/p0yGlHEoIwXDAoWpv5Sj1dOar34BAAD//wMAUEsDBBQABgAIAAAAIQAp9Guk3wAAAAsBAAAP&#10;AAAAZHJzL2Rvd25yZXYueG1sTI/BSsQwEIbvgu8QRvC2m3ardbc2XUQQBE9W8Zw2Y1NsktLMttWn&#10;dzy5p2GYj3++vzyubhAzTrEPXkG6TUCgb4Ppfafg/e1pswcRSXujh+BRwTdGOFaXF6UuTFj8K841&#10;dYJDfCy0Aks0FlLG1qLTcRtG9Hz7DJPTxOvUSTPphcPdIHdJkkune88frB7x0WL7VZ+cAtncpvKO&#10;6nl+sfUPPS+uSfIPpa6v1od7EIQr/cPwp8/qULFTE07eRDEo2GQpdyEFhxueDGS7PAPRMJnt0wPI&#10;qpTnHapfAAAA//8DAFBLAQItABQABgAIAAAAIQC2gziS/gAAAOEBAAATAAAAAAAAAAAAAAAAAAAA&#10;AABbQ29udGVudF9UeXBlc10ueG1sUEsBAi0AFAAGAAgAAAAhADj9If/WAAAAlAEAAAsAAAAAAAAA&#10;AAAAAAAALwEAAF9yZWxzLy5yZWxzUEsBAi0AFAAGAAgAAAAhAIfNQPA4AgAALgQAAA4AAAAAAAAA&#10;AAAAAAAALgIAAGRycy9lMm9Eb2MueG1sUEsBAi0AFAAGAAgAAAAhACn0a6TfAAAACwEAAA8AAAAA&#10;AAAAAAAAAAAAkgQAAGRycy9kb3ducmV2LnhtbFBLBQYAAAAABAAEAPMAAACeBQAAAAA=&#10;" fillcolor="#f0ddbf" stroked="f">
                <v:fill opacity="19532f"/>
                <v:textbox>
                  <w:txbxContent>
                    <w:p w:rsidR="00E95E51" w:rsidRDefault="00502CD5">
                      <w:pPr>
                        <w:rPr>
                          <w:rFonts w:ascii="楷体" w:eastAsia="楷体" w:hAnsi="楷体"/>
                          <w:b/>
                          <w:szCs w:val="21"/>
                        </w:rPr>
                      </w:pPr>
                      <w:proofErr w:type="gramStart"/>
                      <w:r>
                        <w:rPr>
                          <w:rFonts w:ascii="楷体" w:eastAsia="楷体" w:hAnsi="楷体" w:hint="eastAsia"/>
                          <w:b/>
                          <w:szCs w:val="21"/>
                        </w:rPr>
                        <w:t>固收</w:t>
                      </w:r>
                      <w:proofErr w:type="gramEnd"/>
                      <w:r>
                        <w:rPr>
                          <w:rFonts w:ascii="楷体" w:eastAsia="楷体" w:hAnsi="楷体" w:hint="eastAsia"/>
                          <w:b/>
                          <w:szCs w:val="21"/>
                        </w:rPr>
                        <w:t>+基金</w:t>
                      </w:r>
                      <w:r>
                        <w:rPr>
                          <w:rFonts w:ascii="楷体" w:eastAsia="楷体" w:hAnsi="楷体"/>
                          <w:b/>
                          <w:szCs w:val="21"/>
                        </w:rPr>
                        <w:t>指数走势</w:t>
                      </w:r>
                    </w:p>
                    <w:p w:rsidR="00E95E51" w:rsidRDefault="00502CD5">
                      <w:pPr>
                        <w:rPr>
                          <w:rFonts w:ascii="楷体" w:eastAsia="楷体" w:hAnsi="楷体"/>
                          <w:szCs w:val="21"/>
                        </w:rPr>
                      </w:pPr>
                      <w:r>
                        <w:rPr>
                          <w:rFonts w:ascii="楷体" w:eastAsia="楷体" w:hAnsi="楷体"/>
                          <w:noProof/>
                          <w:color w:val="000000" w:themeColor="text1"/>
                          <w:sz w:val="18"/>
                          <w:szCs w:val="18"/>
                        </w:rPr>
                        <w:drawing>
                          <wp:inline distT="0" distB="0" distL="0" distR="0" wp14:anchorId="5293E6FE" wp14:editId="0F1189A6">
                            <wp:extent cx="2076450" cy="11398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85033" cy="1144689"/>
                                    </a:xfrm>
                                    <a:prstGeom prst="rect">
                                      <a:avLst/>
                                    </a:prstGeom>
                                    <a:noFill/>
                                  </pic:spPr>
                                </pic:pic>
                              </a:graphicData>
                            </a:graphic>
                          </wp:inline>
                        </w:drawing>
                      </w:r>
                    </w:p>
                    <w:p w:rsidR="00E95E51" w:rsidRDefault="00502CD5">
                      <w:pPr>
                        <w:widowControl/>
                        <w:adjustRightInd w:val="0"/>
                        <w:snapToGrid w:val="0"/>
                        <w:jc w:val="left"/>
                        <w:rPr>
                          <w:rFonts w:ascii="楷体" w:eastAsia="楷体" w:hAnsi="楷体" w:cs="宋体"/>
                          <w:bCs/>
                          <w:color w:val="000000"/>
                          <w:kern w:val="0"/>
                          <w:sz w:val="13"/>
                          <w:szCs w:val="15"/>
                        </w:rPr>
                      </w:pPr>
                      <w:r>
                        <w:rPr>
                          <w:rFonts w:ascii="楷体" w:eastAsia="楷体" w:hAnsi="楷体" w:cs="宋体" w:hint="eastAsia"/>
                          <w:bCs/>
                          <w:color w:val="000000"/>
                          <w:kern w:val="0"/>
                          <w:sz w:val="13"/>
                          <w:szCs w:val="15"/>
                        </w:rPr>
                        <w:t>数据来源：Wind，基</w:t>
                      </w:r>
                      <w:proofErr w:type="gramStart"/>
                      <w:r>
                        <w:rPr>
                          <w:rFonts w:ascii="楷体" w:eastAsia="楷体" w:hAnsi="楷体" w:cs="宋体" w:hint="eastAsia"/>
                          <w:bCs/>
                          <w:color w:val="000000"/>
                          <w:kern w:val="0"/>
                          <w:sz w:val="13"/>
                          <w:szCs w:val="15"/>
                        </w:rPr>
                        <w:t>煜</w:t>
                      </w:r>
                      <w:proofErr w:type="gramEnd"/>
                      <w:r>
                        <w:rPr>
                          <w:rFonts w:ascii="楷体" w:eastAsia="楷体" w:hAnsi="楷体" w:cs="宋体" w:hint="eastAsia"/>
                          <w:bCs/>
                          <w:color w:val="000000"/>
                          <w:kern w:val="0"/>
                          <w:sz w:val="13"/>
                          <w:szCs w:val="15"/>
                        </w:rPr>
                        <w:t>研究整理；数据区间：2018.1.1</w:t>
                      </w:r>
                      <w:r>
                        <w:rPr>
                          <w:rFonts w:ascii="楷体" w:eastAsia="楷体" w:hAnsi="楷体" w:cs="宋体"/>
                          <w:bCs/>
                          <w:color w:val="000000"/>
                          <w:kern w:val="0"/>
                          <w:sz w:val="13"/>
                          <w:szCs w:val="15"/>
                        </w:rPr>
                        <w:t>-</w:t>
                      </w:r>
                      <w:r>
                        <w:rPr>
                          <w:rFonts w:ascii="楷体" w:eastAsia="楷体" w:hAnsi="楷体" w:cs="宋体" w:hint="eastAsia"/>
                          <w:bCs/>
                          <w:color w:val="000000"/>
                          <w:kern w:val="0"/>
                          <w:sz w:val="13"/>
                          <w:szCs w:val="15"/>
                        </w:rPr>
                        <w:t>2021.3.31</w:t>
                      </w:r>
                    </w:p>
                    <w:p w:rsidR="00E95E51" w:rsidRDefault="00E95E51">
                      <w:pPr>
                        <w:widowControl/>
                        <w:adjustRightInd w:val="0"/>
                        <w:snapToGrid w:val="0"/>
                        <w:jc w:val="left"/>
                        <w:rPr>
                          <w:rFonts w:ascii="楷体" w:eastAsia="楷体" w:hAnsi="楷体" w:cs="Arial"/>
                          <w:color w:val="666666"/>
                          <w:kern w:val="0"/>
                          <w:sz w:val="18"/>
                          <w:szCs w:val="20"/>
                        </w:rPr>
                      </w:pPr>
                    </w:p>
                    <w:p w:rsidR="00E95E51" w:rsidRDefault="00502CD5">
                      <w:pPr>
                        <w:rPr>
                          <w:rFonts w:ascii="楷体" w:eastAsia="楷体" w:hAnsi="楷体"/>
                          <w:b/>
                          <w:szCs w:val="21"/>
                        </w:rPr>
                      </w:pPr>
                      <w:proofErr w:type="gramStart"/>
                      <w:r>
                        <w:rPr>
                          <w:rFonts w:ascii="楷体" w:eastAsia="楷体" w:hAnsi="楷体" w:hint="eastAsia"/>
                          <w:b/>
                          <w:szCs w:val="21"/>
                        </w:rPr>
                        <w:t>固收</w:t>
                      </w:r>
                      <w:proofErr w:type="gramEnd"/>
                      <w:r>
                        <w:rPr>
                          <w:rFonts w:ascii="楷体" w:eastAsia="楷体" w:hAnsi="楷体" w:hint="eastAsia"/>
                          <w:b/>
                          <w:szCs w:val="21"/>
                        </w:rPr>
                        <w:t>+分类风险收益特征</w:t>
                      </w:r>
                    </w:p>
                    <w:tbl>
                      <w:tblPr>
                        <w:tblW w:w="3473" w:type="dxa"/>
                        <w:tblInd w:w="-10" w:type="dxa"/>
                        <w:tblLayout w:type="fixed"/>
                        <w:tblLook w:val="04A0" w:firstRow="1" w:lastRow="0" w:firstColumn="1" w:lastColumn="0" w:noHBand="0" w:noVBand="1"/>
                      </w:tblPr>
                      <w:tblGrid>
                        <w:gridCol w:w="996"/>
                        <w:gridCol w:w="869"/>
                        <w:gridCol w:w="869"/>
                        <w:gridCol w:w="739"/>
                      </w:tblGrid>
                      <w:tr w:rsidR="00E95E51">
                        <w:trPr>
                          <w:trHeight w:val="246"/>
                        </w:trPr>
                        <w:tc>
                          <w:tcPr>
                            <w:tcW w:w="996" w:type="dxa"/>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502CD5">
                            <w:pPr>
                              <w:widowControl/>
                              <w:jc w:val="left"/>
                              <w:rPr>
                                <w:rFonts w:ascii="等线" w:eastAsia="等线" w:hAnsi="等线" w:cs="宋体"/>
                                <w:color w:val="000000"/>
                                <w:kern w:val="0"/>
                                <w:sz w:val="13"/>
                                <w:szCs w:val="21"/>
                              </w:rPr>
                            </w:pPr>
                            <w:r>
                              <w:rPr>
                                <w:rFonts w:ascii="等线" w:eastAsia="等线" w:hAnsi="等线" w:cs="宋体" w:hint="eastAsia"/>
                                <w:color w:val="000000"/>
                                <w:kern w:val="0"/>
                                <w:sz w:val="13"/>
                                <w:szCs w:val="21"/>
                              </w:rPr>
                              <w:t xml:space="preserve">　</w:t>
                            </w:r>
                          </w:p>
                        </w:tc>
                        <w:tc>
                          <w:tcPr>
                            <w:tcW w:w="869"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3"/>
                                <w:szCs w:val="18"/>
                              </w:rPr>
                            </w:pPr>
                            <w:proofErr w:type="gramStart"/>
                            <w:r>
                              <w:rPr>
                                <w:rFonts w:ascii="楷体" w:eastAsia="楷体" w:hAnsi="楷体" w:cs="宋体" w:hint="eastAsia"/>
                                <w:b/>
                                <w:bCs/>
                                <w:color w:val="FFFFFF"/>
                                <w:kern w:val="0"/>
                                <w:sz w:val="13"/>
                                <w:szCs w:val="18"/>
                              </w:rPr>
                              <w:t>年化波动</w:t>
                            </w:r>
                            <w:proofErr w:type="gramEnd"/>
                            <w:r>
                              <w:rPr>
                                <w:rFonts w:ascii="楷体" w:eastAsia="楷体" w:hAnsi="楷体" w:cs="宋体" w:hint="eastAsia"/>
                                <w:b/>
                                <w:bCs/>
                                <w:color w:val="FFFFFF"/>
                                <w:kern w:val="0"/>
                                <w:sz w:val="13"/>
                                <w:szCs w:val="18"/>
                              </w:rPr>
                              <w:t>率</w:t>
                            </w:r>
                          </w:p>
                        </w:tc>
                        <w:tc>
                          <w:tcPr>
                            <w:tcW w:w="869"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3"/>
                                <w:szCs w:val="18"/>
                              </w:rPr>
                            </w:pPr>
                            <w:proofErr w:type="gramStart"/>
                            <w:r>
                              <w:rPr>
                                <w:rFonts w:ascii="楷体" w:eastAsia="楷体" w:hAnsi="楷体" w:cs="宋体" w:hint="eastAsia"/>
                                <w:b/>
                                <w:bCs/>
                                <w:color w:val="FFFFFF"/>
                                <w:kern w:val="0"/>
                                <w:sz w:val="13"/>
                                <w:szCs w:val="18"/>
                              </w:rPr>
                              <w:t>年化收益率</w:t>
                            </w:r>
                            <w:proofErr w:type="gramEnd"/>
                          </w:p>
                        </w:tc>
                        <w:tc>
                          <w:tcPr>
                            <w:tcW w:w="739"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3"/>
                                <w:szCs w:val="18"/>
                              </w:rPr>
                            </w:pPr>
                            <w:r>
                              <w:rPr>
                                <w:rFonts w:ascii="楷体" w:eastAsia="楷体" w:hAnsi="楷体" w:cs="宋体" w:hint="eastAsia"/>
                                <w:b/>
                                <w:bCs/>
                                <w:color w:val="FFFFFF"/>
                                <w:kern w:val="0"/>
                                <w:sz w:val="13"/>
                                <w:szCs w:val="18"/>
                              </w:rPr>
                              <w:t>夏普比率</w:t>
                            </w:r>
                          </w:p>
                        </w:tc>
                      </w:tr>
                      <w:tr w:rsidR="00E95E51">
                        <w:trPr>
                          <w:trHeight w:val="238"/>
                        </w:trPr>
                        <w:tc>
                          <w:tcPr>
                            <w:tcW w:w="99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股票基金</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18.02%</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12.39%</w:t>
                            </w:r>
                          </w:p>
                        </w:tc>
                        <w:tc>
                          <w:tcPr>
                            <w:tcW w:w="73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0.60</w:t>
                            </w:r>
                          </w:p>
                        </w:tc>
                      </w:tr>
                      <w:tr w:rsidR="00E95E51">
                        <w:trPr>
                          <w:trHeight w:val="238"/>
                        </w:trPr>
                        <w:tc>
                          <w:tcPr>
                            <w:tcW w:w="99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可转</w:t>
                            </w:r>
                            <w:proofErr w:type="gramStart"/>
                            <w:r>
                              <w:rPr>
                                <w:rFonts w:ascii="楷体" w:eastAsia="楷体" w:hAnsi="楷体" w:cs="宋体" w:hint="eastAsia"/>
                                <w:color w:val="000000"/>
                                <w:kern w:val="0"/>
                                <w:sz w:val="13"/>
                                <w:szCs w:val="18"/>
                              </w:rPr>
                              <w:t>债基金</w:t>
                            </w:r>
                            <w:proofErr w:type="gramEnd"/>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12.28%</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5.15%</w:t>
                            </w:r>
                          </w:p>
                        </w:tc>
                        <w:tc>
                          <w:tcPr>
                            <w:tcW w:w="73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0.30</w:t>
                            </w:r>
                          </w:p>
                        </w:tc>
                      </w:tr>
                      <w:tr w:rsidR="00E95E51">
                        <w:trPr>
                          <w:trHeight w:val="238"/>
                        </w:trPr>
                        <w:tc>
                          <w:tcPr>
                            <w:tcW w:w="99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proofErr w:type="gramStart"/>
                            <w:r>
                              <w:rPr>
                                <w:rFonts w:ascii="楷体" w:eastAsia="楷体" w:hAnsi="楷体" w:cs="宋体" w:hint="eastAsia"/>
                                <w:b/>
                                <w:color w:val="000000"/>
                                <w:kern w:val="0"/>
                                <w:sz w:val="13"/>
                                <w:szCs w:val="18"/>
                              </w:rPr>
                              <w:t>偏股型固收</w:t>
                            </w:r>
                            <w:proofErr w:type="gramEnd"/>
                            <w:r>
                              <w:rPr>
                                <w:rFonts w:ascii="楷体" w:eastAsia="楷体" w:hAnsi="楷体" w:cs="宋体" w:hint="eastAsia"/>
                                <w:b/>
                                <w:color w:val="000000"/>
                                <w:kern w:val="0"/>
                                <w:sz w:val="13"/>
                                <w:szCs w:val="18"/>
                              </w:rPr>
                              <w:t>+</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4.80%</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6.53%</w:t>
                            </w:r>
                          </w:p>
                        </w:tc>
                        <w:tc>
                          <w:tcPr>
                            <w:tcW w:w="73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1.05</w:t>
                            </w:r>
                          </w:p>
                        </w:tc>
                      </w:tr>
                      <w:tr w:rsidR="00E95E51">
                        <w:trPr>
                          <w:trHeight w:val="238"/>
                        </w:trPr>
                        <w:tc>
                          <w:tcPr>
                            <w:tcW w:w="99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proofErr w:type="gramStart"/>
                            <w:r>
                              <w:rPr>
                                <w:rFonts w:ascii="楷体" w:eastAsia="楷体" w:hAnsi="楷体" w:cs="宋体" w:hint="eastAsia"/>
                                <w:color w:val="000000"/>
                                <w:kern w:val="0"/>
                                <w:sz w:val="13"/>
                                <w:szCs w:val="18"/>
                              </w:rPr>
                              <w:t>二级债基</w:t>
                            </w:r>
                            <w:proofErr w:type="gramEnd"/>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4.15%</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4.51%</w:t>
                            </w:r>
                          </w:p>
                        </w:tc>
                        <w:tc>
                          <w:tcPr>
                            <w:tcW w:w="73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0.73</w:t>
                            </w:r>
                          </w:p>
                        </w:tc>
                      </w:tr>
                      <w:tr w:rsidR="00E95E51">
                        <w:trPr>
                          <w:trHeight w:val="238"/>
                        </w:trPr>
                        <w:tc>
                          <w:tcPr>
                            <w:tcW w:w="99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proofErr w:type="gramStart"/>
                            <w:r>
                              <w:rPr>
                                <w:rFonts w:ascii="楷体" w:eastAsia="楷体" w:hAnsi="楷体" w:cs="宋体" w:hint="eastAsia"/>
                                <w:color w:val="000000"/>
                                <w:kern w:val="0"/>
                                <w:sz w:val="13"/>
                                <w:szCs w:val="18"/>
                              </w:rPr>
                              <w:t>偏债混合</w:t>
                            </w:r>
                            <w:proofErr w:type="gramEnd"/>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3.54%</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6.29%</w:t>
                            </w:r>
                          </w:p>
                        </w:tc>
                        <w:tc>
                          <w:tcPr>
                            <w:tcW w:w="73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1.35</w:t>
                            </w:r>
                          </w:p>
                        </w:tc>
                      </w:tr>
                      <w:tr w:rsidR="00E95E51">
                        <w:trPr>
                          <w:trHeight w:val="238"/>
                        </w:trPr>
                        <w:tc>
                          <w:tcPr>
                            <w:tcW w:w="99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股票市场中性</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3.20%</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4.69%</w:t>
                            </w:r>
                          </w:p>
                        </w:tc>
                        <w:tc>
                          <w:tcPr>
                            <w:tcW w:w="73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1.00</w:t>
                            </w:r>
                          </w:p>
                        </w:tc>
                      </w:tr>
                      <w:tr w:rsidR="00E95E51">
                        <w:trPr>
                          <w:trHeight w:val="238"/>
                        </w:trPr>
                        <w:tc>
                          <w:tcPr>
                            <w:tcW w:w="99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均衡</w:t>
                            </w:r>
                            <w:proofErr w:type="gramStart"/>
                            <w:r>
                              <w:rPr>
                                <w:rFonts w:ascii="楷体" w:eastAsia="楷体" w:hAnsi="楷体" w:cs="宋体" w:hint="eastAsia"/>
                                <w:b/>
                                <w:color w:val="000000"/>
                                <w:kern w:val="0"/>
                                <w:sz w:val="13"/>
                                <w:szCs w:val="18"/>
                              </w:rPr>
                              <w:t>型固收</w:t>
                            </w:r>
                            <w:proofErr w:type="gramEnd"/>
                            <w:r>
                              <w:rPr>
                                <w:rFonts w:ascii="楷体" w:eastAsia="楷体" w:hAnsi="楷体" w:cs="宋体" w:hint="eastAsia"/>
                                <w:b/>
                                <w:color w:val="000000"/>
                                <w:kern w:val="0"/>
                                <w:sz w:val="13"/>
                                <w:szCs w:val="18"/>
                              </w:rPr>
                              <w:t>+</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3.20%</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6.26%</w:t>
                            </w:r>
                          </w:p>
                        </w:tc>
                        <w:tc>
                          <w:tcPr>
                            <w:tcW w:w="73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1.49</w:t>
                            </w:r>
                          </w:p>
                        </w:tc>
                      </w:tr>
                      <w:tr w:rsidR="00E95E51">
                        <w:trPr>
                          <w:trHeight w:val="238"/>
                        </w:trPr>
                        <w:tc>
                          <w:tcPr>
                            <w:tcW w:w="99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3"/>
                                <w:szCs w:val="18"/>
                              </w:rPr>
                            </w:pPr>
                            <w:proofErr w:type="gramStart"/>
                            <w:r>
                              <w:rPr>
                                <w:rFonts w:ascii="楷体" w:eastAsia="楷体" w:hAnsi="楷体" w:cs="宋体" w:hint="eastAsia"/>
                                <w:b/>
                                <w:color w:val="000000"/>
                                <w:kern w:val="0"/>
                                <w:sz w:val="13"/>
                                <w:szCs w:val="18"/>
                              </w:rPr>
                              <w:t>偏债型固收</w:t>
                            </w:r>
                            <w:proofErr w:type="gramEnd"/>
                            <w:r>
                              <w:rPr>
                                <w:rFonts w:ascii="楷体" w:eastAsia="楷体" w:hAnsi="楷体" w:cs="宋体" w:hint="eastAsia"/>
                                <w:b/>
                                <w:color w:val="000000"/>
                                <w:kern w:val="0"/>
                                <w:sz w:val="13"/>
                                <w:szCs w:val="18"/>
                              </w:rPr>
                              <w:t>+</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1.93%</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4.60%</w:t>
                            </w:r>
                          </w:p>
                        </w:tc>
                        <w:tc>
                          <w:tcPr>
                            <w:tcW w:w="73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3"/>
                                <w:szCs w:val="18"/>
                              </w:rPr>
                            </w:pPr>
                            <w:r>
                              <w:rPr>
                                <w:rFonts w:ascii="楷体" w:eastAsia="楷体" w:hAnsi="楷体" w:cs="宋体" w:hint="eastAsia"/>
                                <w:b/>
                                <w:color w:val="000000"/>
                                <w:kern w:val="0"/>
                                <w:sz w:val="13"/>
                                <w:szCs w:val="18"/>
                              </w:rPr>
                              <w:t>1.60</w:t>
                            </w:r>
                          </w:p>
                        </w:tc>
                      </w:tr>
                      <w:tr w:rsidR="00E95E51">
                        <w:trPr>
                          <w:trHeight w:val="238"/>
                        </w:trPr>
                        <w:tc>
                          <w:tcPr>
                            <w:tcW w:w="99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纯债债基</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1.35%</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3.06%</w:t>
                            </w:r>
                          </w:p>
                        </w:tc>
                        <w:tc>
                          <w:tcPr>
                            <w:tcW w:w="73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3"/>
                                <w:szCs w:val="18"/>
                              </w:rPr>
                            </w:pPr>
                            <w:r>
                              <w:rPr>
                                <w:rFonts w:ascii="楷体" w:eastAsia="楷体" w:hAnsi="楷体" w:cs="宋体" w:hint="eastAsia"/>
                                <w:color w:val="000000"/>
                                <w:kern w:val="0"/>
                                <w:sz w:val="13"/>
                                <w:szCs w:val="18"/>
                              </w:rPr>
                              <w:t>1.16</w:t>
                            </w:r>
                          </w:p>
                        </w:tc>
                      </w:tr>
                    </w:tbl>
                    <w:p w:rsidR="00E95E51" w:rsidRDefault="00502CD5">
                      <w:pPr>
                        <w:widowControl/>
                        <w:adjustRightInd w:val="0"/>
                        <w:snapToGrid w:val="0"/>
                        <w:jc w:val="left"/>
                        <w:rPr>
                          <w:rFonts w:ascii="楷体" w:eastAsia="楷体" w:hAnsi="楷体" w:cs="宋体"/>
                          <w:bCs/>
                          <w:color w:val="000000"/>
                          <w:kern w:val="0"/>
                          <w:sz w:val="13"/>
                          <w:szCs w:val="15"/>
                        </w:rPr>
                      </w:pPr>
                      <w:r>
                        <w:rPr>
                          <w:rFonts w:ascii="楷体" w:eastAsia="楷体" w:hAnsi="楷体" w:cs="宋体" w:hint="eastAsia"/>
                          <w:bCs/>
                          <w:color w:val="000000"/>
                          <w:kern w:val="0"/>
                          <w:sz w:val="13"/>
                          <w:szCs w:val="15"/>
                        </w:rPr>
                        <w:t>数据来源：Wind，基</w:t>
                      </w:r>
                      <w:proofErr w:type="gramStart"/>
                      <w:r>
                        <w:rPr>
                          <w:rFonts w:ascii="楷体" w:eastAsia="楷体" w:hAnsi="楷体" w:cs="宋体" w:hint="eastAsia"/>
                          <w:bCs/>
                          <w:color w:val="000000"/>
                          <w:kern w:val="0"/>
                          <w:sz w:val="13"/>
                          <w:szCs w:val="15"/>
                        </w:rPr>
                        <w:t>煜</w:t>
                      </w:r>
                      <w:proofErr w:type="gramEnd"/>
                      <w:r>
                        <w:rPr>
                          <w:rFonts w:ascii="楷体" w:eastAsia="楷体" w:hAnsi="楷体" w:cs="宋体" w:hint="eastAsia"/>
                          <w:bCs/>
                          <w:color w:val="000000"/>
                          <w:kern w:val="0"/>
                          <w:sz w:val="13"/>
                          <w:szCs w:val="15"/>
                        </w:rPr>
                        <w:t>研究整理；数据区间：</w:t>
                      </w:r>
                      <w:r>
                        <w:rPr>
                          <w:rFonts w:ascii="楷体" w:eastAsia="楷体" w:hAnsi="楷体" w:cs="宋体"/>
                          <w:bCs/>
                          <w:color w:val="000000"/>
                          <w:kern w:val="0"/>
                          <w:sz w:val="13"/>
                          <w:szCs w:val="15"/>
                        </w:rPr>
                        <w:t>2016.6.30-2021.6.30</w:t>
                      </w:r>
                    </w:p>
                    <w:p w:rsidR="00E95E51" w:rsidRDefault="00E95E51">
                      <w:pPr>
                        <w:widowControl/>
                        <w:wordWrap w:val="0"/>
                        <w:spacing w:line="300" w:lineRule="atLeast"/>
                        <w:jc w:val="left"/>
                        <w:rPr>
                          <w:rFonts w:ascii="楷体" w:eastAsia="楷体" w:hAnsi="楷体" w:cs="Arial"/>
                          <w:color w:val="666666"/>
                          <w:kern w:val="0"/>
                          <w:sz w:val="18"/>
                          <w:szCs w:val="20"/>
                        </w:rPr>
                      </w:pPr>
                    </w:p>
                    <w:p w:rsidR="00E95E51" w:rsidRDefault="00502CD5">
                      <w:pPr>
                        <w:widowControl/>
                        <w:wordWrap w:val="0"/>
                        <w:spacing w:line="300" w:lineRule="atLeast"/>
                        <w:jc w:val="left"/>
                        <w:rPr>
                          <w:rFonts w:ascii="楷体" w:eastAsia="楷体" w:hAnsi="楷体"/>
                          <w:b/>
                          <w:sz w:val="22"/>
                          <w:szCs w:val="21"/>
                        </w:rPr>
                      </w:pPr>
                      <w:r>
                        <w:rPr>
                          <w:rFonts w:ascii="楷体" w:eastAsia="楷体" w:hAnsi="楷体" w:hint="eastAsia"/>
                          <w:b/>
                          <w:sz w:val="22"/>
                          <w:szCs w:val="21"/>
                        </w:rPr>
                        <w:t>不同</w:t>
                      </w:r>
                      <w:proofErr w:type="gramStart"/>
                      <w:r>
                        <w:rPr>
                          <w:rFonts w:ascii="楷体" w:eastAsia="楷体" w:hAnsi="楷体" w:hint="eastAsia"/>
                          <w:b/>
                          <w:sz w:val="22"/>
                          <w:szCs w:val="21"/>
                        </w:rPr>
                        <w:t>类型</w:t>
                      </w:r>
                      <w:r>
                        <w:rPr>
                          <w:rFonts w:ascii="楷体" w:eastAsia="楷体" w:hAnsi="楷体"/>
                          <w:b/>
                          <w:sz w:val="22"/>
                          <w:szCs w:val="21"/>
                        </w:rPr>
                        <w:t>固收</w:t>
                      </w:r>
                      <w:proofErr w:type="gramEnd"/>
                      <w:r>
                        <w:rPr>
                          <w:rFonts w:ascii="楷体" w:eastAsia="楷体" w:hAnsi="楷体"/>
                          <w:b/>
                          <w:sz w:val="22"/>
                          <w:szCs w:val="21"/>
                        </w:rPr>
                        <w:t>+与其他基金比较</w:t>
                      </w:r>
                    </w:p>
                    <w:p w:rsidR="00E95E51" w:rsidRDefault="00502CD5">
                      <w:pPr>
                        <w:widowControl/>
                        <w:wordWrap w:val="0"/>
                        <w:spacing w:line="300" w:lineRule="atLeast"/>
                        <w:jc w:val="left"/>
                        <w:rPr>
                          <w:rFonts w:ascii="楷体" w:eastAsia="楷体" w:hAnsi="楷体"/>
                          <w:b/>
                          <w:sz w:val="22"/>
                          <w:szCs w:val="21"/>
                        </w:rPr>
                      </w:pPr>
                      <w:r>
                        <w:rPr>
                          <w:noProof/>
                        </w:rPr>
                        <w:drawing>
                          <wp:inline distT="0" distB="0" distL="0" distR="0" wp14:anchorId="2EDA63F2" wp14:editId="0B390F10">
                            <wp:extent cx="2075815" cy="122110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90893" cy="1229914"/>
                                    </a:xfrm>
                                    <a:prstGeom prst="rect">
                                      <a:avLst/>
                                    </a:prstGeom>
                                    <a:noFill/>
                                    <a:ln>
                                      <a:noFill/>
                                    </a:ln>
                                  </pic:spPr>
                                </pic:pic>
                              </a:graphicData>
                            </a:graphic>
                          </wp:inline>
                        </w:drawing>
                      </w:r>
                    </w:p>
                    <w:p w:rsidR="00E95E51" w:rsidRDefault="00502CD5">
                      <w:pPr>
                        <w:widowControl/>
                        <w:wordWrap w:val="0"/>
                        <w:spacing w:line="300" w:lineRule="atLeast"/>
                        <w:jc w:val="left"/>
                        <w:rPr>
                          <w:rFonts w:ascii="楷体" w:eastAsia="楷体" w:hAnsi="楷体" w:cs="宋体"/>
                          <w:bCs/>
                          <w:color w:val="000000"/>
                          <w:kern w:val="0"/>
                          <w:sz w:val="13"/>
                          <w:szCs w:val="15"/>
                        </w:rPr>
                      </w:pPr>
                      <w:r>
                        <w:rPr>
                          <w:rFonts w:ascii="楷体" w:eastAsia="楷体" w:hAnsi="楷体" w:cs="宋体" w:hint="eastAsia"/>
                          <w:bCs/>
                          <w:color w:val="000000"/>
                          <w:kern w:val="0"/>
                          <w:sz w:val="13"/>
                          <w:szCs w:val="15"/>
                        </w:rPr>
                        <w:t>数据来源：Wind，基</w:t>
                      </w:r>
                      <w:proofErr w:type="gramStart"/>
                      <w:r>
                        <w:rPr>
                          <w:rFonts w:ascii="楷体" w:eastAsia="楷体" w:hAnsi="楷体" w:cs="宋体" w:hint="eastAsia"/>
                          <w:bCs/>
                          <w:color w:val="000000"/>
                          <w:kern w:val="0"/>
                          <w:sz w:val="13"/>
                          <w:szCs w:val="15"/>
                        </w:rPr>
                        <w:t>煜</w:t>
                      </w:r>
                      <w:proofErr w:type="gramEnd"/>
                      <w:r>
                        <w:rPr>
                          <w:rFonts w:ascii="楷体" w:eastAsia="楷体" w:hAnsi="楷体" w:cs="宋体" w:hint="eastAsia"/>
                          <w:bCs/>
                          <w:color w:val="000000"/>
                          <w:kern w:val="0"/>
                          <w:sz w:val="13"/>
                          <w:szCs w:val="15"/>
                        </w:rPr>
                        <w:t>研究整理；数据区间：2015.06.30–2021.</w:t>
                      </w:r>
                      <w:r>
                        <w:rPr>
                          <w:rFonts w:ascii="楷体" w:eastAsia="楷体" w:hAnsi="楷体" w:cs="宋体"/>
                          <w:bCs/>
                          <w:color w:val="000000"/>
                          <w:kern w:val="0"/>
                          <w:sz w:val="13"/>
                          <w:szCs w:val="15"/>
                        </w:rPr>
                        <w:t>0</w:t>
                      </w:r>
                      <w:r>
                        <w:rPr>
                          <w:rFonts w:ascii="楷体" w:eastAsia="楷体" w:hAnsi="楷体" w:cs="宋体" w:hint="eastAsia"/>
                          <w:bCs/>
                          <w:color w:val="000000"/>
                          <w:kern w:val="0"/>
                          <w:sz w:val="13"/>
                          <w:szCs w:val="15"/>
                        </w:rPr>
                        <w:t>6.30</w:t>
                      </w:r>
                    </w:p>
                    <w:p w:rsidR="00E95E51" w:rsidRDefault="00E95E51">
                      <w:pPr>
                        <w:widowControl/>
                        <w:wordWrap w:val="0"/>
                        <w:spacing w:line="300" w:lineRule="atLeast"/>
                        <w:jc w:val="left"/>
                        <w:rPr>
                          <w:rFonts w:ascii="楷体" w:eastAsia="楷体" w:hAnsi="楷体" w:cs="宋体"/>
                          <w:bCs/>
                          <w:color w:val="000000"/>
                          <w:kern w:val="0"/>
                          <w:sz w:val="13"/>
                          <w:szCs w:val="15"/>
                        </w:rPr>
                      </w:pPr>
                    </w:p>
                    <w:p w:rsidR="00E95E51" w:rsidRDefault="00E95E51">
                      <w:pPr>
                        <w:widowControl/>
                        <w:wordWrap w:val="0"/>
                        <w:spacing w:line="300" w:lineRule="atLeast"/>
                        <w:jc w:val="left"/>
                        <w:rPr>
                          <w:rFonts w:ascii="楷体" w:eastAsia="楷体" w:hAnsi="楷体" w:cs="宋体"/>
                          <w:bCs/>
                          <w:color w:val="000000"/>
                          <w:kern w:val="0"/>
                          <w:sz w:val="13"/>
                          <w:szCs w:val="15"/>
                        </w:rPr>
                      </w:pPr>
                    </w:p>
                    <w:p w:rsidR="00E95E51" w:rsidRDefault="00502CD5">
                      <w:pPr>
                        <w:widowControl/>
                        <w:wordWrap w:val="0"/>
                        <w:spacing w:line="300" w:lineRule="atLeast"/>
                        <w:jc w:val="left"/>
                        <w:rPr>
                          <w:rFonts w:ascii="楷体" w:eastAsia="楷体" w:hAnsi="楷体" w:cs="宋体"/>
                          <w:bCs/>
                          <w:color w:val="000000"/>
                          <w:kern w:val="0"/>
                          <w:sz w:val="13"/>
                          <w:szCs w:val="15"/>
                        </w:rPr>
                      </w:pPr>
                      <w:r>
                        <w:rPr>
                          <w:rFonts w:ascii="楷体" w:eastAsia="楷体" w:hAnsi="楷体" w:cs="Arial"/>
                          <w:color w:val="666666"/>
                          <w:kern w:val="0"/>
                          <w:sz w:val="18"/>
                          <w:szCs w:val="20"/>
                        </w:rPr>
                        <w:t>报告</w:t>
                      </w:r>
                      <w:r>
                        <w:rPr>
                          <w:rFonts w:ascii="楷体" w:eastAsia="楷体" w:hAnsi="楷体" w:cs="Arial" w:hint="eastAsia"/>
                          <w:color w:val="666666"/>
                          <w:kern w:val="0"/>
                          <w:sz w:val="18"/>
                          <w:szCs w:val="20"/>
                        </w:rPr>
                        <w:t>作者：</w:t>
                      </w:r>
                      <w:proofErr w:type="gramStart"/>
                      <w:r>
                        <w:rPr>
                          <w:rFonts w:ascii="楷体" w:eastAsia="楷体" w:hAnsi="楷体" w:cs="Arial" w:hint="eastAsia"/>
                          <w:color w:val="666666"/>
                          <w:kern w:val="0"/>
                          <w:sz w:val="18"/>
                          <w:szCs w:val="20"/>
                        </w:rPr>
                        <w:t>徐</w:t>
                      </w:r>
                      <w:r>
                        <w:rPr>
                          <w:rFonts w:ascii="楷体" w:eastAsia="楷体" w:hAnsi="楷体" w:cs="Arial"/>
                          <w:color w:val="666666"/>
                          <w:kern w:val="0"/>
                          <w:sz w:val="18"/>
                          <w:szCs w:val="20"/>
                        </w:rPr>
                        <w:t>意辰</w:t>
                      </w:r>
                      <w:proofErr w:type="gramEnd"/>
                    </w:p>
                    <w:p w:rsidR="00E95E51" w:rsidRDefault="00502CD5">
                      <w:pPr>
                        <w:widowControl/>
                        <w:wordWrap w:val="0"/>
                        <w:spacing w:line="300" w:lineRule="atLeast"/>
                        <w:jc w:val="left"/>
                        <w:rPr>
                          <w:rFonts w:ascii="楷体" w:eastAsia="楷体" w:hAnsi="楷体" w:cs="Arial"/>
                          <w:color w:val="666666"/>
                          <w:kern w:val="0"/>
                          <w:sz w:val="17"/>
                          <w:szCs w:val="17"/>
                        </w:rPr>
                      </w:pPr>
                      <w:r>
                        <w:rPr>
                          <w:rFonts w:ascii="楷体" w:eastAsia="楷体" w:hAnsi="楷体" w:cs="Arial" w:hint="eastAsia"/>
                          <w:color w:val="666666"/>
                          <w:kern w:val="0"/>
                          <w:sz w:val="17"/>
                          <w:szCs w:val="17"/>
                        </w:rPr>
                        <w:t>邮件地址：</w:t>
                      </w:r>
                      <w:hyperlink r:id="rId13" w:history="1">
                        <w:r>
                          <w:rPr>
                            <w:rFonts w:ascii="楷体" w:eastAsia="楷体" w:hAnsi="楷体" w:cs="Arial" w:hint="eastAsia"/>
                            <w:color w:val="666666"/>
                            <w:kern w:val="0"/>
                            <w:sz w:val="17"/>
                            <w:szCs w:val="17"/>
                          </w:rPr>
                          <w:t>xuyichen</w:t>
                        </w:r>
                        <w:r>
                          <w:rPr>
                            <w:rFonts w:ascii="楷体" w:eastAsia="楷体" w:hAnsi="楷体" w:cs="Arial"/>
                            <w:color w:val="666666"/>
                            <w:kern w:val="0"/>
                            <w:sz w:val="17"/>
                            <w:szCs w:val="17"/>
                          </w:rPr>
                          <w:t>@fofund.com.cn</w:t>
                        </w:r>
                      </w:hyperlink>
                    </w:p>
                    <w:p w:rsidR="00E95E51" w:rsidRDefault="00502CD5">
                      <w:pPr>
                        <w:widowControl/>
                        <w:wordWrap w:val="0"/>
                        <w:spacing w:line="300" w:lineRule="atLeast"/>
                        <w:jc w:val="left"/>
                        <w:rPr>
                          <w:rFonts w:ascii="楷体" w:eastAsia="楷体" w:hAnsi="楷体" w:cs="Arial"/>
                          <w:color w:val="666666"/>
                          <w:kern w:val="0"/>
                          <w:sz w:val="18"/>
                          <w:szCs w:val="18"/>
                        </w:rPr>
                      </w:pPr>
                      <w:r>
                        <w:rPr>
                          <w:rFonts w:ascii="楷体" w:eastAsia="楷体" w:hAnsi="楷体" w:cs="Arial" w:hint="eastAsia"/>
                          <w:color w:val="666666"/>
                          <w:kern w:val="0"/>
                          <w:sz w:val="18"/>
                          <w:szCs w:val="18"/>
                        </w:rPr>
                        <w:t>报告作者</w:t>
                      </w:r>
                      <w:r>
                        <w:rPr>
                          <w:rFonts w:ascii="楷体" w:eastAsia="楷体" w:hAnsi="楷体" w:cs="Arial"/>
                          <w:color w:val="666666"/>
                          <w:kern w:val="0"/>
                          <w:sz w:val="18"/>
                          <w:szCs w:val="18"/>
                        </w:rPr>
                        <w:t>：</w:t>
                      </w:r>
                      <w:r>
                        <w:rPr>
                          <w:rFonts w:ascii="楷体" w:eastAsia="楷体" w:hAnsi="楷体" w:cs="Arial" w:hint="eastAsia"/>
                          <w:color w:val="666666"/>
                          <w:kern w:val="0"/>
                          <w:sz w:val="18"/>
                          <w:szCs w:val="18"/>
                        </w:rPr>
                        <w:t>韩斯婕</w:t>
                      </w:r>
                    </w:p>
                    <w:p w:rsidR="00E95E51" w:rsidRDefault="00502CD5">
                      <w:pPr>
                        <w:widowControl/>
                        <w:wordWrap w:val="0"/>
                        <w:spacing w:line="300" w:lineRule="atLeast"/>
                        <w:jc w:val="left"/>
                        <w:rPr>
                          <w:rFonts w:ascii="楷体" w:eastAsia="楷体" w:hAnsi="楷体" w:cs="Arial"/>
                          <w:color w:val="666666"/>
                          <w:kern w:val="0"/>
                          <w:sz w:val="17"/>
                          <w:szCs w:val="17"/>
                        </w:rPr>
                      </w:pPr>
                      <w:r>
                        <w:rPr>
                          <w:rFonts w:ascii="楷体" w:eastAsia="楷体" w:hAnsi="楷体" w:cs="Arial" w:hint="eastAsia"/>
                          <w:color w:val="666666"/>
                          <w:kern w:val="0"/>
                          <w:sz w:val="17"/>
                          <w:szCs w:val="17"/>
                        </w:rPr>
                        <w:t>邮箱地址</w:t>
                      </w:r>
                      <w:r>
                        <w:rPr>
                          <w:rFonts w:ascii="楷体" w:eastAsia="楷体" w:hAnsi="楷体" w:cs="Arial"/>
                          <w:color w:val="666666"/>
                          <w:kern w:val="0"/>
                          <w:sz w:val="17"/>
                          <w:szCs w:val="17"/>
                        </w:rPr>
                        <w:t>：</w:t>
                      </w:r>
                      <w:hyperlink r:id="rId14" w:history="1">
                        <w:r>
                          <w:rPr>
                            <w:rFonts w:ascii="楷体" w:eastAsia="楷体" w:hAnsi="楷体"/>
                            <w:color w:val="666666"/>
                            <w:sz w:val="17"/>
                            <w:szCs w:val="17"/>
                          </w:rPr>
                          <w:t>hansijie</w:t>
                        </w:r>
                        <w:r>
                          <w:rPr>
                            <w:rFonts w:ascii="楷体" w:eastAsia="楷体" w:hAnsi="楷体" w:hint="eastAsia"/>
                            <w:color w:val="666666"/>
                            <w:sz w:val="17"/>
                            <w:szCs w:val="17"/>
                          </w:rPr>
                          <w:t>@fofund.com.cn</w:t>
                        </w:r>
                      </w:hyperlink>
                    </w:p>
                    <w:p w:rsidR="00E95E51" w:rsidRDefault="00502CD5">
                      <w:pPr>
                        <w:widowControl/>
                        <w:wordWrap w:val="0"/>
                        <w:spacing w:line="300" w:lineRule="atLeast"/>
                        <w:jc w:val="left"/>
                        <w:rPr>
                          <w:rFonts w:ascii="楷体" w:eastAsia="楷体" w:hAnsi="楷体" w:cs="Arial"/>
                          <w:color w:val="666666"/>
                          <w:kern w:val="0"/>
                          <w:sz w:val="18"/>
                          <w:szCs w:val="18"/>
                        </w:rPr>
                      </w:pPr>
                      <w:r>
                        <w:rPr>
                          <w:rFonts w:ascii="楷体" w:eastAsia="楷体" w:hAnsi="楷体" w:cs="Arial" w:hint="eastAsia"/>
                          <w:color w:val="666666"/>
                          <w:kern w:val="0"/>
                          <w:sz w:val="18"/>
                          <w:szCs w:val="18"/>
                        </w:rPr>
                        <w:t>报告作者</w:t>
                      </w:r>
                      <w:r>
                        <w:rPr>
                          <w:rFonts w:ascii="楷体" w:eastAsia="楷体" w:hAnsi="楷体" w:cs="Arial"/>
                          <w:color w:val="666666"/>
                          <w:kern w:val="0"/>
                          <w:sz w:val="18"/>
                          <w:szCs w:val="18"/>
                        </w:rPr>
                        <w:t>：</w:t>
                      </w:r>
                      <w:r>
                        <w:rPr>
                          <w:rFonts w:ascii="楷体" w:eastAsia="楷体" w:hAnsi="楷体" w:cs="Arial" w:hint="eastAsia"/>
                          <w:color w:val="666666"/>
                          <w:kern w:val="0"/>
                          <w:sz w:val="18"/>
                          <w:szCs w:val="18"/>
                        </w:rPr>
                        <w:t>张晨</w:t>
                      </w:r>
                      <w:r>
                        <w:rPr>
                          <w:rFonts w:ascii="楷体" w:eastAsia="楷体" w:hAnsi="楷体" w:cs="Arial"/>
                          <w:color w:val="666666"/>
                          <w:kern w:val="0"/>
                          <w:sz w:val="18"/>
                          <w:szCs w:val="18"/>
                        </w:rPr>
                        <w:t>，CAIA</w:t>
                      </w:r>
                      <w:r>
                        <w:rPr>
                          <w:rFonts w:ascii="楷体" w:eastAsia="楷体" w:hAnsi="楷体" w:cs="Arial" w:hint="eastAsia"/>
                          <w:color w:val="666666"/>
                          <w:kern w:val="0"/>
                          <w:sz w:val="18"/>
                          <w:szCs w:val="18"/>
                        </w:rPr>
                        <w:t>，FRM</w:t>
                      </w:r>
                    </w:p>
                    <w:p w:rsidR="00E95E51" w:rsidRDefault="00502CD5">
                      <w:pPr>
                        <w:widowControl/>
                        <w:wordWrap w:val="0"/>
                        <w:spacing w:line="300" w:lineRule="atLeast"/>
                        <w:jc w:val="left"/>
                        <w:rPr>
                          <w:rFonts w:ascii="楷体" w:eastAsia="楷体" w:hAnsi="楷体" w:cs="Arial"/>
                          <w:color w:val="666666"/>
                          <w:kern w:val="0"/>
                          <w:sz w:val="17"/>
                          <w:szCs w:val="17"/>
                        </w:rPr>
                      </w:pPr>
                      <w:r>
                        <w:rPr>
                          <w:rFonts w:ascii="楷体" w:eastAsia="楷体" w:hAnsi="楷体" w:cs="Arial" w:hint="eastAsia"/>
                          <w:color w:val="666666"/>
                          <w:kern w:val="0"/>
                          <w:sz w:val="17"/>
                          <w:szCs w:val="17"/>
                        </w:rPr>
                        <w:t>邮箱地址</w:t>
                      </w:r>
                      <w:r>
                        <w:rPr>
                          <w:rFonts w:ascii="楷体" w:eastAsia="楷体" w:hAnsi="楷体" w:cs="Arial"/>
                          <w:color w:val="666666"/>
                          <w:kern w:val="0"/>
                          <w:sz w:val="17"/>
                          <w:szCs w:val="17"/>
                        </w:rPr>
                        <w:t>：</w:t>
                      </w:r>
                      <w:r>
                        <w:rPr>
                          <w:rFonts w:ascii="楷体" w:eastAsia="楷体" w:hAnsi="楷体"/>
                          <w:color w:val="666666"/>
                          <w:sz w:val="17"/>
                          <w:szCs w:val="17"/>
                        </w:rPr>
                        <w:t>zhangchen</w:t>
                      </w:r>
                      <w:r>
                        <w:rPr>
                          <w:rFonts w:ascii="楷体" w:eastAsia="楷体" w:hAnsi="楷体" w:hint="eastAsia"/>
                          <w:color w:val="666666"/>
                          <w:sz w:val="17"/>
                          <w:szCs w:val="17"/>
                        </w:rPr>
                        <w:t>@fofund.com.cn</w:t>
                      </w:r>
                    </w:p>
                    <w:p w:rsidR="00E95E51" w:rsidRDefault="00E95E51">
                      <w:pPr>
                        <w:widowControl/>
                        <w:wordWrap w:val="0"/>
                        <w:spacing w:line="300" w:lineRule="atLeast"/>
                        <w:jc w:val="left"/>
                        <w:rPr>
                          <w:rFonts w:ascii="楷体" w:eastAsia="楷体" w:hAnsi="楷体" w:cstheme="minorHAnsi"/>
                          <w:b/>
                          <w:sz w:val="22"/>
                          <w:szCs w:val="24"/>
                        </w:rPr>
                      </w:pPr>
                    </w:p>
                  </w:txbxContent>
                </v:textbox>
                <w10:wrap type="square" anchorx="margin"/>
              </v:shape>
            </w:pict>
          </mc:Fallback>
        </mc:AlternateContent>
      </w:r>
      <w:r w:rsidR="00502CD5">
        <w:rPr>
          <w:rFonts w:ascii="楷体" w:eastAsia="楷体" w:hAnsi="楷体"/>
          <w:noProof/>
          <w:color w:val="000000" w:themeColor="text1"/>
          <w:highlight w:val="yellow"/>
        </w:rPr>
        <mc:AlternateContent>
          <mc:Choice Requires="wps">
            <w:drawing>
              <wp:anchor distT="0" distB="0" distL="114300" distR="114300" simplePos="0" relativeHeight="251666432" behindDoc="0" locked="0" layoutInCell="1" allowOverlap="1">
                <wp:simplePos x="0" y="0"/>
                <wp:positionH relativeFrom="column">
                  <wp:posOffset>2077720</wp:posOffset>
                </wp:positionH>
                <wp:positionV relativeFrom="paragraph">
                  <wp:posOffset>8255</wp:posOffset>
                </wp:positionV>
                <wp:extent cx="10795" cy="8825230"/>
                <wp:effectExtent l="0" t="0" r="27940" b="33655"/>
                <wp:wrapNone/>
                <wp:docPr id="22" name="直接连接符 22"/>
                <wp:cNvGraphicFramePr/>
                <a:graphic xmlns:a="http://schemas.openxmlformats.org/drawingml/2006/main">
                  <a:graphicData uri="http://schemas.microsoft.com/office/word/2010/wordprocessingShape">
                    <wps:wsp>
                      <wps:cNvCnPr/>
                      <wps:spPr>
                        <a:xfrm>
                          <a:off x="0" y="0"/>
                          <a:ext cx="10632" cy="882502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3.6pt;margin-top:0.65pt;height:694.9pt;width:0.85pt;z-index:251666432;mso-width-relative:page;mso-height-relative:page;" filled="f" stroked="t" coordsize="21600,21600" o:gfxdata="UEsDBAoAAAAAAIdO4kAAAAAAAAAAAAAAAAAEAAAAZHJzL1BLAwQUAAAACACHTuJANrlrgNkAAAAK&#10;AQAADwAAAGRycy9kb3ducmV2LnhtbE2PQUvEMBCF74L/IYzgRdw0KehubbqoIIgX2VWEvWWbbFtM&#10;JrXJttVf7+xJj4/v8eabcj17x0Y7xC6gArHIgFmsg+mwUfD+9nS9BBaTRqNdQKvg20ZYV+dnpS5M&#10;mHBjx21qGI1gLLSCNqW+4DzWrfU6LkJvkdghDF4nikPDzaAnGveOyyy74V53SBda3dvH1taf26NX&#10;cL97SIfRTS9fV+Jnfv549W7aSaUuL0R2ByzZOf2V4aRP6lCR0z4c0UTmFOTyVlKVQA6MeC6XK2D7&#10;U14JAbwq+f8Xql9QSwMEFAAAAAgAh07iQPE5kqb7AQAA2QMAAA4AAABkcnMvZTJvRG9jLnhtbK1T&#10;zY7TMBC+I/EOlu80aaqWEjVdia3KhZ9KsA8wdZzEkv9ku037ErwAEjc4ceTO27A8xo6d0IXlsgcu&#10;znh+vpnv82R1dVKSHLnzwuiKTic5JVwzUwvdVvTmw/bZkhIfQNcgjeYVPXNPr9ZPn6x6W/LCdEbW&#10;3BEE0b7sbUW7EGyZZZ51XIGfGMs1BhvjFAS8ujarHfSIrmRW5Pki642rrTOMe4/ezRCkI6J7DKBp&#10;GsH4xrCD4joMqI5LCEjJd8J6uk7TNg1n4V3TeB6IrCgyDenEJmjv45mtV1C2Dmwn2DgCPGaEB5wU&#10;CI1NL1AbCEAOTvwDpQRzxpsmTJhR2UAkKYIspvkDbd53YHniglJ7exHd/z9Y9va4c0TUFS0KSjQo&#10;fPHbT99/fvzy68dnPG+/fSUYQZl660vMvtY7N9683bnI+dQ4Fb/IhpyStOeLtPwUCEPnNF/MsAHD&#10;yHJZzPNiFjGz+2LrfHjFjSLRqKgUOjKHEo6vfRhSf6dEtzZbISX6oZSa9BVdzOb4pgxwIxvcBDSV&#10;RVZet5SAbHHVWXAJ0Rsp6lgdi71r99fSkSPggrzcvsjzPCXJg3pj6sH9fB69wwxjfhr9L6A43AZ8&#10;N5SkUCyBUomA/4sUCpkjzgVJagSJog4yRmtv6nNSN/nxxVObcTvjSv15T9X3f+T6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a5a4DZAAAACgEAAA8AAAAAAAAAAQAgAAAAIgAAAGRycy9kb3ducmV2&#10;LnhtbFBLAQIUABQAAAAIAIdO4kDxOZKm+wEAANkDAAAOAAAAAAAAAAEAIAAAACgBAABkcnMvZTJv&#10;RG9jLnhtbFBLBQYAAAAABgAGAFkBAACVBQAAAAA=&#10;">
                <v:fill on="f" focussize="0,0"/>
                <v:stroke weight="0.5pt" color="#BF9000 [2407]" miterlimit="8" joinstyle="miter"/>
                <v:imagedata o:title=""/>
                <o:lock v:ext="edit" aspectratio="f"/>
              </v:line>
            </w:pict>
          </mc:Fallback>
        </mc:AlternateContent>
      </w:r>
      <w:r w:rsidR="00502CD5">
        <w:rPr>
          <w:rFonts w:ascii="楷体" w:eastAsia="楷体" w:hAnsi="楷体"/>
          <w:noProof/>
          <w:color w:val="000000" w:themeColor="text1"/>
          <w:highlight w:val="yellow"/>
        </w:rPr>
        <mc:AlternateContent>
          <mc:Choice Requires="wps">
            <w:drawing>
              <wp:anchor distT="0" distB="0" distL="114300" distR="114300" simplePos="0" relativeHeight="251665408" behindDoc="0" locked="0" layoutInCell="1" allowOverlap="1">
                <wp:simplePos x="0" y="0"/>
                <wp:positionH relativeFrom="margin">
                  <wp:posOffset>-9525</wp:posOffset>
                </wp:positionH>
                <wp:positionV relativeFrom="paragraph">
                  <wp:posOffset>593725</wp:posOffset>
                </wp:positionV>
                <wp:extent cx="6198870" cy="0"/>
                <wp:effectExtent l="0" t="0" r="30480" b="19050"/>
                <wp:wrapNone/>
                <wp:docPr id="21" name="直接连接符 21"/>
                <wp:cNvGraphicFramePr/>
                <a:graphic xmlns:a="http://schemas.openxmlformats.org/drawingml/2006/main">
                  <a:graphicData uri="http://schemas.microsoft.com/office/word/2010/wordprocessingShape">
                    <wps:wsp>
                      <wps:cNvCnPr/>
                      <wps:spPr>
                        <a:xfrm>
                          <a:off x="0" y="0"/>
                          <a:ext cx="619887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75pt;margin-top:46.75pt;height:0pt;width:488.1pt;mso-position-horizontal-relative:margin;z-index:251665408;mso-width-relative:page;mso-height-relative:page;" filled="f" stroked="t" coordsize="21600,21600" o:gfxdata="UEsDBAoAAAAAAIdO4kAAAAAAAAAAAAAAAAAEAAAAZHJzL1BLAwQUAAAACACHTuJAgOicHtoAAAAI&#10;AQAADwAAAGRycy9kb3ducmV2LnhtbE2PQUvDQBCF74L/YRnBi7SbVG1tzKaoIEgvYitCb9vsNAnu&#10;zsbsNon+ekc86GmYeY8338tXo7Oixy40nhSk0wQEUulNQ5WC1+3j5AZEiJqMtp5QwScGWBWnJ7nO&#10;jB/oBftNrASHUMi0gjrGNpMylDU6Haa+RWLt4DunI69dJU2nBw53Vs6SZC6dbog/1LrFhxrL983R&#10;Kbjb3cdDb4f1x0X6NT69PTs77GZKnZ+lyS2IiGP8M8MPPqNDwUx7fyQThFUwSa/ZqWB5yZP15eJq&#10;AWL/e5BFLv8XKL4BUEsDBBQAAAAIAIdO4kDhgmP89gEAANUDAAAOAAAAZHJzL2Uyb0RvYy54bWyt&#10;U0tu2zAQ3RfoHQjua8kukjiC5QCN4W76MdDmADRFSgT4A4e27Ev0AgW6a1dddt/bND1Gh5TipOkm&#10;i26o4XzezHscLa4ORpO9CKCcrel0UlIiLHeNsm1Nbz6uX8wpgchsw7SzoqZHAfRq+fzZoveVmLnO&#10;6UYEgiAWqt7XtIvRV0UBvBOGwcR5YTEoXTAs4jW0RRNYj+hGF7OyPC96FxofHBcA6F0NQToihqcA&#10;OikVFyvHd0bYOKAGoVlEStApD3SZp5VS8PheShCR6Joi05hPbIL2Np3FcsGqNjDfKT6OwJ4ywiNO&#10;himLTU9QKxYZ2QX1D5RRPDhwMk64M8VAJCuCLKblI20+dMyLzAWlBn8SHf4fLH+33wSimprOppRY&#10;ZvDFbz//+PXp6++fX/C8/f6NYARl6j1UmH1tN2G8gd+ExPkgg0lfZEMOWdrjSVpxiISj83x6OZ9f&#10;oOr8LlbcF/oA8bVwhiSjplrZxJpVbP8GIjbD1LuU5LZurbTOL6ct6RH85VlCZriNErcATeOREdiW&#10;EqZbXHMeQ0YEp1WTqhMOhHZ7rQPZM1yOV+vLsixzkt6Zt64Z3BdnyTvMMObnef4CSsOtGHRDSQ4N&#10;i2VUxH9FK1PTOeKckLRFkCToIGGytq45ZmWzH187txk3M63Tw3uuvv8bl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OicHtoAAAAIAQAADwAAAAAAAAABACAAAAAiAAAAZHJzL2Rvd25yZXYueG1s&#10;UEsBAhQAFAAAAAgAh07iQOGCY/z2AQAA1QMAAA4AAAAAAAAAAQAgAAAAKQEAAGRycy9lMm9Eb2Mu&#10;eG1sUEsFBgAAAAAGAAYAWQEAAJEFAAAAAA==&#10;">
                <v:fill on="f" focussize="0,0"/>
                <v:stroke weight="0.5pt" color="#BF9000 [2407]" miterlimit="8" joinstyle="miter"/>
                <v:imagedata o:title=""/>
                <o:lock v:ext="edit" aspectratio="f"/>
              </v:line>
            </w:pict>
          </mc:Fallback>
        </mc:AlternateContent>
      </w:r>
    </w:p>
    <w:p w:rsidR="00E95E51" w:rsidRDefault="00502CD5">
      <w:pPr>
        <w:pStyle w:val="a"/>
        <w:numPr>
          <w:ilvl w:val="0"/>
          <w:numId w:val="0"/>
        </w:numPr>
        <w:spacing w:before="0" w:after="0" w:line="240" w:lineRule="auto"/>
        <w:ind w:right="210"/>
        <w:rPr>
          <w:rFonts w:ascii="楷体" w:eastAsia="楷体" w:hAnsi="楷体"/>
          <w:sz w:val="24"/>
          <w:szCs w:val="24"/>
        </w:rPr>
      </w:pPr>
      <w:r>
        <w:rPr>
          <w:rFonts w:ascii="楷体" w:eastAsia="楷体" w:hAnsi="楷体" w:hint="eastAsia"/>
          <w:sz w:val="24"/>
          <w:szCs w:val="24"/>
        </w:rPr>
        <w:t>报告摘要：</w:t>
      </w:r>
    </w:p>
    <w:p w:rsidR="00E95E51" w:rsidRDefault="00E95E51">
      <w:pPr>
        <w:pStyle w:val="a"/>
        <w:numPr>
          <w:ilvl w:val="0"/>
          <w:numId w:val="0"/>
        </w:numPr>
        <w:spacing w:before="0" w:after="0" w:line="240" w:lineRule="auto"/>
        <w:ind w:right="210"/>
        <w:rPr>
          <w:rFonts w:ascii="楷体" w:eastAsia="楷体" w:hAnsi="楷体"/>
          <w:sz w:val="24"/>
          <w:szCs w:val="24"/>
        </w:rPr>
      </w:pPr>
    </w:p>
    <w:p w:rsidR="00E95E51" w:rsidRDefault="00502CD5">
      <w:pPr>
        <w:pStyle w:val="afe"/>
        <w:numPr>
          <w:ilvl w:val="0"/>
          <w:numId w:val="6"/>
        </w:numPr>
        <w:ind w:firstLineChars="0"/>
        <w:rPr>
          <w:rFonts w:ascii="楷体" w:eastAsia="楷体" w:hAnsi="楷体"/>
          <w:b/>
          <w:sz w:val="24"/>
          <w:szCs w:val="24"/>
        </w:rPr>
      </w:pPr>
      <w:proofErr w:type="gramStart"/>
      <w:r>
        <w:rPr>
          <w:rFonts w:ascii="楷体" w:eastAsia="楷体" w:hAnsi="楷体" w:hint="eastAsia"/>
          <w:b/>
          <w:sz w:val="24"/>
          <w:szCs w:val="24"/>
        </w:rPr>
        <w:t>固收</w:t>
      </w:r>
      <w:proofErr w:type="gramEnd"/>
      <w:r>
        <w:rPr>
          <w:rFonts w:ascii="楷体" w:eastAsia="楷体" w:hAnsi="楷体" w:hint="eastAsia"/>
          <w:b/>
          <w:sz w:val="24"/>
          <w:szCs w:val="24"/>
        </w:rPr>
        <w:t>+定义及分类</w:t>
      </w:r>
    </w:p>
    <w:p w:rsidR="00E95E51" w:rsidRDefault="00502CD5">
      <w:pPr>
        <w:pStyle w:val="afd"/>
        <w:ind w:firstLine="400"/>
        <w:jc w:val="both"/>
        <w:rPr>
          <w:rFonts w:ascii="楷体" w:eastAsia="楷体" w:hAnsi="楷体"/>
          <w:sz w:val="20"/>
          <w:szCs w:val="20"/>
        </w:rPr>
      </w:pPr>
      <w:r>
        <w:rPr>
          <w:rFonts w:ascii="楷体" w:eastAsia="楷体" w:hAnsi="楷体" w:hint="eastAsia"/>
          <w:sz w:val="20"/>
          <w:szCs w:val="20"/>
        </w:rPr>
        <w:t>我们将Wind公</w:t>
      </w:r>
      <w:proofErr w:type="gramStart"/>
      <w:r>
        <w:rPr>
          <w:rFonts w:ascii="楷体" w:eastAsia="楷体" w:hAnsi="楷体" w:hint="eastAsia"/>
          <w:sz w:val="20"/>
          <w:szCs w:val="20"/>
        </w:rPr>
        <w:t>募基金</w:t>
      </w:r>
      <w:proofErr w:type="gramEnd"/>
      <w:r>
        <w:rPr>
          <w:rFonts w:ascii="楷体" w:eastAsia="楷体" w:hAnsi="楷体" w:hint="eastAsia"/>
          <w:sz w:val="20"/>
          <w:szCs w:val="20"/>
        </w:rPr>
        <w:t>二级分类中，以债券为主要</w:t>
      </w:r>
      <w:proofErr w:type="gramStart"/>
      <w:r>
        <w:rPr>
          <w:rFonts w:ascii="楷体" w:eastAsia="楷体" w:hAnsi="楷体" w:hint="eastAsia"/>
          <w:sz w:val="20"/>
          <w:szCs w:val="20"/>
        </w:rPr>
        <w:t>仓位</w:t>
      </w:r>
      <w:proofErr w:type="gramEnd"/>
      <w:r>
        <w:rPr>
          <w:rFonts w:ascii="楷体" w:eastAsia="楷体" w:hAnsi="楷体" w:hint="eastAsia"/>
          <w:sz w:val="20"/>
          <w:szCs w:val="20"/>
        </w:rPr>
        <w:t>，并且能够主动配置权益的基金类型（剔除可转债基金）</w:t>
      </w:r>
      <w:proofErr w:type="gramStart"/>
      <w:r>
        <w:rPr>
          <w:rFonts w:ascii="楷体" w:eastAsia="楷体" w:hAnsi="楷体" w:hint="eastAsia"/>
          <w:sz w:val="20"/>
          <w:szCs w:val="20"/>
        </w:rPr>
        <w:t>归为固收</w:t>
      </w:r>
      <w:proofErr w:type="gramEnd"/>
      <w:r>
        <w:rPr>
          <w:rFonts w:ascii="楷体" w:eastAsia="楷体" w:hAnsi="楷体" w:hint="eastAsia"/>
          <w:sz w:val="20"/>
          <w:szCs w:val="20"/>
        </w:rPr>
        <w:t>+基金，其中包括混合债券型二级基金、</w:t>
      </w:r>
      <w:proofErr w:type="gramStart"/>
      <w:r>
        <w:rPr>
          <w:rFonts w:ascii="楷体" w:eastAsia="楷体" w:hAnsi="楷体" w:hint="eastAsia"/>
          <w:sz w:val="20"/>
          <w:szCs w:val="20"/>
        </w:rPr>
        <w:t>偏债混合型</w:t>
      </w:r>
      <w:proofErr w:type="gramEnd"/>
      <w:r>
        <w:rPr>
          <w:rFonts w:ascii="楷体" w:eastAsia="楷体" w:hAnsi="楷体" w:hint="eastAsia"/>
          <w:sz w:val="20"/>
          <w:szCs w:val="20"/>
        </w:rPr>
        <w:t>基金、灵活配置型基金（近4期任1期股票</w:t>
      </w:r>
      <w:proofErr w:type="gramStart"/>
      <w:r>
        <w:rPr>
          <w:rFonts w:ascii="楷体" w:eastAsia="楷体" w:hAnsi="楷体" w:hint="eastAsia"/>
          <w:sz w:val="20"/>
          <w:szCs w:val="20"/>
        </w:rPr>
        <w:t>仓位</w:t>
      </w:r>
      <w:proofErr w:type="gramEnd"/>
      <w:r>
        <w:rPr>
          <w:rFonts w:ascii="楷体" w:eastAsia="楷体" w:hAnsi="楷体" w:hint="eastAsia"/>
          <w:sz w:val="20"/>
          <w:szCs w:val="20"/>
        </w:rPr>
        <w:t>都低于40%）。</w:t>
      </w:r>
      <w:proofErr w:type="gramStart"/>
      <w:r>
        <w:rPr>
          <w:rFonts w:ascii="楷体" w:eastAsia="楷体" w:hAnsi="楷体" w:hint="eastAsia"/>
          <w:sz w:val="20"/>
          <w:szCs w:val="20"/>
        </w:rPr>
        <w:t>不同固收</w:t>
      </w:r>
      <w:proofErr w:type="gramEnd"/>
      <w:r>
        <w:rPr>
          <w:rFonts w:ascii="楷体" w:eastAsia="楷体" w:hAnsi="楷体" w:hint="eastAsia"/>
          <w:sz w:val="20"/>
          <w:szCs w:val="20"/>
        </w:rPr>
        <w:t>+基金在产品设计、风险偏好上可能差异较大，且与Wind二级分类并无显著关系，因此先分类再分析是较为重要的。具体在分类上，我们根据权益</w:t>
      </w:r>
      <w:proofErr w:type="gramStart"/>
      <w:r>
        <w:rPr>
          <w:rFonts w:ascii="楷体" w:eastAsia="楷体" w:hAnsi="楷体" w:hint="eastAsia"/>
          <w:sz w:val="20"/>
          <w:szCs w:val="20"/>
        </w:rPr>
        <w:t>仓位</w:t>
      </w:r>
      <w:proofErr w:type="gramEnd"/>
      <w:r>
        <w:rPr>
          <w:rFonts w:ascii="楷体" w:eastAsia="楷体" w:hAnsi="楷体" w:hint="eastAsia"/>
          <w:sz w:val="20"/>
          <w:szCs w:val="20"/>
        </w:rPr>
        <w:t>（股票+</w:t>
      </w:r>
      <w:proofErr w:type="gramStart"/>
      <w:r>
        <w:rPr>
          <w:rFonts w:ascii="楷体" w:eastAsia="楷体" w:hAnsi="楷体" w:hint="eastAsia"/>
          <w:sz w:val="20"/>
          <w:szCs w:val="20"/>
        </w:rPr>
        <w:t>偏股性</w:t>
      </w:r>
      <w:proofErr w:type="gramEnd"/>
      <w:r>
        <w:rPr>
          <w:rFonts w:ascii="楷体" w:eastAsia="楷体" w:hAnsi="楷体" w:hint="eastAsia"/>
          <w:sz w:val="20"/>
          <w:szCs w:val="20"/>
        </w:rPr>
        <w:t>转债）、波动率、最大回撤三个指标进行分类，</w:t>
      </w:r>
      <w:proofErr w:type="gramStart"/>
      <w:r>
        <w:rPr>
          <w:rFonts w:ascii="楷体" w:eastAsia="楷体" w:hAnsi="楷体" w:hint="eastAsia"/>
          <w:sz w:val="20"/>
          <w:szCs w:val="20"/>
        </w:rPr>
        <w:t>将固收</w:t>
      </w:r>
      <w:proofErr w:type="gramEnd"/>
      <w:r>
        <w:rPr>
          <w:rFonts w:ascii="楷体" w:eastAsia="楷体" w:hAnsi="楷体" w:hint="eastAsia"/>
          <w:sz w:val="20"/>
          <w:szCs w:val="20"/>
        </w:rPr>
        <w:t>+基金分为</w:t>
      </w:r>
      <w:proofErr w:type="gramStart"/>
      <w:r>
        <w:rPr>
          <w:rFonts w:ascii="楷体" w:eastAsia="楷体" w:hAnsi="楷体" w:hint="eastAsia"/>
          <w:sz w:val="20"/>
          <w:szCs w:val="20"/>
        </w:rPr>
        <w:t>偏股型、偏债型</w:t>
      </w:r>
      <w:proofErr w:type="gramEnd"/>
      <w:r>
        <w:rPr>
          <w:rFonts w:ascii="楷体" w:eastAsia="楷体" w:hAnsi="楷体" w:hint="eastAsia"/>
          <w:sz w:val="20"/>
          <w:szCs w:val="20"/>
        </w:rPr>
        <w:t>以及均衡型。</w:t>
      </w:r>
      <w:proofErr w:type="gramStart"/>
      <w:r>
        <w:rPr>
          <w:rFonts w:ascii="楷体" w:eastAsia="楷体" w:hAnsi="楷体" w:hint="eastAsia"/>
          <w:sz w:val="20"/>
          <w:szCs w:val="20"/>
        </w:rPr>
        <w:t>固收</w:t>
      </w:r>
      <w:proofErr w:type="gramEnd"/>
      <w:r>
        <w:rPr>
          <w:rFonts w:ascii="楷体" w:eastAsia="楷体" w:hAnsi="楷体" w:hint="eastAsia"/>
          <w:sz w:val="20"/>
          <w:szCs w:val="20"/>
        </w:rPr>
        <w:t>+基金中存在部分打新基金，且较难通过定量方法进行甄别，因此在整体分析中并没有剔除该类基金。</w:t>
      </w:r>
    </w:p>
    <w:p w:rsidR="00E95E51" w:rsidRDefault="00E95E51">
      <w:pPr>
        <w:pStyle w:val="afd"/>
        <w:ind w:firstLineChars="0" w:firstLine="0"/>
        <w:jc w:val="both"/>
        <w:rPr>
          <w:rFonts w:ascii="楷体" w:eastAsia="楷体" w:hAnsi="楷体"/>
          <w:sz w:val="20"/>
          <w:szCs w:val="20"/>
        </w:rPr>
      </w:pPr>
    </w:p>
    <w:p w:rsidR="00E95E51" w:rsidRDefault="00502CD5">
      <w:pPr>
        <w:pStyle w:val="afe"/>
        <w:numPr>
          <w:ilvl w:val="0"/>
          <w:numId w:val="6"/>
        </w:numPr>
        <w:ind w:firstLineChars="0"/>
        <w:rPr>
          <w:rFonts w:ascii="楷体" w:eastAsia="楷体" w:hAnsi="楷体"/>
          <w:b/>
          <w:sz w:val="24"/>
          <w:szCs w:val="24"/>
        </w:rPr>
      </w:pPr>
      <w:r>
        <w:rPr>
          <w:rFonts w:ascii="楷体" w:eastAsia="楷体" w:hAnsi="楷体" w:hint="eastAsia"/>
          <w:b/>
          <w:sz w:val="24"/>
          <w:szCs w:val="24"/>
        </w:rPr>
        <w:t>均衡型、</w:t>
      </w:r>
      <w:proofErr w:type="gramStart"/>
      <w:r>
        <w:rPr>
          <w:rFonts w:ascii="楷体" w:eastAsia="楷体" w:hAnsi="楷体" w:hint="eastAsia"/>
          <w:b/>
          <w:sz w:val="24"/>
          <w:szCs w:val="24"/>
        </w:rPr>
        <w:t>偏债型固收</w:t>
      </w:r>
      <w:proofErr w:type="gramEnd"/>
      <w:r>
        <w:rPr>
          <w:rFonts w:ascii="楷体" w:eastAsia="楷体" w:hAnsi="楷体" w:hint="eastAsia"/>
          <w:b/>
          <w:sz w:val="24"/>
          <w:szCs w:val="24"/>
        </w:rPr>
        <w:t>+收益风险比较高</w:t>
      </w:r>
    </w:p>
    <w:p w:rsidR="00E95E51" w:rsidRDefault="00502CD5">
      <w:pPr>
        <w:spacing w:line="24" w:lineRule="atLeast"/>
        <w:ind w:firstLineChars="200" w:firstLine="420"/>
        <w:rPr>
          <w:rFonts w:ascii="楷体" w:eastAsia="楷体" w:hAnsi="楷体"/>
          <w:szCs w:val="21"/>
        </w:rPr>
      </w:pPr>
      <w:r>
        <w:rPr>
          <w:rFonts w:ascii="楷体" w:eastAsia="楷体" w:hAnsi="楷体" w:hint="eastAsia"/>
          <w:szCs w:val="21"/>
        </w:rPr>
        <w:t>从近5年较长时间维度的整体风险收益比情况来看，均衡</w:t>
      </w:r>
      <w:proofErr w:type="gramStart"/>
      <w:r>
        <w:rPr>
          <w:rFonts w:ascii="楷体" w:eastAsia="楷体" w:hAnsi="楷体" w:hint="eastAsia"/>
          <w:szCs w:val="21"/>
        </w:rPr>
        <w:t>型固收</w:t>
      </w:r>
      <w:proofErr w:type="gramEnd"/>
      <w:r>
        <w:rPr>
          <w:rFonts w:ascii="楷体" w:eastAsia="楷体" w:hAnsi="楷体" w:hint="eastAsia"/>
          <w:szCs w:val="21"/>
        </w:rPr>
        <w:t>+、</w:t>
      </w:r>
      <w:proofErr w:type="gramStart"/>
      <w:r>
        <w:rPr>
          <w:rFonts w:ascii="楷体" w:eastAsia="楷体" w:hAnsi="楷体" w:hint="eastAsia"/>
          <w:szCs w:val="21"/>
        </w:rPr>
        <w:t>偏债型固收</w:t>
      </w:r>
      <w:proofErr w:type="gramEnd"/>
      <w:r>
        <w:rPr>
          <w:rFonts w:ascii="楷体" w:eastAsia="楷体" w:hAnsi="楷体" w:hint="eastAsia"/>
          <w:szCs w:val="21"/>
        </w:rPr>
        <w:t>+是相对更好的投资类别，其近</w:t>
      </w:r>
      <w:r>
        <w:rPr>
          <w:rFonts w:ascii="楷体" w:eastAsia="楷体" w:hAnsi="楷体"/>
          <w:szCs w:val="21"/>
        </w:rPr>
        <w:t>5</w:t>
      </w:r>
      <w:r>
        <w:rPr>
          <w:rFonts w:ascii="楷体" w:eastAsia="楷体" w:hAnsi="楷体" w:hint="eastAsia"/>
          <w:szCs w:val="21"/>
        </w:rPr>
        <w:t>年夏普比率分别为1</w:t>
      </w:r>
      <w:r>
        <w:rPr>
          <w:rFonts w:ascii="楷体" w:eastAsia="楷体" w:hAnsi="楷体"/>
          <w:szCs w:val="21"/>
        </w:rPr>
        <w:t>.49</w:t>
      </w:r>
      <w:r>
        <w:rPr>
          <w:rFonts w:ascii="楷体" w:eastAsia="楷体" w:hAnsi="楷体" w:hint="eastAsia"/>
          <w:szCs w:val="21"/>
        </w:rPr>
        <w:t>、1</w:t>
      </w:r>
      <w:r>
        <w:rPr>
          <w:rFonts w:ascii="楷体" w:eastAsia="楷体" w:hAnsi="楷体"/>
          <w:szCs w:val="21"/>
        </w:rPr>
        <w:t>.60</w:t>
      </w:r>
      <w:r>
        <w:rPr>
          <w:rFonts w:ascii="楷体" w:eastAsia="楷体" w:hAnsi="楷体" w:hint="eastAsia"/>
          <w:szCs w:val="21"/>
        </w:rPr>
        <w:t>。由于均衡型、</w:t>
      </w:r>
      <w:proofErr w:type="gramStart"/>
      <w:r>
        <w:rPr>
          <w:rFonts w:ascii="楷体" w:eastAsia="楷体" w:hAnsi="楷体" w:hint="eastAsia"/>
          <w:szCs w:val="21"/>
        </w:rPr>
        <w:t>偏债型固收</w:t>
      </w:r>
      <w:proofErr w:type="gramEnd"/>
      <w:r>
        <w:rPr>
          <w:rFonts w:ascii="楷体" w:eastAsia="楷体" w:hAnsi="楷体" w:hint="eastAsia"/>
          <w:szCs w:val="21"/>
        </w:rPr>
        <w:t>+持有体验感较好（波动及回撤较低、夏普较高），因此对于风险偏好较低，但又想获取较纯</w:t>
      </w:r>
      <w:proofErr w:type="gramStart"/>
      <w:r>
        <w:rPr>
          <w:rFonts w:ascii="楷体" w:eastAsia="楷体" w:hAnsi="楷体" w:hint="eastAsia"/>
          <w:szCs w:val="21"/>
        </w:rPr>
        <w:t>债基金</w:t>
      </w:r>
      <w:proofErr w:type="gramEnd"/>
      <w:r>
        <w:rPr>
          <w:rFonts w:ascii="楷体" w:eastAsia="楷体" w:hAnsi="楷体" w:hint="eastAsia"/>
          <w:szCs w:val="21"/>
        </w:rPr>
        <w:t>有一定超额收益的投资者来说，是较好的选择标的。</w:t>
      </w:r>
    </w:p>
    <w:p w:rsidR="00E95E51" w:rsidRDefault="00E95E51">
      <w:pPr>
        <w:spacing w:line="24" w:lineRule="atLeast"/>
        <w:ind w:firstLineChars="200" w:firstLine="420"/>
        <w:rPr>
          <w:rFonts w:ascii="楷体" w:eastAsia="楷体" w:hAnsi="楷体"/>
          <w:szCs w:val="21"/>
        </w:rPr>
      </w:pPr>
    </w:p>
    <w:p w:rsidR="00E95E51" w:rsidRDefault="00502CD5">
      <w:pPr>
        <w:pStyle w:val="afe"/>
        <w:numPr>
          <w:ilvl w:val="0"/>
          <w:numId w:val="6"/>
        </w:numPr>
        <w:ind w:rightChars="-151" w:right="-317" w:firstLineChars="0"/>
        <w:rPr>
          <w:rFonts w:ascii="楷体" w:eastAsia="楷体" w:hAnsi="楷体"/>
          <w:b/>
          <w:sz w:val="24"/>
          <w:szCs w:val="24"/>
        </w:rPr>
      </w:pPr>
      <w:proofErr w:type="gramStart"/>
      <w:r>
        <w:rPr>
          <w:rFonts w:ascii="楷体" w:eastAsia="楷体" w:hAnsi="楷体" w:hint="eastAsia"/>
          <w:b/>
          <w:sz w:val="24"/>
          <w:szCs w:val="24"/>
        </w:rPr>
        <w:t>固收</w:t>
      </w:r>
      <w:proofErr w:type="gramEnd"/>
      <w:r>
        <w:rPr>
          <w:rFonts w:ascii="楷体" w:eastAsia="楷体" w:hAnsi="楷体" w:hint="eastAsia"/>
          <w:b/>
          <w:sz w:val="24"/>
          <w:szCs w:val="24"/>
        </w:rPr>
        <w:t>+基金在不同市场下表现</w:t>
      </w:r>
    </w:p>
    <w:p w:rsidR="00E95E51" w:rsidRDefault="00502CD5">
      <w:pPr>
        <w:pStyle w:val="a"/>
        <w:numPr>
          <w:ilvl w:val="0"/>
          <w:numId w:val="0"/>
        </w:numPr>
        <w:spacing w:line="24" w:lineRule="atLeast"/>
        <w:ind w:left="1680" w:right="210" w:firstLineChars="200" w:firstLine="400"/>
        <w:rPr>
          <w:rFonts w:ascii="楷体" w:eastAsia="楷体" w:hAnsi="楷体"/>
          <w:b w:val="0"/>
          <w:sz w:val="20"/>
          <w:szCs w:val="20"/>
        </w:rPr>
      </w:pPr>
      <w:r>
        <w:rPr>
          <w:rFonts w:ascii="楷体" w:eastAsia="楷体" w:hAnsi="楷体" w:hint="eastAsia"/>
          <w:b w:val="0"/>
          <w:sz w:val="20"/>
          <w:szCs w:val="20"/>
        </w:rPr>
        <w:t>我们选取了8类公募基金（包括</w:t>
      </w:r>
      <w:proofErr w:type="gramStart"/>
      <w:r>
        <w:rPr>
          <w:rFonts w:ascii="楷体" w:eastAsia="楷体" w:hAnsi="楷体" w:hint="eastAsia"/>
          <w:b w:val="0"/>
          <w:sz w:val="20"/>
          <w:szCs w:val="20"/>
        </w:rPr>
        <w:t>3类固收</w:t>
      </w:r>
      <w:proofErr w:type="gramEnd"/>
      <w:r>
        <w:rPr>
          <w:rFonts w:ascii="楷体" w:eastAsia="楷体" w:hAnsi="楷体" w:hint="eastAsia"/>
          <w:b w:val="0"/>
          <w:sz w:val="20"/>
          <w:szCs w:val="20"/>
        </w:rPr>
        <w:t>+）以及8段不同的股债市场进行分析。从收益率表现来看，</w:t>
      </w:r>
      <w:proofErr w:type="gramStart"/>
      <w:r>
        <w:rPr>
          <w:rFonts w:ascii="楷体" w:eastAsia="楷体" w:hAnsi="楷体" w:hint="eastAsia"/>
          <w:b w:val="0"/>
          <w:sz w:val="20"/>
          <w:szCs w:val="20"/>
        </w:rPr>
        <w:t>偏股型固收</w:t>
      </w:r>
      <w:proofErr w:type="gramEnd"/>
      <w:r>
        <w:rPr>
          <w:rFonts w:ascii="楷体" w:eastAsia="楷体" w:hAnsi="楷体" w:hint="eastAsia"/>
          <w:b w:val="0"/>
          <w:sz w:val="20"/>
          <w:szCs w:val="20"/>
        </w:rPr>
        <w:t>+进攻性较强，除股票全面熊市表现落后外，其余市况下表现排名都在3、4名。均衡</w:t>
      </w:r>
      <w:proofErr w:type="gramStart"/>
      <w:r>
        <w:rPr>
          <w:rFonts w:ascii="楷体" w:eastAsia="楷体" w:hAnsi="楷体" w:hint="eastAsia"/>
          <w:b w:val="0"/>
          <w:sz w:val="20"/>
          <w:szCs w:val="20"/>
        </w:rPr>
        <w:t>型固收</w:t>
      </w:r>
      <w:proofErr w:type="gramEnd"/>
      <w:r>
        <w:rPr>
          <w:rFonts w:ascii="楷体" w:eastAsia="楷体" w:hAnsi="楷体" w:hint="eastAsia"/>
          <w:b w:val="0"/>
          <w:sz w:val="20"/>
          <w:szCs w:val="20"/>
        </w:rPr>
        <w:t>+基金表现较为稳定，在两次震荡市中表现第1，在8段不同市场下排名均值3.4，仅次于股票基金的3.3。从夏普比率来看，</w:t>
      </w:r>
      <w:proofErr w:type="gramStart"/>
      <w:r>
        <w:rPr>
          <w:rFonts w:ascii="楷体" w:eastAsia="楷体" w:hAnsi="楷体" w:hint="eastAsia"/>
          <w:b w:val="0"/>
          <w:sz w:val="20"/>
          <w:szCs w:val="20"/>
        </w:rPr>
        <w:t>偏股型固收</w:t>
      </w:r>
      <w:proofErr w:type="gramEnd"/>
      <w:r>
        <w:rPr>
          <w:rFonts w:ascii="楷体" w:eastAsia="楷体" w:hAnsi="楷体" w:hint="eastAsia"/>
          <w:b w:val="0"/>
          <w:sz w:val="20"/>
          <w:szCs w:val="20"/>
        </w:rPr>
        <w:t>+在牛市中能够有较高的夏普比率；均衡</w:t>
      </w:r>
      <w:proofErr w:type="gramStart"/>
      <w:r>
        <w:rPr>
          <w:rFonts w:ascii="楷体" w:eastAsia="楷体" w:hAnsi="楷体" w:hint="eastAsia"/>
          <w:b w:val="0"/>
          <w:sz w:val="20"/>
          <w:szCs w:val="20"/>
        </w:rPr>
        <w:t>型固收</w:t>
      </w:r>
      <w:proofErr w:type="gramEnd"/>
      <w:r>
        <w:rPr>
          <w:rFonts w:ascii="楷体" w:eastAsia="楷体" w:hAnsi="楷体" w:hint="eastAsia"/>
          <w:b w:val="0"/>
          <w:sz w:val="20"/>
          <w:szCs w:val="20"/>
        </w:rPr>
        <w:t>+收益风险比较为稳定，基本在所有市场下都能在8类资产中排名前3；</w:t>
      </w:r>
      <w:proofErr w:type="gramStart"/>
      <w:r>
        <w:rPr>
          <w:rFonts w:ascii="楷体" w:eastAsia="楷体" w:hAnsi="楷体" w:hint="eastAsia"/>
          <w:b w:val="0"/>
          <w:sz w:val="20"/>
          <w:szCs w:val="20"/>
        </w:rPr>
        <w:t>偏债型固收</w:t>
      </w:r>
      <w:proofErr w:type="gramEnd"/>
      <w:r>
        <w:rPr>
          <w:rFonts w:ascii="楷体" w:eastAsia="楷体" w:hAnsi="楷体" w:hint="eastAsia"/>
          <w:b w:val="0"/>
          <w:sz w:val="20"/>
          <w:szCs w:val="20"/>
        </w:rPr>
        <w:t>+除股票牛市外，</w:t>
      </w:r>
      <w:proofErr w:type="gramStart"/>
      <w:r>
        <w:rPr>
          <w:rFonts w:ascii="楷体" w:eastAsia="楷体" w:hAnsi="楷体" w:hint="eastAsia"/>
          <w:b w:val="0"/>
          <w:sz w:val="20"/>
          <w:szCs w:val="20"/>
        </w:rPr>
        <w:t>其余市场</w:t>
      </w:r>
      <w:proofErr w:type="gramEnd"/>
      <w:r>
        <w:rPr>
          <w:rFonts w:ascii="楷体" w:eastAsia="楷体" w:hAnsi="楷体" w:hint="eastAsia"/>
          <w:b w:val="0"/>
          <w:sz w:val="20"/>
          <w:szCs w:val="20"/>
        </w:rPr>
        <w:t>下排名也较为靠前。</w:t>
      </w:r>
    </w:p>
    <w:p w:rsidR="00E95E51" w:rsidRDefault="00E95E51">
      <w:pPr>
        <w:pStyle w:val="a"/>
        <w:numPr>
          <w:ilvl w:val="0"/>
          <w:numId w:val="0"/>
        </w:numPr>
        <w:spacing w:line="24" w:lineRule="atLeast"/>
        <w:ind w:left="1680" w:right="210" w:firstLineChars="200" w:firstLine="400"/>
        <w:rPr>
          <w:rFonts w:ascii="楷体" w:eastAsia="楷体" w:hAnsi="楷体"/>
          <w:b w:val="0"/>
          <w:sz w:val="20"/>
          <w:szCs w:val="20"/>
        </w:rPr>
      </w:pPr>
    </w:p>
    <w:p w:rsidR="00E95E51" w:rsidRDefault="00502CD5">
      <w:pPr>
        <w:pStyle w:val="afe"/>
        <w:numPr>
          <w:ilvl w:val="0"/>
          <w:numId w:val="6"/>
        </w:numPr>
        <w:ind w:firstLineChars="0"/>
        <w:rPr>
          <w:rFonts w:ascii="楷体" w:eastAsia="楷体" w:hAnsi="楷体"/>
          <w:b/>
          <w:sz w:val="24"/>
          <w:szCs w:val="24"/>
        </w:rPr>
      </w:pPr>
      <w:proofErr w:type="gramStart"/>
      <w:r>
        <w:rPr>
          <w:rFonts w:ascii="楷体" w:eastAsia="楷体" w:hAnsi="楷体" w:hint="eastAsia"/>
          <w:b/>
          <w:sz w:val="24"/>
          <w:szCs w:val="24"/>
        </w:rPr>
        <w:t>固收</w:t>
      </w:r>
      <w:proofErr w:type="gramEnd"/>
      <w:r>
        <w:rPr>
          <w:rFonts w:ascii="楷体" w:eastAsia="楷体" w:hAnsi="楷体" w:hint="eastAsia"/>
          <w:b/>
          <w:sz w:val="24"/>
          <w:szCs w:val="24"/>
        </w:rPr>
        <w:t>+基金的分类优选</w:t>
      </w:r>
    </w:p>
    <w:p w:rsidR="00E95E51" w:rsidRDefault="00502CD5">
      <w:pPr>
        <w:ind w:firstLineChars="200" w:firstLine="400"/>
        <w:rPr>
          <w:rFonts w:ascii="楷体" w:eastAsia="楷体" w:hAnsi="楷体"/>
          <w:sz w:val="20"/>
          <w:szCs w:val="20"/>
        </w:rPr>
      </w:pPr>
      <w:r>
        <w:rPr>
          <w:rFonts w:ascii="楷体" w:eastAsia="楷体" w:hAnsi="楷体" w:hint="eastAsia"/>
          <w:sz w:val="20"/>
          <w:szCs w:val="20"/>
        </w:rPr>
        <w:t>由于不同</w:t>
      </w:r>
      <w:proofErr w:type="gramStart"/>
      <w:r>
        <w:rPr>
          <w:rFonts w:ascii="楷体" w:eastAsia="楷体" w:hAnsi="楷体" w:hint="eastAsia"/>
          <w:sz w:val="20"/>
          <w:szCs w:val="20"/>
        </w:rPr>
        <w:t>类型固收</w:t>
      </w:r>
      <w:proofErr w:type="gramEnd"/>
      <w:r>
        <w:rPr>
          <w:rFonts w:ascii="楷体" w:eastAsia="楷体" w:hAnsi="楷体" w:hint="eastAsia"/>
          <w:sz w:val="20"/>
          <w:szCs w:val="20"/>
        </w:rPr>
        <w:t>+产品风格差异较大，且对应投资人对于收益风险、持有体验等要求也各不相同，因此</w:t>
      </w:r>
      <w:proofErr w:type="gramStart"/>
      <w:r>
        <w:rPr>
          <w:rFonts w:ascii="楷体" w:eastAsia="楷体" w:hAnsi="楷体" w:hint="eastAsia"/>
          <w:sz w:val="20"/>
          <w:szCs w:val="20"/>
        </w:rPr>
        <w:t>在固收</w:t>
      </w:r>
      <w:proofErr w:type="gramEnd"/>
      <w:r>
        <w:rPr>
          <w:rFonts w:ascii="楷体" w:eastAsia="楷体" w:hAnsi="楷体" w:hint="eastAsia"/>
          <w:sz w:val="20"/>
          <w:szCs w:val="20"/>
        </w:rPr>
        <w:t>+基金优选时，我们建议通过不同的指标进行筛选。</w:t>
      </w:r>
      <w:proofErr w:type="gramStart"/>
      <w:r>
        <w:rPr>
          <w:rFonts w:ascii="楷体" w:eastAsia="楷体" w:hAnsi="楷体" w:hint="eastAsia"/>
          <w:sz w:val="20"/>
          <w:szCs w:val="20"/>
        </w:rPr>
        <w:t>偏债型</w:t>
      </w:r>
      <w:proofErr w:type="gramEnd"/>
      <w:r>
        <w:rPr>
          <w:rFonts w:ascii="楷体" w:eastAsia="楷体" w:hAnsi="楷体" w:hint="eastAsia"/>
          <w:sz w:val="20"/>
          <w:szCs w:val="20"/>
        </w:rPr>
        <w:t>、均衡</w:t>
      </w:r>
      <w:proofErr w:type="gramStart"/>
      <w:r>
        <w:rPr>
          <w:rFonts w:ascii="楷体" w:eastAsia="楷体" w:hAnsi="楷体" w:hint="eastAsia"/>
          <w:sz w:val="20"/>
          <w:szCs w:val="20"/>
        </w:rPr>
        <w:t>型固收</w:t>
      </w:r>
      <w:proofErr w:type="gramEnd"/>
      <w:r>
        <w:rPr>
          <w:rFonts w:ascii="楷体" w:eastAsia="楷体" w:hAnsi="楷体" w:hint="eastAsia"/>
          <w:sz w:val="20"/>
          <w:szCs w:val="20"/>
        </w:rPr>
        <w:t>+都偏绝对收益，建议优先选择收益风险比较高、且持有体验较好的基金；</w:t>
      </w:r>
      <w:proofErr w:type="gramStart"/>
      <w:r>
        <w:rPr>
          <w:rFonts w:ascii="楷体" w:eastAsia="楷体" w:hAnsi="楷体" w:hint="eastAsia"/>
          <w:sz w:val="20"/>
          <w:szCs w:val="20"/>
        </w:rPr>
        <w:t>偏股型固收</w:t>
      </w:r>
      <w:proofErr w:type="gramEnd"/>
      <w:r>
        <w:rPr>
          <w:rFonts w:ascii="楷体" w:eastAsia="楷体" w:hAnsi="楷体" w:hint="eastAsia"/>
          <w:sz w:val="20"/>
          <w:szCs w:val="20"/>
        </w:rPr>
        <w:t>+进攻性强，建议优先选择过去收益较好、择股能力较强的基金。</w:t>
      </w:r>
    </w:p>
    <w:p w:rsidR="00E95E51" w:rsidRDefault="00502CD5">
      <w:pPr>
        <w:widowControl/>
        <w:jc w:val="left"/>
        <w:rPr>
          <w:rFonts w:ascii="楷体" w:eastAsia="楷体" w:hAnsi="楷体"/>
          <w:sz w:val="20"/>
          <w:szCs w:val="20"/>
        </w:rPr>
      </w:pPr>
      <w:r>
        <w:rPr>
          <w:rFonts w:ascii="楷体" w:eastAsia="楷体" w:hAnsi="楷体"/>
          <w:sz w:val="20"/>
          <w:szCs w:val="20"/>
        </w:rPr>
        <w:br w:type="page"/>
      </w:r>
    </w:p>
    <w:p w:rsidR="00E95E51" w:rsidRDefault="00502CD5">
      <w:pPr>
        <w:pStyle w:val="afe"/>
        <w:numPr>
          <w:ilvl w:val="0"/>
          <w:numId w:val="7"/>
        </w:numPr>
        <w:adjustRightInd w:val="0"/>
        <w:snapToGrid w:val="0"/>
        <w:spacing w:line="24" w:lineRule="atLeast"/>
        <w:ind w:firstLineChars="0"/>
        <w:rPr>
          <w:rFonts w:ascii="楷体" w:eastAsia="楷体" w:hAnsi="楷体"/>
          <w:b/>
          <w:sz w:val="28"/>
          <w:szCs w:val="28"/>
        </w:rPr>
      </w:pPr>
      <w:proofErr w:type="gramStart"/>
      <w:r>
        <w:rPr>
          <w:rFonts w:ascii="楷体" w:eastAsia="楷体" w:hAnsi="楷体" w:hint="eastAsia"/>
          <w:b/>
          <w:sz w:val="28"/>
          <w:szCs w:val="28"/>
        </w:rPr>
        <w:lastRenderedPageBreak/>
        <w:t>固收</w:t>
      </w:r>
      <w:proofErr w:type="gramEnd"/>
      <w:r>
        <w:rPr>
          <w:rFonts w:ascii="楷体" w:eastAsia="楷体" w:hAnsi="楷体" w:hint="eastAsia"/>
          <w:b/>
          <w:sz w:val="28"/>
          <w:szCs w:val="28"/>
        </w:rPr>
        <w:t>+基金的定义及分类</w:t>
      </w:r>
    </w:p>
    <w:p w:rsidR="00E95E51" w:rsidRDefault="00502CD5">
      <w:pPr>
        <w:pStyle w:val="a"/>
        <w:numPr>
          <w:ilvl w:val="0"/>
          <w:numId w:val="0"/>
        </w:numPr>
        <w:adjustRightInd w:val="0"/>
        <w:snapToGrid w:val="0"/>
        <w:spacing w:before="0" w:after="0" w:line="24" w:lineRule="atLeast"/>
        <w:ind w:rightChars="0" w:right="0"/>
        <w:rPr>
          <w:rFonts w:ascii="楷体" w:eastAsia="楷体" w:hAnsi="楷体"/>
          <w:sz w:val="24"/>
          <w:szCs w:val="28"/>
        </w:rPr>
      </w:pPr>
      <w:r>
        <w:rPr>
          <w:rFonts w:ascii="楷体" w:eastAsia="楷体" w:hAnsi="楷体"/>
          <w:sz w:val="24"/>
          <w:szCs w:val="28"/>
        </w:rPr>
        <w:t>1.1.</w:t>
      </w:r>
      <w:proofErr w:type="gramStart"/>
      <w:r>
        <w:rPr>
          <w:rFonts w:ascii="楷体" w:eastAsia="楷体" w:hAnsi="楷体" w:hint="eastAsia"/>
          <w:sz w:val="24"/>
          <w:szCs w:val="28"/>
        </w:rPr>
        <w:t>固收</w:t>
      </w:r>
      <w:proofErr w:type="gramEnd"/>
      <w:r>
        <w:rPr>
          <w:rFonts w:ascii="楷体" w:eastAsia="楷体" w:hAnsi="楷体" w:hint="eastAsia"/>
          <w:sz w:val="24"/>
          <w:szCs w:val="28"/>
        </w:rPr>
        <w:t>+基金的定义</w:t>
      </w:r>
    </w:p>
    <w:p w:rsidR="00E95E51" w:rsidRDefault="00502CD5">
      <w:pPr>
        <w:pStyle w:val="afd"/>
        <w:ind w:firstLine="420"/>
        <w:rPr>
          <w:rFonts w:ascii="楷体" w:eastAsia="楷体" w:hAnsi="楷体"/>
        </w:rPr>
      </w:pPr>
      <w:r>
        <w:rPr>
          <w:rFonts w:ascii="楷体" w:eastAsia="楷体" w:hAnsi="楷体" w:hint="eastAsia"/>
        </w:rPr>
        <w:t>我们将Wind公</w:t>
      </w:r>
      <w:proofErr w:type="gramStart"/>
      <w:r>
        <w:rPr>
          <w:rFonts w:ascii="楷体" w:eastAsia="楷体" w:hAnsi="楷体" w:hint="eastAsia"/>
        </w:rPr>
        <w:t>募基金</w:t>
      </w:r>
      <w:proofErr w:type="gramEnd"/>
      <w:r>
        <w:rPr>
          <w:rFonts w:ascii="楷体" w:eastAsia="楷体" w:hAnsi="楷体" w:hint="eastAsia"/>
        </w:rPr>
        <w:t>二级分类中，以债券为主要</w:t>
      </w:r>
      <w:proofErr w:type="gramStart"/>
      <w:r>
        <w:rPr>
          <w:rFonts w:ascii="楷体" w:eastAsia="楷体" w:hAnsi="楷体" w:hint="eastAsia"/>
        </w:rPr>
        <w:t>仓位</w:t>
      </w:r>
      <w:proofErr w:type="gramEnd"/>
      <w:r>
        <w:rPr>
          <w:rFonts w:ascii="楷体" w:eastAsia="楷体" w:hAnsi="楷体" w:hint="eastAsia"/>
        </w:rPr>
        <w:t>，并且能够主动配置权益的基金类型（剔除可转债基金）统一</w:t>
      </w:r>
      <w:proofErr w:type="gramStart"/>
      <w:r>
        <w:rPr>
          <w:rFonts w:ascii="楷体" w:eastAsia="楷体" w:hAnsi="楷体" w:hint="eastAsia"/>
        </w:rPr>
        <w:t>归为固收</w:t>
      </w:r>
      <w:proofErr w:type="gramEnd"/>
      <w:r>
        <w:rPr>
          <w:rFonts w:ascii="楷体" w:eastAsia="楷体" w:hAnsi="楷体" w:hint="eastAsia"/>
        </w:rPr>
        <w:t>+基金，其中包括混合债券型二级基金（后简称二级债基）、</w:t>
      </w:r>
      <w:proofErr w:type="gramStart"/>
      <w:r>
        <w:rPr>
          <w:rFonts w:ascii="楷体" w:eastAsia="楷体" w:hAnsi="楷体" w:hint="eastAsia"/>
        </w:rPr>
        <w:t>偏债混合型</w:t>
      </w:r>
      <w:proofErr w:type="gramEnd"/>
      <w:r>
        <w:rPr>
          <w:rFonts w:ascii="楷体" w:eastAsia="楷体" w:hAnsi="楷体" w:hint="eastAsia"/>
        </w:rPr>
        <w:t>基金、灵活配置型基金（近4期任一期股票</w:t>
      </w:r>
      <w:proofErr w:type="gramStart"/>
      <w:r>
        <w:rPr>
          <w:rFonts w:ascii="楷体" w:eastAsia="楷体" w:hAnsi="楷体" w:hint="eastAsia"/>
        </w:rPr>
        <w:t>仓位</w:t>
      </w:r>
      <w:proofErr w:type="gramEnd"/>
      <w:r>
        <w:rPr>
          <w:rFonts w:ascii="楷体" w:eastAsia="楷体" w:hAnsi="楷体" w:hint="eastAsia"/>
        </w:rPr>
        <w:t>都低于40%）。根据我们的筛选条件，全市场符合要求</w:t>
      </w:r>
      <w:proofErr w:type="gramStart"/>
      <w:r>
        <w:rPr>
          <w:rFonts w:ascii="楷体" w:eastAsia="楷体" w:hAnsi="楷体" w:hint="eastAsia"/>
        </w:rPr>
        <w:t>的固收</w:t>
      </w:r>
      <w:proofErr w:type="gramEnd"/>
      <w:r>
        <w:rPr>
          <w:rFonts w:ascii="楷体" w:eastAsia="楷体" w:hAnsi="楷体" w:hint="eastAsia"/>
        </w:rPr>
        <w:t>+基金共6</w:t>
      </w:r>
      <w:r>
        <w:rPr>
          <w:rFonts w:ascii="楷体" w:eastAsia="楷体" w:hAnsi="楷体"/>
        </w:rPr>
        <w:t>38</w:t>
      </w:r>
      <w:r>
        <w:rPr>
          <w:rFonts w:ascii="楷体" w:eastAsia="楷体" w:hAnsi="楷体" w:hint="eastAsia"/>
        </w:rPr>
        <w:t>只。我们将所有</w:t>
      </w:r>
      <w:proofErr w:type="gramStart"/>
      <w:r>
        <w:rPr>
          <w:rFonts w:ascii="楷体" w:eastAsia="楷体" w:hAnsi="楷体" w:hint="eastAsia"/>
        </w:rPr>
        <w:t>符合固收</w:t>
      </w:r>
      <w:proofErr w:type="gramEnd"/>
      <w:r>
        <w:rPr>
          <w:rFonts w:ascii="楷体" w:eastAsia="楷体" w:hAnsi="楷体" w:hint="eastAsia"/>
        </w:rPr>
        <w:t>+定义的基金拟合</w:t>
      </w:r>
      <w:proofErr w:type="gramStart"/>
      <w:r>
        <w:rPr>
          <w:rFonts w:ascii="楷体" w:eastAsia="楷体" w:hAnsi="楷体" w:hint="eastAsia"/>
        </w:rPr>
        <w:t>成基煜固收</w:t>
      </w:r>
      <w:proofErr w:type="gramEnd"/>
      <w:r>
        <w:rPr>
          <w:rFonts w:ascii="楷体" w:eastAsia="楷体" w:hAnsi="楷体" w:hint="eastAsia"/>
        </w:rPr>
        <w:t>+指数，并做季度调整，整体表现</w:t>
      </w:r>
      <w:proofErr w:type="gramStart"/>
      <w:r>
        <w:rPr>
          <w:rFonts w:ascii="楷体" w:eastAsia="楷体" w:hAnsi="楷体" w:hint="eastAsia"/>
        </w:rPr>
        <w:t>介于偏债混合</w:t>
      </w:r>
      <w:proofErr w:type="gramEnd"/>
      <w:r>
        <w:rPr>
          <w:rFonts w:ascii="楷体" w:eastAsia="楷体" w:hAnsi="楷体" w:hint="eastAsia"/>
        </w:rPr>
        <w:t>基金指数和</w:t>
      </w:r>
      <w:proofErr w:type="gramStart"/>
      <w:r>
        <w:rPr>
          <w:rFonts w:ascii="楷体" w:eastAsia="楷体" w:hAnsi="楷体" w:hint="eastAsia"/>
        </w:rPr>
        <w:t>二级债基指数</w:t>
      </w:r>
      <w:proofErr w:type="gramEnd"/>
      <w:r>
        <w:rPr>
          <w:rFonts w:ascii="楷体" w:eastAsia="楷体" w:hAnsi="楷体" w:hint="eastAsia"/>
        </w:rPr>
        <w:t>之间。</w:t>
      </w:r>
    </w:p>
    <w:p w:rsidR="00E95E51" w:rsidRDefault="00502CD5">
      <w:pPr>
        <w:pStyle w:val="afd"/>
        <w:ind w:firstLine="420"/>
        <w:rPr>
          <w:rFonts w:ascii="楷体" w:eastAsia="楷体" w:hAnsi="楷体"/>
        </w:rPr>
      </w:pPr>
      <w:proofErr w:type="gramStart"/>
      <w:r>
        <w:rPr>
          <w:rFonts w:ascii="楷体" w:eastAsia="楷体" w:hAnsi="楷体" w:hint="eastAsia"/>
        </w:rPr>
        <w:t>不同固收</w:t>
      </w:r>
      <w:proofErr w:type="gramEnd"/>
      <w:r>
        <w:rPr>
          <w:rFonts w:ascii="楷体" w:eastAsia="楷体" w:hAnsi="楷体" w:hint="eastAsia"/>
        </w:rPr>
        <w:t>+基金在产品设计、风险偏好上可能差异较大，且与Wind二级分类并无显著关系。虽然二级债基、</w:t>
      </w:r>
      <w:proofErr w:type="gramStart"/>
      <w:r>
        <w:rPr>
          <w:rFonts w:ascii="楷体" w:eastAsia="楷体" w:hAnsi="楷体" w:hint="eastAsia"/>
        </w:rPr>
        <w:t>偏债混合</w:t>
      </w:r>
      <w:proofErr w:type="gramEnd"/>
      <w:r>
        <w:rPr>
          <w:rFonts w:ascii="楷体" w:eastAsia="楷体" w:hAnsi="楷体" w:hint="eastAsia"/>
        </w:rPr>
        <w:t>、灵活配置在股票</w:t>
      </w:r>
      <w:proofErr w:type="gramStart"/>
      <w:r>
        <w:rPr>
          <w:rFonts w:ascii="楷体" w:eastAsia="楷体" w:hAnsi="楷体" w:hint="eastAsia"/>
        </w:rPr>
        <w:t>仓位</w:t>
      </w:r>
      <w:proofErr w:type="gramEnd"/>
      <w:r>
        <w:rPr>
          <w:rFonts w:ascii="楷体" w:eastAsia="楷体" w:hAnsi="楷体" w:hint="eastAsia"/>
        </w:rPr>
        <w:t>的上限可能不同，但权益的暴露度可以通过转债调节（</w:t>
      </w:r>
      <w:proofErr w:type="gramStart"/>
      <w:r>
        <w:rPr>
          <w:rFonts w:ascii="楷体" w:eastAsia="楷体" w:hAnsi="楷体" w:hint="eastAsia"/>
        </w:rPr>
        <w:t>一般固收</w:t>
      </w:r>
      <w:proofErr w:type="gramEnd"/>
      <w:r>
        <w:rPr>
          <w:rFonts w:ascii="楷体" w:eastAsia="楷体" w:hAnsi="楷体" w:hint="eastAsia"/>
        </w:rPr>
        <w:t>+产品对转债无限制）。由下表可见，二级债基、</w:t>
      </w:r>
      <w:proofErr w:type="gramStart"/>
      <w:r>
        <w:rPr>
          <w:rFonts w:ascii="楷体" w:eastAsia="楷体" w:hAnsi="楷体" w:hint="eastAsia"/>
        </w:rPr>
        <w:t>偏债混合</w:t>
      </w:r>
      <w:proofErr w:type="gramEnd"/>
      <w:r>
        <w:rPr>
          <w:rFonts w:ascii="楷体" w:eastAsia="楷体" w:hAnsi="楷体" w:hint="eastAsia"/>
        </w:rPr>
        <w:t>、灵活配置基金中，都有风险偏好较高的基金，其波动、回撤都大于1</w:t>
      </w:r>
      <w:r>
        <w:rPr>
          <w:rFonts w:ascii="楷体" w:eastAsia="楷体" w:hAnsi="楷体"/>
        </w:rPr>
        <w:t>0</w:t>
      </w:r>
      <w:r>
        <w:rPr>
          <w:rFonts w:ascii="楷体" w:eastAsia="楷体" w:hAnsi="楷体" w:hint="eastAsia"/>
        </w:rPr>
        <w:t>%；也有十分稳健的基金，其波动、回撤均小于3%。因此，对于</w:t>
      </w:r>
      <w:proofErr w:type="gramStart"/>
      <w:r>
        <w:rPr>
          <w:rFonts w:ascii="楷体" w:eastAsia="楷体" w:hAnsi="楷体" w:hint="eastAsia"/>
        </w:rPr>
        <w:t>整体固收</w:t>
      </w:r>
      <w:proofErr w:type="gramEnd"/>
      <w:r>
        <w:rPr>
          <w:rFonts w:ascii="楷体" w:eastAsia="楷体" w:hAnsi="楷体" w:hint="eastAsia"/>
        </w:rPr>
        <w:t>+进行先分类、再分析是较为重要的。</w:t>
      </w:r>
    </w:p>
    <w:tbl>
      <w:tblPr>
        <w:tblW w:w="9214" w:type="dxa"/>
        <w:jc w:val="center"/>
        <w:tblLayout w:type="fixed"/>
        <w:tblCellMar>
          <w:left w:w="0" w:type="dxa"/>
          <w:right w:w="0" w:type="dxa"/>
        </w:tblCellMar>
        <w:tblLook w:val="04A0" w:firstRow="1" w:lastRow="0" w:firstColumn="1" w:lastColumn="0" w:noHBand="0" w:noVBand="1"/>
      </w:tblPr>
      <w:tblGrid>
        <w:gridCol w:w="9214"/>
      </w:tblGrid>
      <w:tr w:rsidR="00E95E51">
        <w:trPr>
          <w:trHeight w:val="304"/>
          <w:jc w:val="center"/>
        </w:trPr>
        <w:tc>
          <w:tcPr>
            <w:tcW w:w="9214" w:type="dxa"/>
            <w:tcBorders>
              <w:top w:val="single" w:sz="12" w:space="0" w:color="767171" w:themeColor="background2" w:themeShade="80"/>
              <w:bottom w:val="single" w:sz="12" w:space="0" w:color="767171" w:themeColor="background2" w:themeShade="80"/>
            </w:tcBorders>
            <w:vAlign w:val="center"/>
          </w:tcPr>
          <w:p w:rsidR="00E95E51" w:rsidRDefault="00502CD5">
            <w:pPr>
              <w:pStyle w:val="a6"/>
              <w:rPr>
                <w:rFonts w:ascii="楷体" w:eastAsia="楷体" w:hAnsi="楷体" w:cstheme="minorBidi"/>
                <w:b/>
                <w:bCs/>
                <w:color w:val="000000" w:themeColor="text1"/>
                <w:sz w:val="21"/>
                <w:szCs w:val="21"/>
              </w:rPr>
            </w:pPr>
            <w:r>
              <w:rPr>
                <w:rFonts w:ascii="楷体" w:eastAsia="楷体" w:hAnsi="楷体" w:cstheme="minorBidi" w:hint="eastAsia"/>
                <w:b/>
                <w:bCs/>
                <w:color w:val="000000" w:themeColor="text1"/>
                <w:sz w:val="21"/>
                <w:szCs w:val="21"/>
              </w:rPr>
              <w:t>图表1</w:t>
            </w:r>
            <w:r>
              <w:rPr>
                <w:rFonts w:ascii="楷体" w:eastAsia="楷体" w:hAnsi="楷体" w:hint="eastAsia"/>
                <w:b/>
                <w:bCs/>
                <w:color w:val="000000" w:themeColor="text1"/>
                <w:sz w:val="21"/>
                <w:szCs w:val="21"/>
              </w:rPr>
              <w:t>：</w:t>
            </w:r>
            <w:proofErr w:type="gramStart"/>
            <w:r>
              <w:rPr>
                <w:rFonts w:ascii="楷体" w:eastAsia="楷体" w:hAnsi="楷体" w:hint="eastAsia"/>
                <w:b/>
                <w:bCs/>
                <w:color w:val="000000" w:themeColor="text1"/>
                <w:sz w:val="21"/>
                <w:szCs w:val="21"/>
              </w:rPr>
              <w:t>固收</w:t>
            </w:r>
            <w:proofErr w:type="gramEnd"/>
            <w:r>
              <w:rPr>
                <w:rFonts w:ascii="楷体" w:eastAsia="楷体" w:hAnsi="楷体" w:hint="eastAsia"/>
                <w:b/>
                <w:bCs/>
                <w:color w:val="000000" w:themeColor="text1"/>
                <w:sz w:val="21"/>
                <w:szCs w:val="21"/>
              </w:rPr>
              <w:t>+二级分类不同指数走势</w:t>
            </w:r>
          </w:p>
        </w:tc>
      </w:tr>
      <w:tr w:rsidR="00E95E51">
        <w:trPr>
          <w:trHeight w:val="5119"/>
          <w:jc w:val="center"/>
        </w:trPr>
        <w:tc>
          <w:tcPr>
            <w:tcW w:w="9214"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left" w:pos="600"/>
              </w:tabs>
              <w:spacing w:before="240" w:after="240" w:line="24" w:lineRule="atLeast"/>
              <w:rPr>
                <w:rFonts w:ascii="楷体" w:eastAsia="楷体" w:hAnsi="楷体"/>
                <w:color w:val="000000" w:themeColor="text1"/>
                <w:sz w:val="18"/>
                <w:szCs w:val="18"/>
              </w:rPr>
            </w:pPr>
            <w:r>
              <w:rPr>
                <w:rFonts w:ascii="楷体" w:eastAsia="楷体" w:hAnsi="楷体"/>
                <w:noProof/>
                <w:color w:val="000000" w:themeColor="text1"/>
                <w:sz w:val="18"/>
                <w:szCs w:val="18"/>
              </w:rPr>
              <w:drawing>
                <wp:anchor distT="0" distB="0" distL="114300" distR="114300" simplePos="0" relativeHeight="251672576" behindDoc="0" locked="0" layoutInCell="1" allowOverlap="1">
                  <wp:simplePos x="0" y="0"/>
                  <wp:positionH relativeFrom="column">
                    <wp:posOffset>299720</wp:posOffset>
                  </wp:positionH>
                  <wp:positionV relativeFrom="paragraph">
                    <wp:posOffset>59690</wp:posOffset>
                  </wp:positionV>
                  <wp:extent cx="4994275" cy="2319020"/>
                  <wp:effectExtent l="0" t="0" r="0" b="508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94275" cy="2319020"/>
                          </a:xfrm>
                          <a:prstGeom prst="rect">
                            <a:avLst/>
                          </a:prstGeom>
                          <a:noFill/>
                        </pic:spPr>
                      </pic:pic>
                    </a:graphicData>
                  </a:graphic>
                </wp:anchor>
              </w:drawing>
            </w:r>
            <w:r>
              <w:rPr>
                <w:rFonts w:ascii="楷体" w:eastAsia="楷体" w:hAnsi="楷体"/>
                <w:noProof/>
              </w:rPr>
              <w:drawing>
                <wp:anchor distT="0" distB="0" distL="114300" distR="114300" simplePos="0" relativeHeight="251668480" behindDoc="0" locked="0" layoutInCell="1" allowOverlap="1">
                  <wp:simplePos x="0" y="0"/>
                  <wp:positionH relativeFrom="column">
                    <wp:posOffset>1282700</wp:posOffset>
                  </wp:positionH>
                  <wp:positionV relativeFrom="paragraph">
                    <wp:posOffset>2348230</wp:posOffset>
                  </wp:positionV>
                  <wp:extent cx="3533775" cy="914400"/>
                  <wp:effectExtent l="0" t="0" r="952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33775" cy="914400"/>
                          </a:xfrm>
                          <a:prstGeom prst="rect">
                            <a:avLst/>
                          </a:prstGeom>
                          <a:noFill/>
                        </pic:spPr>
                      </pic:pic>
                    </a:graphicData>
                  </a:graphic>
                </wp:anchor>
              </w:drawing>
            </w:r>
          </w:p>
        </w:tc>
      </w:tr>
      <w:tr w:rsidR="00E95E51">
        <w:trPr>
          <w:jc w:val="center"/>
        </w:trPr>
        <w:tc>
          <w:tcPr>
            <w:tcW w:w="9214" w:type="dxa"/>
            <w:tcBorders>
              <w:top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研究整理；数据截止日：202</w:t>
            </w:r>
            <w:r>
              <w:rPr>
                <w:rFonts w:ascii="楷体" w:eastAsia="楷体" w:hAnsi="楷体"/>
                <w:color w:val="000000" w:themeColor="text1"/>
                <w:sz w:val="18"/>
                <w:szCs w:val="18"/>
              </w:rPr>
              <w:t>1</w:t>
            </w:r>
            <w:r>
              <w:rPr>
                <w:rFonts w:ascii="楷体" w:eastAsia="楷体" w:hAnsi="楷体" w:hint="eastAsia"/>
                <w:color w:val="000000" w:themeColor="text1"/>
                <w:sz w:val="18"/>
                <w:szCs w:val="18"/>
              </w:rPr>
              <w:t>年</w:t>
            </w:r>
            <w:r>
              <w:rPr>
                <w:rFonts w:ascii="楷体" w:eastAsia="楷体" w:hAnsi="楷体"/>
                <w:color w:val="000000" w:themeColor="text1"/>
                <w:sz w:val="18"/>
                <w:szCs w:val="18"/>
              </w:rPr>
              <w:t>3</w:t>
            </w:r>
            <w:r>
              <w:rPr>
                <w:rFonts w:ascii="楷体" w:eastAsia="楷体" w:hAnsi="楷体" w:hint="eastAsia"/>
                <w:color w:val="000000" w:themeColor="text1"/>
                <w:sz w:val="18"/>
                <w:szCs w:val="18"/>
              </w:rPr>
              <w:t>月</w:t>
            </w:r>
            <w:r>
              <w:rPr>
                <w:rFonts w:ascii="楷体" w:eastAsia="楷体" w:hAnsi="楷体"/>
                <w:color w:val="000000" w:themeColor="text1"/>
                <w:sz w:val="18"/>
                <w:szCs w:val="18"/>
              </w:rPr>
              <w:t>31</w:t>
            </w:r>
            <w:r>
              <w:rPr>
                <w:rFonts w:ascii="楷体" w:eastAsia="楷体" w:hAnsi="楷体" w:hint="eastAsia"/>
                <w:color w:val="000000" w:themeColor="text1"/>
                <w:sz w:val="18"/>
                <w:szCs w:val="18"/>
              </w:rPr>
              <w:t>日；</w:t>
            </w:r>
          </w:p>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注：灵活配置型基金总计1</w:t>
            </w:r>
            <w:r>
              <w:rPr>
                <w:rFonts w:ascii="楷体" w:eastAsia="楷体" w:hAnsi="楷体"/>
                <w:color w:val="000000" w:themeColor="text1"/>
                <w:sz w:val="18"/>
                <w:szCs w:val="18"/>
              </w:rPr>
              <w:t>407</w:t>
            </w:r>
            <w:r>
              <w:rPr>
                <w:rFonts w:ascii="楷体" w:eastAsia="楷体" w:hAnsi="楷体" w:hint="eastAsia"/>
                <w:color w:val="000000" w:themeColor="text1"/>
                <w:sz w:val="18"/>
                <w:szCs w:val="18"/>
              </w:rPr>
              <w:t>只，</w:t>
            </w:r>
            <w:proofErr w:type="gramStart"/>
            <w:r>
              <w:rPr>
                <w:rFonts w:ascii="楷体" w:eastAsia="楷体" w:hAnsi="楷体" w:hint="eastAsia"/>
                <w:color w:val="000000" w:themeColor="text1"/>
                <w:sz w:val="18"/>
                <w:szCs w:val="18"/>
              </w:rPr>
              <w:t>符合固收</w:t>
            </w:r>
            <w:proofErr w:type="gramEnd"/>
            <w:r>
              <w:rPr>
                <w:rFonts w:ascii="楷体" w:eastAsia="楷体" w:hAnsi="楷体" w:hint="eastAsia"/>
                <w:color w:val="000000" w:themeColor="text1"/>
                <w:sz w:val="18"/>
                <w:szCs w:val="18"/>
              </w:rPr>
              <w:t>+分类的产品为2</w:t>
            </w:r>
            <w:r>
              <w:rPr>
                <w:rFonts w:ascii="楷体" w:eastAsia="楷体" w:hAnsi="楷体"/>
                <w:color w:val="000000" w:themeColor="text1"/>
                <w:sz w:val="18"/>
                <w:szCs w:val="18"/>
              </w:rPr>
              <w:t>54</w:t>
            </w:r>
            <w:r>
              <w:rPr>
                <w:rFonts w:ascii="楷体" w:eastAsia="楷体" w:hAnsi="楷体" w:hint="eastAsia"/>
                <w:color w:val="000000" w:themeColor="text1"/>
                <w:sz w:val="18"/>
                <w:szCs w:val="18"/>
              </w:rPr>
              <w:t>只。</w:t>
            </w:r>
          </w:p>
          <w:p w:rsidR="00E95E51" w:rsidRDefault="00E95E51">
            <w:pPr>
              <w:spacing w:line="24" w:lineRule="atLeast"/>
              <w:rPr>
                <w:rFonts w:ascii="楷体" w:eastAsia="楷体" w:hAnsi="楷体"/>
                <w:color w:val="000000" w:themeColor="text1"/>
                <w:sz w:val="18"/>
                <w:szCs w:val="18"/>
              </w:rPr>
            </w:pPr>
          </w:p>
        </w:tc>
      </w:tr>
      <w:tr w:rsidR="00E95E51">
        <w:trPr>
          <w:jc w:val="center"/>
        </w:trPr>
        <w:tc>
          <w:tcPr>
            <w:tcW w:w="9214" w:type="dxa"/>
            <w:tcBorders>
              <w:top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hint="eastAsia"/>
                <w:b/>
                <w:bCs/>
                <w:color w:val="000000" w:themeColor="text1"/>
                <w:szCs w:val="21"/>
              </w:rPr>
              <w:t>图表2：Wind二级分类下基金差异较大</w:t>
            </w:r>
          </w:p>
        </w:tc>
      </w:tr>
      <w:tr w:rsidR="00E95E51">
        <w:trPr>
          <w:jc w:val="center"/>
        </w:trPr>
        <w:tc>
          <w:tcPr>
            <w:tcW w:w="9214" w:type="dxa"/>
            <w:tcBorders>
              <w:top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noProof/>
                <w:color w:val="000000" w:themeColor="text1"/>
                <w:sz w:val="18"/>
                <w:szCs w:val="18"/>
              </w:rPr>
              <w:drawing>
                <wp:anchor distT="0" distB="0" distL="114300" distR="114300" simplePos="0" relativeHeight="251669504" behindDoc="0" locked="0" layoutInCell="1" allowOverlap="1">
                  <wp:simplePos x="0" y="0"/>
                  <wp:positionH relativeFrom="column">
                    <wp:posOffset>3986530</wp:posOffset>
                  </wp:positionH>
                  <wp:positionV relativeFrom="paragraph">
                    <wp:posOffset>19050</wp:posOffset>
                  </wp:positionV>
                  <wp:extent cx="1991360" cy="1352550"/>
                  <wp:effectExtent l="0" t="0" r="889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991360" cy="1352550"/>
                          </a:xfrm>
                          <a:prstGeom prst="rect">
                            <a:avLst/>
                          </a:prstGeom>
                          <a:noFill/>
                        </pic:spPr>
                      </pic:pic>
                    </a:graphicData>
                  </a:graphic>
                </wp:anchor>
              </w:drawing>
            </w:r>
            <w:r>
              <w:rPr>
                <w:rFonts w:ascii="楷体" w:eastAsia="楷体" w:hAnsi="楷体"/>
                <w:noProof/>
                <w:color w:val="000000" w:themeColor="text1"/>
                <w:sz w:val="18"/>
                <w:szCs w:val="18"/>
              </w:rPr>
              <w:drawing>
                <wp:anchor distT="0" distB="0" distL="114300" distR="114300" simplePos="0" relativeHeight="251670528" behindDoc="0" locked="0" layoutInCell="1" allowOverlap="1">
                  <wp:simplePos x="0" y="0"/>
                  <wp:positionH relativeFrom="column">
                    <wp:posOffset>1919605</wp:posOffset>
                  </wp:positionH>
                  <wp:positionV relativeFrom="paragraph">
                    <wp:posOffset>13970</wp:posOffset>
                  </wp:positionV>
                  <wp:extent cx="2077720" cy="134239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077720" cy="1342390"/>
                          </a:xfrm>
                          <a:prstGeom prst="rect">
                            <a:avLst/>
                          </a:prstGeom>
                          <a:noFill/>
                        </pic:spPr>
                      </pic:pic>
                    </a:graphicData>
                  </a:graphic>
                </wp:anchor>
              </w:drawing>
            </w:r>
            <w:r>
              <w:rPr>
                <w:rFonts w:ascii="楷体" w:eastAsia="楷体" w:hAnsi="楷体"/>
                <w:noProof/>
                <w:color w:val="000000" w:themeColor="text1"/>
                <w:sz w:val="18"/>
                <w:szCs w:val="18"/>
              </w:rPr>
              <w:drawing>
                <wp:anchor distT="0" distB="0" distL="114300" distR="114300" simplePos="0" relativeHeight="251671552" behindDoc="0" locked="0" layoutInCell="1" allowOverlap="1">
                  <wp:simplePos x="0" y="0"/>
                  <wp:positionH relativeFrom="column">
                    <wp:posOffset>-102870</wp:posOffset>
                  </wp:positionH>
                  <wp:positionV relativeFrom="paragraph">
                    <wp:posOffset>16510</wp:posOffset>
                  </wp:positionV>
                  <wp:extent cx="2037080" cy="1348105"/>
                  <wp:effectExtent l="0" t="0" r="1270" b="444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037080" cy="1348105"/>
                          </a:xfrm>
                          <a:prstGeom prst="rect">
                            <a:avLst/>
                          </a:prstGeom>
                          <a:noFill/>
                        </pic:spPr>
                      </pic:pic>
                    </a:graphicData>
                  </a:graphic>
                </wp:anchor>
              </w:drawing>
            </w:r>
          </w:p>
          <w:p w:rsidR="00E95E51" w:rsidRDefault="00E95E51">
            <w:pPr>
              <w:spacing w:line="24" w:lineRule="atLeast"/>
              <w:rPr>
                <w:rFonts w:ascii="楷体" w:eastAsia="楷体" w:hAnsi="楷体"/>
                <w:color w:val="000000" w:themeColor="text1"/>
                <w:sz w:val="18"/>
                <w:szCs w:val="18"/>
              </w:rPr>
            </w:pPr>
          </w:p>
          <w:p w:rsidR="00E95E51" w:rsidRDefault="00E95E51">
            <w:pPr>
              <w:spacing w:line="24" w:lineRule="atLeast"/>
              <w:rPr>
                <w:rFonts w:ascii="楷体" w:eastAsia="楷体" w:hAnsi="楷体"/>
                <w:color w:val="000000" w:themeColor="text1"/>
                <w:sz w:val="18"/>
                <w:szCs w:val="18"/>
              </w:rPr>
            </w:pPr>
          </w:p>
          <w:p w:rsidR="00E95E51" w:rsidRDefault="00E95E51">
            <w:pPr>
              <w:spacing w:line="24" w:lineRule="atLeast"/>
              <w:rPr>
                <w:rFonts w:ascii="楷体" w:eastAsia="楷体" w:hAnsi="楷体"/>
                <w:color w:val="000000" w:themeColor="text1"/>
                <w:sz w:val="18"/>
                <w:szCs w:val="18"/>
              </w:rPr>
            </w:pPr>
          </w:p>
          <w:p w:rsidR="00E95E51" w:rsidRDefault="00E95E51">
            <w:pPr>
              <w:spacing w:line="24" w:lineRule="atLeast"/>
              <w:rPr>
                <w:rFonts w:ascii="楷体" w:eastAsia="楷体" w:hAnsi="楷体"/>
                <w:color w:val="000000" w:themeColor="text1"/>
                <w:sz w:val="18"/>
                <w:szCs w:val="18"/>
              </w:rPr>
            </w:pPr>
          </w:p>
          <w:p w:rsidR="00E95E51" w:rsidRDefault="00E95E51">
            <w:pPr>
              <w:spacing w:line="24" w:lineRule="atLeast"/>
              <w:rPr>
                <w:rFonts w:ascii="楷体" w:eastAsia="楷体" w:hAnsi="楷体"/>
                <w:color w:val="000000" w:themeColor="text1"/>
                <w:sz w:val="18"/>
                <w:szCs w:val="18"/>
              </w:rPr>
            </w:pPr>
          </w:p>
          <w:p w:rsidR="00E95E51" w:rsidRDefault="00E95E51">
            <w:pPr>
              <w:spacing w:line="24" w:lineRule="atLeast"/>
              <w:rPr>
                <w:rFonts w:ascii="楷体" w:eastAsia="楷体" w:hAnsi="楷体"/>
                <w:color w:val="000000" w:themeColor="text1"/>
                <w:sz w:val="18"/>
                <w:szCs w:val="18"/>
              </w:rPr>
            </w:pPr>
          </w:p>
        </w:tc>
      </w:tr>
      <w:tr w:rsidR="00E95E51">
        <w:trPr>
          <w:jc w:val="center"/>
        </w:trPr>
        <w:tc>
          <w:tcPr>
            <w:tcW w:w="9214" w:type="dxa"/>
            <w:tcBorders>
              <w:top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研究整理；数据截止日：202</w:t>
            </w:r>
            <w:r>
              <w:rPr>
                <w:rFonts w:ascii="楷体" w:eastAsia="楷体" w:hAnsi="楷体"/>
                <w:color w:val="000000" w:themeColor="text1"/>
                <w:sz w:val="18"/>
                <w:szCs w:val="18"/>
              </w:rPr>
              <w:t>1</w:t>
            </w:r>
            <w:r>
              <w:rPr>
                <w:rFonts w:ascii="楷体" w:eastAsia="楷体" w:hAnsi="楷体" w:hint="eastAsia"/>
                <w:color w:val="000000" w:themeColor="text1"/>
                <w:sz w:val="18"/>
                <w:szCs w:val="18"/>
              </w:rPr>
              <w:t>年</w:t>
            </w:r>
            <w:r>
              <w:rPr>
                <w:rFonts w:ascii="楷体" w:eastAsia="楷体" w:hAnsi="楷体"/>
                <w:color w:val="000000" w:themeColor="text1"/>
                <w:sz w:val="18"/>
                <w:szCs w:val="18"/>
              </w:rPr>
              <w:t>6</w:t>
            </w:r>
            <w:r>
              <w:rPr>
                <w:rFonts w:ascii="楷体" w:eastAsia="楷体" w:hAnsi="楷体" w:hint="eastAsia"/>
                <w:color w:val="000000" w:themeColor="text1"/>
                <w:sz w:val="18"/>
                <w:szCs w:val="18"/>
              </w:rPr>
              <w:t>月</w:t>
            </w:r>
            <w:r>
              <w:rPr>
                <w:rFonts w:ascii="楷体" w:eastAsia="楷体" w:hAnsi="楷体"/>
                <w:color w:val="000000" w:themeColor="text1"/>
                <w:sz w:val="18"/>
                <w:szCs w:val="18"/>
              </w:rPr>
              <w:t>30</w:t>
            </w:r>
            <w:r>
              <w:rPr>
                <w:rFonts w:ascii="楷体" w:eastAsia="楷体" w:hAnsi="楷体" w:hint="eastAsia"/>
                <w:color w:val="000000" w:themeColor="text1"/>
                <w:sz w:val="18"/>
                <w:szCs w:val="18"/>
              </w:rPr>
              <w:t>日；</w:t>
            </w:r>
          </w:p>
          <w:p w:rsidR="00E95E51" w:rsidRDefault="00502CD5">
            <w:pPr>
              <w:spacing w:line="24" w:lineRule="atLeast"/>
              <w:ind w:rightChars="-472" w:right="-991"/>
              <w:rPr>
                <w:rFonts w:ascii="楷体" w:eastAsia="楷体" w:hAnsi="楷体"/>
                <w:color w:val="000000" w:themeColor="text1"/>
                <w:sz w:val="18"/>
                <w:szCs w:val="18"/>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p w:rsidR="00E95E51" w:rsidRDefault="00E95E51">
            <w:pPr>
              <w:spacing w:line="24" w:lineRule="atLeast"/>
              <w:rPr>
                <w:rFonts w:ascii="楷体" w:eastAsia="楷体" w:hAnsi="楷体"/>
                <w:color w:val="000000" w:themeColor="text1"/>
                <w:sz w:val="18"/>
                <w:szCs w:val="18"/>
              </w:rPr>
            </w:pPr>
          </w:p>
        </w:tc>
      </w:tr>
    </w:tbl>
    <w:p w:rsidR="00E95E51" w:rsidRDefault="00502CD5">
      <w:pPr>
        <w:pStyle w:val="a"/>
        <w:numPr>
          <w:ilvl w:val="0"/>
          <w:numId w:val="0"/>
        </w:numPr>
        <w:adjustRightInd w:val="0"/>
        <w:snapToGrid w:val="0"/>
        <w:spacing w:before="0" w:after="0" w:line="24" w:lineRule="atLeast"/>
        <w:ind w:rightChars="0" w:right="0"/>
        <w:rPr>
          <w:rFonts w:ascii="楷体" w:eastAsia="楷体" w:hAnsi="楷体"/>
          <w:sz w:val="24"/>
          <w:szCs w:val="28"/>
        </w:rPr>
      </w:pPr>
      <w:r>
        <w:rPr>
          <w:rFonts w:ascii="楷体" w:eastAsia="楷体" w:hAnsi="楷体"/>
          <w:sz w:val="24"/>
          <w:szCs w:val="28"/>
        </w:rPr>
        <w:lastRenderedPageBreak/>
        <w:t>1.2.</w:t>
      </w:r>
      <w:proofErr w:type="gramStart"/>
      <w:r>
        <w:rPr>
          <w:rFonts w:ascii="楷体" w:eastAsia="楷体" w:hAnsi="楷体" w:hint="eastAsia"/>
          <w:sz w:val="24"/>
          <w:szCs w:val="28"/>
        </w:rPr>
        <w:t>固收</w:t>
      </w:r>
      <w:proofErr w:type="gramEnd"/>
      <w:r>
        <w:rPr>
          <w:rFonts w:ascii="楷体" w:eastAsia="楷体" w:hAnsi="楷体" w:hint="eastAsia"/>
          <w:sz w:val="24"/>
          <w:szCs w:val="28"/>
        </w:rPr>
        <w:t>+基金的分类</w:t>
      </w:r>
    </w:p>
    <w:p w:rsidR="00E95E51" w:rsidRDefault="00502CD5">
      <w:pPr>
        <w:ind w:firstLineChars="200" w:firstLine="420"/>
        <w:rPr>
          <w:rFonts w:ascii="楷体" w:eastAsia="楷体" w:hAnsi="楷体"/>
        </w:rPr>
      </w:pPr>
      <w:proofErr w:type="gramStart"/>
      <w:r>
        <w:rPr>
          <w:rFonts w:ascii="楷体" w:eastAsia="楷体" w:hAnsi="楷体" w:hint="eastAsia"/>
        </w:rPr>
        <w:t>由于固收</w:t>
      </w:r>
      <w:proofErr w:type="gramEnd"/>
      <w:r>
        <w:rPr>
          <w:rFonts w:ascii="楷体" w:eastAsia="楷体" w:hAnsi="楷体" w:hint="eastAsia"/>
        </w:rPr>
        <w:t>+策略较为丰富，各基金在产品设计、风险收益目标，尤其在权益类资产比重（股票+转债）方面差异较大，因此需要进行进一步的分类，并设置不同的基准来对不同类型</w:t>
      </w:r>
      <w:proofErr w:type="gramStart"/>
      <w:r>
        <w:rPr>
          <w:rFonts w:ascii="楷体" w:eastAsia="楷体" w:hAnsi="楷体" w:hint="eastAsia"/>
        </w:rPr>
        <w:t>的固收</w:t>
      </w:r>
      <w:proofErr w:type="gramEnd"/>
      <w:r>
        <w:rPr>
          <w:rFonts w:ascii="楷体" w:eastAsia="楷体" w:hAnsi="楷体" w:hint="eastAsia"/>
        </w:rPr>
        <w:t>+产品进行分类讨论。</w:t>
      </w:r>
    </w:p>
    <w:p w:rsidR="00E95E51" w:rsidRDefault="00E95E51">
      <w:pPr>
        <w:rPr>
          <w:rFonts w:ascii="楷体" w:eastAsia="楷体" w:hAnsi="楷体"/>
        </w:rPr>
      </w:pPr>
    </w:p>
    <w:p w:rsidR="00E95E51" w:rsidRDefault="00502CD5">
      <w:pPr>
        <w:ind w:firstLineChars="200" w:firstLine="422"/>
        <w:rPr>
          <w:rFonts w:ascii="楷体" w:eastAsia="楷体" w:hAnsi="楷体"/>
        </w:rPr>
      </w:pPr>
      <w:r>
        <w:rPr>
          <w:rFonts w:ascii="楷体" w:eastAsia="楷体" w:hAnsi="楷体" w:hint="eastAsia"/>
          <w:b/>
        </w:rPr>
        <w:t>权益资产占比：权益</w:t>
      </w:r>
      <w:proofErr w:type="gramStart"/>
      <w:r>
        <w:rPr>
          <w:rFonts w:ascii="楷体" w:eastAsia="楷体" w:hAnsi="楷体" w:hint="eastAsia"/>
          <w:b/>
        </w:rPr>
        <w:t>仓位</w:t>
      </w:r>
      <w:proofErr w:type="gramEnd"/>
      <w:r>
        <w:rPr>
          <w:rFonts w:ascii="楷体" w:eastAsia="楷体" w:hAnsi="楷体" w:hint="eastAsia"/>
          <w:b/>
        </w:rPr>
        <w:t>中枢</w:t>
      </w:r>
      <w:proofErr w:type="gramStart"/>
      <w:r>
        <w:rPr>
          <w:rFonts w:ascii="楷体" w:eastAsia="楷体" w:hAnsi="楷体" w:hint="eastAsia"/>
          <w:b/>
        </w:rPr>
        <w:t>是固收</w:t>
      </w:r>
      <w:proofErr w:type="gramEnd"/>
      <w:r>
        <w:rPr>
          <w:rFonts w:ascii="楷体" w:eastAsia="楷体" w:hAnsi="楷体" w:hint="eastAsia"/>
          <w:b/>
        </w:rPr>
        <w:t>+基金中较为重要的一环，权益中枢的高低在很大程度上决定了</w:t>
      </w:r>
      <w:proofErr w:type="gramStart"/>
      <w:r>
        <w:rPr>
          <w:rFonts w:ascii="楷体" w:eastAsia="楷体" w:hAnsi="楷体" w:hint="eastAsia"/>
          <w:b/>
        </w:rPr>
        <w:t>一只固收</w:t>
      </w:r>
      <w:proofErr w:type="gramEnd"/>
      <w:r>
        <w:rPr>
          <w:rFonts w:ascii="楷体" w:eastAsia="楷体" w:hAnsi="楷体" w:hint="eastAsia"/>
          <w:b/>
        </w:rPr>
        <w:t>+基金的风险偏好。</w:t>
      </w:r>
      <w:r>
        <w:rPr>
          <w:rFonts w:ascii="楷体" w:eastAsia="楷体" w:hAnsi="楷体" w:hint="eastAsia"/>
        </w:rPr>
        <w:t>除股票资产外，转</w:t>
      </w:r>
      <w:proofErr w:type="gramStart"/>
      <w:r>
        <w:rPr>
          <w:rFonts w:ascii="楷体" w:eastAsia="楷体" w:hAnsi="楷体" w:hint="eastAsia"/>
        </w:rPr>
        <w:t>债风格</w:t>
      </w:r>
      <w:proofErr w:type="gramEnd"/>
      <w:r>
        <w:rPr>
          <w:rFonts w:ascii="楷体" w:eastAsia="楷体" w:hAnsi="楷体" w:hint="eastAsia"/>
        </w:rPr>
        <w:t>也是决定组合波动的重要因素，如呈现强股性的高价转债（如</w:t>
      </w:r>
      <w:proofErr w:type="gramStart"/>
      <w:r>
        <w:rPr>
          <w:rFonts w:ascii="楷体" w:eastAsia="楷体" w:hAnsi="楷体" w:hint="eastAsia"/>
        </w:rPr>
        <w:t>英科转</w:t>
      </w:r>
      <w:proofErr w:type="gramEnd"/>
      <w:r>
        <w:rPr>
          <w:rFonts w:ascii="楷体" w:eastAsia="楷体" w:hAnsi="楷体" w:hint="eastAsia"/>
        </w:rPr>
        <w:t>债、</w:t>
      </w:r>
      <w:proofErr w:type="gramStart"/>
      <w:r>
        <w:rPr>
          <w:rFonts w:ascii="楷体" w:eastAsia="楷体" w:hAnsi="楷体" w:hint="eastAsia"/>
        </w:rPr>
        <w:t>恩捷转</w:t>
      </w:r>
      <w:proofErr w:type="gramEnd"/>
      <w:r>
        <w:rPr>
          <w:rFonts w:ascii="楷体" w:eastAsia="楷体" w:hAnsi="楷体" w:hint="eastAsia"/>
        </w:rPr>
        <w:t>债等）的</w:t>
      </w:r>
      <w:proofErr w:type="gramStart"/>
      <w:r>
        <w:rPr>
          <w:rFonts w:ascii="楷体" w:eastAsia="楷体" w:hAnsi="楷体" w:hint="eastAsia"/>
        </w:rPr>
        <w:t>个券</w:t>
      </w:r>
      <w:proofErr w:type="gramEnd"/>
      <w:r>
        <w:rPr>
          <w:rFonts w:ascii="楷体" w:eastAsia="楷体" w:hAnsi="楷体" w:hint="eastAsia"/>
        </w:rPr>
        <w:t>波动近似于正股波动，而</w:t>
      </w:r>
      <w:proofErr w:type="gramStart"/>
      <w:r>
        <w:rPr>
          <w:rFonts w:ascii="楷体" w:eastAsia="楷体" w:hAnsi="楷体" w:hint="eastAsia"/>
        </w:rPr>
        <w:t>呈现债性的</w:t>
      </w:r>
      <w:proofErr w:type="gramEnd"/>
      <w:r>
        <w:rPr>
          <w:rFonts w:ascii="楷体" w:eastAsia="楷体" w:hAnsi="楷体" w:hint="eastAsia"/>
        </w:rPr>
        <w:t>低价转债（</w:t>
      </w:r>
      <w:proofErr w:type="gramStart"/>
      <w:r>
        <w:rPr>
          <w:rFonts w:ascii="楷体" w:eastAsia="楷体" w:hAnsi="楷体" w:hint="eastAsia"/>
        </w:rPr>
        <w:t>上银转债</w:t>
      </w:r>
      <w:proofErr w:type="gramEnd"/>
      <w:r>
        <w:rPr>
          <w:rFonts w:ascii="楷体" w:eastAsia="楷体" w:hAnsi="楷体" w:hint="eastAsia"/>
        </w:rPr>
        <w:t>、凤凰EB等）波动近似债券。</w:t>
      </w:r>
      <w:proofErr w:type="gramStart"/>
      <w:r>
        <w:rPr>
          <w:rFonts w:ascii="楷体" w:eastAsia="楷体" w:hAnsi="楷体" w:hint="eastAsia"/>
        </w:rPr>
        <w:t>部分固收</w:t>
      </w:r>
      <w:proofErr w:type="gramEnd"/>
      <w:r>
        <w:rPr>
          <w:rFonts w:ascii="楷体" w:eastAsia="楷体" w:hAnsi="楷体" w:hint="eastAsia"/>
        </w:rPr>
        <w:t>+产品转债</w:t>
      </w:r>
      <w:proofErr w:type="gramStart"/>
      <w:r>
        <w:rPr>
          <w:rFonts w:ascii="楷体" w:eastAsia="楷体" w:hAnsi="楷体" w:hint="eastAsia"/>
        </w:rPr>
        <w:t>仓位</w:t>
      </w:r>
      <w:proofErr w:type="gramEnd"/>
      <w:r>
        <w:rPr>
          <w:rFonts w:ascii="楷体" w:eastAsia="楷体" w:hAnsi="楷体" w:hint="eastAsia"/>
        </w:rPr>
        <w:t>较高，因此将持仓转债归为偏股、偏债、平衡能够更好的对组合的权益、固收</w:t>
      </w:r>
      <w:proofErr w:type="gramStart"/>
      <w:r>
        <w:rPr>
          <w:rFonts w:ascii="楷体" w:eastAsia="楷体" w:hAnsi="楷体" w:hint="eastAsia"/>
        </w:rPr>
        <w:t>仓位</w:t>
      </w:r>
      <w:proofErr w:type="gramEnd"/>
      <w:r>
        <w:rPr>
          <w:rFonts w:ascii="楷体" w:eastAsia="楷体" w:hAnsi="楷体" w:hint="eastAsia"/>
        </w:rPr>
        <w:t>进行分析。</w:t>
      </w:r>
    </w:p>
    <w:p w:rsidR="00E95E51" w:rsidRDefault="00E95E51">
      <w:pPr>
        <w:rPr>
          <w:rFonts w:ascii="楷体" w:eastAsia="楷体" w:hAnsi="楷体"/>
        </w:rPr>
      </w:pPr>
    </w:p>
    <w:p w:rsidR="00E95E51" w:rsidRDefault="00502CD5">
      <w:pPr>
        <w:pStyle w:val="afd"/>
        <w:ind w:firstLine="420"/>
        <w:rPr>
          <w:rFonts w:ascii="楷体" w:eastAsia="楷体" w:hAnsi="楷体"/>
          <w:b/>
        </w:rPr>
      </w:pPr>
      <w:proofErr w:type="gramStart"/>
      <w:r>
        <w:rPr>
          <w:rFonts w:ascii="楷体" w:eastAsia="楷体" w:hAnsi="楷体" w:hint="eastAsia"/>
        </w:rPr>
        <w:t>由于固收</w:t>
      </w:r>
      <w:proofErr w:type="gramEnd"/>
      <w:r>
        <w:rPr>
          <w:rFonts w:ascii="楷体" w:eastAsia="楷体" w:hAnsi="楷体" w:hint="eastAsia"/>
        </w:rPr>
        <w:t>+基金每季度披露所有转债持仓，因此转债</w:t>
      </w:r>
      <w:proofErr w:type="gramStart"/>
      <w:r>
        <w:rPr>
          <w:rFonts w:ascii="楷体" w:eastAsia="楷体" w:hAnsi="楷体" w:hint="eastAsia"/>
        </w:rPr>
        <w:t>仓位</w:t>
      </w:r>
      <w:proofErr w:type="gramEnd"/>
      <w:r>
        <w:rPr>
          <w:rFonts w:ascii="楷体" w:eastAsia="楷体" w:hAnsi="楷体" w:hint="eastAsia"/>
        </w:rPr>
        <w:t>的分析具有较好的准确性。我们以平价底价溢价率作为切分转债属性的指标。根据Wind定义，平价底价溢价率大于2</w:t>
      </w:r>
      <w:r>
        <w:rPr>
          <w:rFonts w:ascii="楷体" w:eastAsia="楷体" w:hAnsi="楷体"/>
        </w:rPr>
        <w:t>0</w:t>
      </w:r>
      <w:r>
        <w:rPr>
          <w:rFonts w:ascii="楷体" w:eastAsia="楷体" w:hAnsi="楷体" w:hint="eastAsia"/>
        </w:rPr>
        <w:t>%为</w:t>
      </w:r>
      <w:proofErr w:type="gramStart"/>
      <w:r>
        <w:rPr>
          <w:rFonts w:ascii="楷体" w:eastAsia="楷体" w:hAnsi="楷体" w:hint="eastAsia"/>
        </w:rPr>
        <w:t>偏股型</w:t>
      </w:r>
      <w:proofErr w:type="gramEnd"/>
      <w:r>
        <w:rPr>
          <w:rFonts w:ascii="楷体" w:eastAsia="楷体" w:hAnsi="楷体" w:hint="eastAsia"/>
        </w:rPr>
        <w:t>，-</w:t>
      </w:r>
      <w:r>
        <w:rPr>
          <w:rFonts w:ascii="楷体" w:eastAsia="楷体" w:hAnsi="楷体"/>
        </w:rPr>
        <w:t>20</w:t>
      </w:r>
      <w:r>
        <w:rPr>
          <w:rFonts w:ascii="楷体" w:eastAsia="楷体" w:hAnsi="楷体" w:hint="eastAsia"/>
        </w:rPr>
        <w:t>%到</w:t>
      </w:r>
      <w:r>
        <w:rPr>
          <w:rFonts w:ascii="楷体" w:eastAsia="楷体" w:hAnsi="楷体"/>
        </w:rPr>
        <w:t>20</w:t>
      </w:r>
      <w:r>
        <w:rPr>
          <w:rFonts w:ascii="楷体" w:eastAsia="楷体" w:hAnsi="楷体" w:hint="eastAsia"/>
        </w:rPr>
        <w:t>%间为平衡，小于-</w:t>
      </w:r>
      <w:r>
        <w:rPr>
          <w:rFonts w:ascii="楷体" w:eastAsia="楷体" w:hAnsi="楷体"/>
        </w:rPr>
        <w:t>20</w:t>
      </w:r>
      <w:r>
        <w:rPr>
          <w:rFonts w:ascii="楷体" w:eastAsia="楷体" w:hAnsi="楷体" w:hint="eastAsia"/>
        </w:rPr>
        <w:t>%为</w:t>
      </w:r>
      <w:proofErr w:type="gramStart"/>
      <w:r>
        <w:rPr>
          <w:rFonts w:ascii="楷体" w:eastAsia="楷体" w:hAnsi="楷体" w:hint="eastAsia"/>
        </w:rPr>
        <w:t>偏债性</w:t>
      </w:r>
      <w:proofErr w:type="gramEnd"/>
      <w:r>
        <w:rPr>
          <w:rFonts w:ascii="楷体" w:eastAsia="楷体" w:hAnsi="楷体" w:hint="eastAsia"/>
        </w:rPr>
        <w:t>。</w:t>
      </w:r>
      <w:r>
        <w:rPr>
          <w:rFonts w:ascii="楷体" w:eastAsia="楷体" w:hAnsi="楷体" w:hint="eastAsia"/>
          <w:b/>
        </w:rPr>
        <w:t>我们分别赋予</w:t>
      </w:r>
      <w:proofErr w:type="gramStart"/>
      <w:r>
        <w:rPr>
          <w:rFonts w:ascii="楷体" w:eastAsia="楷体" w:hAnsi="楷体" w:hint="eastAsia"/>
          <w:b/>
        </w:rPr>
        <w:t>偏股型</w:t>
      </w:r>
      <w:proofErr w:type="gramEnd"/>
      <w:r>
        <w:rPr>
          <w:rFonts w:ascii="楷体" w:eastAsia="楷体" w:hAnsi="楷体" w:hint="eastAsia"/>
          <w:b/>
        </w:rPr>
        <w:t>、平衡型、</w:t>
      </w:r>
      <w:proofErr w:type="gramStart"/>
      <w:r>
        <w:rPr>
          <w:rFonts w:ascii="楷体" w:eastAsia="楷体" w:hAnsi="楷体" w:hint="eastAsia"/>
          <w:b/>
        </w:rPr>
        <w:t>偏债型转</w:t>
      </w:r>
      <w:proofErr w:type="gramEnd"/>
      <w:r>
        <w:rPr>
          <w:rFonts w:ascii="楷体" w:eastAsia="楷体" w:hAnsi="楷体" w:hint="eastAsia"/>
          <w:b/>
        </w:rPr>
        <w:t>债的股票系数分别定为1</w:t>
      </w:r>
      <w:r>
        <w:rPr>
          <w:rFonts w:ascii="楷体" w:eastAsia="楷体" w:hAnsi="楷体"/>
          <w:b/>
        </w:rPr>
        <w:t>00</w:t>
      </w:r>
      <w:r>
        <w:rPr>
          <w:rFonts w:ascii="楷体" w:eastAsia="楷体" w:hAnsi="楷体" w:hint="eastAsia"/>
          <w:b/>
        </w:rPr>
        <w:t>%、5</w:t>
      </w:r>
      <w:r>
        <w:rPr>
          <w:rFonts w:ascii="楷体" w:eastAsia="楷体" w:hAnsi="楷体"/>
          <w:b/>
        </w:rPr>
        <w:t>0</w:t>
      </w:r>
      <w:r>
        <w:rPr>
          <w:rFonts w:ascii="楷体" w:eastAsia="楷体" w:hAnsi="楷体" w:hint="eastAsia"/>
          <w:b/>
        </w:rPr>
        <w:t>%、0%，并赋予</w:t>
      </w:r>
      <w:proofErr w:type="gramStart"/>
      <w:r>
        <w:rPr>
          <w:rFonts w:ascii="楷体" w:eastAsia="楷体" w:hAnsi="楷体" w:hint="eastAsia"/>
          <w:b/>
        </w:rPr>
        <w:t>偏债型转</w:t>
      </w:r>
      <w:proofErr w:type="gramEnd"/>
      <w:r>
        <w:rPr>
          <w:rFonts w:ascii="楷体" w:eastAsia="楷体" w:hAnsi="楷体" w:hint="eastAsia"/>
          <w:b/>
        </w:rPr>
        <w:t>债1</w:t>
      </w:r>
      <w:r>
        <w:rPr>
          <w:rFonts w:ascii="楷体" w:eastAsia="楷体" w:hAnsi="楷体"/>
          <w:b/>
        </w:rPr>
        <w:t>00</w:t>
      </w:r>
      <w:r>
        <w:rPr>
          <w:rFonts w:ascii="楷体" w:eastAsia="楷体" w:hAnsi="楷体" w:hint="eastAsia"/>
          <w:b/>
        </w:rPr>
        <w:t>%的债券系数，即</w:t>
      </w:r>
      <w:proofErr w:type="gramStart"/>
      <w:r>
        <w:rPr>
          <w:rFonts w:ascii="楷体" w:eastAsia="楷体" w:hAnsi="楷体" w:hint="eastAsia"/>
          <w:b/>
        </w:rPr>
        <w:t>偏股型转</w:t>
      </w:r>
      <w:proofErr w:type="gramEnd"/>
      <w:r>
        <w:rPr>
          <w:rFonts w:ascii="楷体" w:eastAsia="楷体" w:hAnsi="楷体" w:hint="eastAsia"/>
          <w:b/>
        </w:rPr>
        <w:t>债</w:t>
      </w:r>
      <w:proofErr w:type="gramStart"/>
      <w:r>
        <w:rPr>
          <w:rFonts w:ascii="楷体" w:eastAsia="楷体" w:hAnsi="楷体" w:hint="eastAsia"/>
          <w:b/>
        </w:rPr>
        <w:t>仓位</w:t>
      </w:r>
      <w:proofErr w:type="gramEnd"/>
      <w:r>
        <w:rPr>
          <w:rFonts w:ascii="楷体" w:eastAsia="楷体" w:hAnsi="楷体" w:hint="eastAsia"/>
          <w:b/>
        </w:rPr>
        <w:t>被视为股票，平衡</w:t>
      </w:r>
      <w:proofErr w:type="gramStart"/>
      <w:r>
        <w:rPr>
          <w:rFonts w:ascii="楷体" w:eastAsia="楷体" w:hAnsi="楷体" w:hint="eastAsia"/>
          <w:b/>
        </w:rPr>
        <w:t>型转债被</w:t>
      </w:r>
      <w:proofErr w:type="gramEnd"/>
      <w:r>
        <w:rPr>
          <w:rFonts w:ascii="楷体" w:eastAsia="楷体" w:hAnsi="楷体" w:hint="eastAsia"/>
          <w:b/>
        </w:rPr>
        <w:t>视为</w:t>
      </w:r>
      <w:r>
        <w:rPr>
          <w:rFonts w:ascii="楷体" w:eastAsia="楷体" w:hAnsi="楷体"/>
          <w:b/>
        </w:rPr>
        <w:t>50%</w:t>
      </w:r>
      <w:r>
        <w:rPr>
          <w:rFonts w:ascii="楷体" w:eastAsia="楷体" w:hAnsi="楷体" w:hint="eastAsia"/>
          <w:b/>
        </w:rPr>
        <w:t>股票，</w:t>
      </w:r>
      <w:proofErr w:type="gramStart"/>
      <w:r>
        <w:rPr>
          <w:rFonts w:ascii="楷体" w:eastAsia="楷体" w:hAnsi="楷体" w:hint="eastAsia"/>
          <w:b/>
        </w:rPr>
        <w:t>偏债型转债被</w:t>
      </w:r>
      <w:proofErr w:type="gramEnd"/>
      <w:r>
        <w:rPr>
          <w:rFonts w:ascii="楷体" w:eastAsia="楷体" w:hAnsi="楷体" w:hint="eastAsia"/>
          <w:b/>
        </w:rPr>
        <w:t>视为1</w:t>
      </w:r>
      <w:r>
        <w:rPr>
          <w:rFonts w:ascii="楷体" w:eastAsia="楷体" w:hAnsi="楷体"/>
          <w:b/>
        </w:rPr>
        <w:t>00</w:t>
      </w:r>
      <w:r>
        <w:rPr>
          <w:rFonts w:ascii="楷体" w:eastAsia="楷体" w:hAnsi="楷体" w:hint="eastAsia"/>
          <w:b/>
        </w:rPr>
        <w:t>%债券。</w:t>
      </w:r>
    </w:p>
    <w:p w:rsidR="00E95E51" w:rsidRDefault="00E95E51">
      <w:pPr>
        <w:pStyle w:val="afd"/>
        <w:ind w:firstLineChars="0" w:firstLine="0"/>
        <w:rPr>
          <w:rFonts w:ascii="楷体" w:eastAsia="楷体" w:hAnsi="楷体"/>
        </w:rPr>
      </w:pPr>
    </w:p>
    <w:p w:rsidR="00E95E51" w:rsidRDefault="00502CD5">
      <w:pPr>
        <w:pStyle w:val="afd"/>
        <w:ind w:firstLine="422"/>
        <w:rPr>
          <w:rFonts w:ascii="楷体" w:eastAsia="楷体" w:hAnsi="楷体"/>
          <w:b/>
        </w:rPr>
      </w:pPr>
      <w:r>
        <w:rPr>
          <w:rFonts w:ascii="楷体" w:eastAsia="楷体" w:hAnsi="楷体" w:hint="eastAsia"/>
          <w:b/>
        </w:rPr>
        <w:t>波动、回撤约束：由于存在中途换仓，以及转债、股票本身属性及波动的变化，单纯通过权益</w:t>
      </w:r>
      <w:proofErr w:type="gramStart"/>
      <w:r>
        <w:rPr>
          <w:rFonts w:ascii="楷体" w:eastAsia="楷体" w:hAnsi="楷体" w:hint="eastAsia"/>
          <w:b/>
        </w:rPr>
        <w:t>仓位</w:t>
      </w:r>
      <w:proofErr w:type="gramEnd"/>
      <w:r>
        <w:rPr>
          <w:rFonts w:ascii="楷体" w:eastAsia="楷体" w:hAnsi="楷体" w:hint="eastAsia"/>
          <w:b/>
        </w:rPr>
        <w:t>来定义可能不准确，因此</w:t>
      </w:r>
      <w:proofErr w:type="gramStart"/>
      <w:r>
        <w:rPr>
          <w:rFonts w:ascii="楷体" w:eastAsia="楷体" w:hAnsi="楷体" w:hint="eastAsia"/>
          <w:b/>
        </w:rPr>
        <w:t>在固收</w:t>
      </w:r>
      <w:proofErr w:type="gramEnd"/>
      <w:r>
        <w:rPr>
          <w:rFonts w:ascii="楷体" w:eastAsia="楷体" w:hAnsi="楷体" w:hint="eastAsia"/>
          <w:b/>
        </w:rPr>
        <w:t>+分类上，除权益</w:t>
      </w:r>
      <w:proofErr w:type="gramStart"/>
      <w:r>
        <w:rPr>
          <w:rFonts w:ascii="楷体" w:eastAsia="楷体" w:hAnsi="楷体" w:hint="eastAsia"/>
          <w:b/>
        </w:rPr>
        <w:t>仓位</w:t>
      </w:r>
      <w:proofErr w:type="gramEnd"/>
      <w:r>
        <w:rPr>
          <w:rFonts w:ascii="楷体" w:eastAsia="楷体" w:hAnsi="楷体" w:hint="eastAsia"/>
          <w:b/>
        </w:rPr>
        <w:t>外，也综合考虑了过去一段时间波动率、最大回撤的情况。</w:t>
      </w:r>
    </w:p>
    <w:p w:rsidR="00E95E51" w:rsidRDefault="00E95E51">
      <w:pPr>
        <w:pStyle w:val="afd"/>
        <w:ind w:firstLineChars="0" w:firstLine="0"/>
        <w:rPr>
          <w:rFonts w:ascii="楷体" w:eastAsia="楷体" w:hAnsi="楷体"/>
        </w:rPr>
      </w:pPr>
    </w:p>
    <w:p w:rsidR="00E95E51" w:rsidRDefault="00502CD5">
      <w:pPr>
        <w:pStyle w:val="afd"/>
        <w:ind w:firstLine="422"/>
        <w:rPr>
          <w:rFonts w:ascii="楷体" w:eastAsia="楷体" w:hAnsi="楷体"/>
        </w:rPr>
      </w:pPr>
      <w:proofErr w:type="gramStart"/>
      <w:r>
        <w:rPr>
          <w:rFonts w:ascii="楷体" w:eastAsia="楷体" w:hAnsi="楷体" w:hint="eastAsia"/>
          <w:b/>
        </w:rPr>
        <w:t>固收</w:t>
      </w:r>
      <w:proofErr w:type="gramEnd"/>
      <w:r>
        <w:rPr>
          <w:rFonts w:ascii="楷体" w:eastAsia="楷体" w:hAnsi="楷体" w:hint="eastAsia"/>
          <w:b/>
        </w:rPr>
        <w:t>+分类：</w:t>
      </w:r>
      <w:r>
        <w:rPr>
          <w:rFonts w:ascii="楷体" w:eastAsia="楷体" w:hAnsi="楷体" w:hint="eastAsia"/>
        </w:rPr>
        <w:t>将全</w:t>
      </w:r>
      <w:proofErr w:type="gramStart"/>
      <w:r>
        <w:rPr>
          <w:rFonts w:ascii="楷体" w:eastAsia="楷体" w:hAnsi="楷体" w:hint="eastAsia"/>
        </w:rPr>
        <w:t>市场固收</w:t>
      </w:r>
      <w:proofErr w:type="gramEnd"/>
      <w:r>
        <w:rPr>
          <w:rFonts w:ascii="楷体" w:eastAsia="楷体" w:hAnsi="楷体" w:hint="eastAsia"/>
        </w:rPr>
        <w:t>+基金中，分别给近四期季报中权益平均</w:t>
      </w:r>
      <w:proofErr w:type="gramStart"/>
      <w:r>
        <w:rPr>
          <w:rFonts w:ascii="楷体" w:eastAsia="楷体" w:hAnsi="楷体" w:hint="eastAsia"/>
        </w:rPr>
        <w:t>仓位</w:t>
      </w:r>
      <w:proofErr w:type="gramEnd"/>
      <w:r>
        <w:rPr>
          <w:rFonts w:ascii="楷体" w:eastAsia="楷体" w:hAnsi="楷体" w:hint="eastAsia"/>
        </w:rPr>
        <w:t>（1</w:t>
      </w:r>
      <w:r>
        <w:rPr>
          <w:rFonts w:ascii="楷体" w:eastAsia="楷体" w:hAnsi="楷体"/>
        </w:rPr>
        <w:t>00</w:t>
      </w:r>
      <w:r>
        <w:rPr>
          <w:rFonts w:ascii="楷体" w:eastAsia="楷体" w:hAnsi="楷体" w:hint="eastAsia"/>
        </w:rPr>
        <w:t>%股票</w:t>
      </w:r>
      <w:proofErr w:type="gramStart"/>
      <w:r>
        <w:rPr>
          <w:rFonts w:ascii="楷体" w:eastAsia="楷体" w:hAnsi="楷体" w:hint="eastAsia"/>
        </w:rPr>
        <w:t>仓位</w:t>
      </w:r>
      <w:proofErr w:type="gramEnd"/>
      <w:r>
        <w:rPr>
          <w:rFonts w:ascii="楷体" w:eastAsia="楷体" w:hAnsi="楷体" w:hint="eastAsia"/>
        </w:rPr>
        <w:t>+1</w:t>
      </w:r>
      <w:r>
        <w:rPr>
          <w:rFonts w:ascii="楷体" w:eastAsia="楷体" w:hAnsi="楷体"/>
        </w:rPr>
        <w:t>00</w:t>
      </w:r>
      <w:r>
        <w:rPr>
          <w:rFonts w:ascii="楷体" w:eastAsia="楷体" w:hAnsi="楷体" w:hint="eastAsia"/>
        </w:rPr>
        <w:t>%</w:t>
      </w:r>
      <w:proofErr w:type="gramStart"/>
      <w:r>
        <w:rPr>
          <w:rFonts w:ascii="楷体" w:eastAsia="楷体" w:hAnsi="楷体" w:hint="eastAsia"/>
        </w:rPr>
        <w:t>偏股型转</w:t>
      </w:r>
      <w:proofErr w:type="gramEnd"/>
      <w:r>
        <w:rPr>
          <w:rFonts w:ascii="楷体" w:eastAsia="楷体" w:hAnsi="楷体" w:hint="eastAsia"/>
        </w:rPr>
        <w:t>债</w:t>
      </w:r>
      <w:proofErr w:type="gramStart"/>
      <w:r>
        <w:rPr>
          <w:rFonts w:ascii="楷体" w:eastAsia="楷体" w:hAnsi="楷体" w:hint="eastAsia"/>
        </w:rPr>
        <w:t>仓位</w:t>
      </w:r>
      <w:proofErr w:type="gramEnd"/>
      <w:r>
        <w:rPr>
          <w:rFonts w:ascii="楷体" w:eastAsia="楷体" w:hAnsi="楷体" w:hint="eastAsia"/>
        </w:rPr>
        <w:t>+5</w:t>
      </w:r>
      <w:r>
        <w:rPr>
          <w:rFonts w:ascii="楷体" w:eastAsia="楷体" w:hAnsi="楷体"/>
        </w:rPr>
        <w:t>0</w:t>
      </w:r>
      <w:r>
        <w:rPr>
          <w:rFonts w:ascii="楷体" w:eastAsia="楷体" w:hAnsi="楷体" w:hint="eastAsia"/>
        </w:rPr>
        <w:t>%</w:t>
      </w:r>
      <w:proofErr w:type="gramStart"/>
      <w:r>
        <w:rPr>
          <w:rFonts w:ascii="楷体" w:eastAsia="楷体" w:hAnsi="楷体" w:hint="eastAsia"/>
        </w:rPr>
        <w:t>平衡型转债仓位</w:t>
      </w:r>
      <w:proofErr w:type="gramEnd"/>
      <w:r>
        <w:rPr>
          <w:rFonts w:ascii="楷体" w:eastAsia="楷体" w:hAnsi="楷体" w:hint="eastAsia"/>
        </w:rPr>
        <w:t>）、近1年波动率、近1年最大回撤（绝对值）进行排名，最终取三个排名的算数平均，得分前4</w:t>
      </w:r>
      <w:r>
        <w:rPr>
          <w:rFonts w:ascii="楷体" w:eastAsia="楷体" w:hAnsi="楷体"/>
        </w:rPr>
        <w:t>0</w:t>
      </w:r>
      <w:r>
        <w:rPr>
          <w:rFonts w:ascii="楷体" w:eastAsia="楷体" w:hAnsi="楷体" w:hint="eastAsia"/>
        </w:rPr>
        <w:t>%的为</w:t>
      </w:r>
      <w:proofErr w:type="gramStart"/>
      <w:r>
        <w:rPr>
          <w:rFonts w:ascii="楷体" w:eastAsia="楷体" w:hAnsi="楷体" w:hint="eastAsia"/>
        </w:rPr>
        <w:t>偏股型固收</w:t>
      </w:r>
      <w:proofErr w:type="gramEnd"/>
      <w:r>
        <w:rPr>
          <w:rFonts w:ascii="楷体" w:eastAsia="楷体" w:hAnsi="楷体" w:hint="eastAsia"/>
        </w:rPr>
        <w:t>+、后3</w:t>
      </w:r>
      <w:r>
        <w:rPr>
          <w:rFonts w:ascii="楷体" w:eastAsia="楷体" w:hAnsi="楷体"/>
        </w:rPr>
        <w:t>0</w:t>
      </w:r>
      <w:r>
        <w:rPr>
          <w:rFonts w:ascii="楷体" w:eastAsia="楷体" w:hAnsi="楷体" w:hint="eastAsia"/>
        </w:rPr>
        <w:t>%的为</w:t>
      </w:r>
      <w:proofErr w:type="gramStart"/>
      <w:r>
        <w:rPr>
          <w:rFonts w:ascii="楷体" w:eastAsia="楷体" w:hAnsi="楷体" w:hint="eastAsia"/>
        </w:rPr>
        <w:t>偏债型固收</w:t>
      </w:r>
      <w:proofErr w:type="gramEnd"/>
      <w:r>
        <w:rPr>
          <w:rFonts w:ascii="楷体" w:eastAsia="楷体" w:hAnsi="楷体" w:hint="eastAsia"/>
        </w:rPr>
        <w:t>+、其余为均衡</w:t>
      </w:r>
      <w:proofErr w:type="gramStart"/>
      <w:r>
        <w:rPr>
          <w:rFonts w:ascii="楷体" w:eastAsia="楷体" w:hAnsi="楷体" w:hint="eastAsia"/>
        </w:rPr>
        <w:t>型固收</w:t>
      </w:r>
      <w:proofErr w:type="gramEnd"/>
      <w:r>
        <w:rPr>
          <w:rFonts w:ascii="楷体" w:eastAsia="楷体" w:hAnsi="楷体" w:hint="eastAsia"/>
        </w:rPr>
        <w:t>+。从图表3可见，三大分类不论是总规模还是Wind二级分类下的数量分部都较为平均，也再次验证了不同Wind二级分类下</w:t>
      </w:r>
      <w:proofErr w:type="gramStart"/>
      <w:r>
        <w:rPr>
          <w:rFonts w:ascii="楷体" w:eastAsia="楷体" w:hAnsi="楷体" w:hint="eastAsia"/>
        </w:rPr>
        <w:t>的固收</w:t>
      </w:r>
      <w:proofErr w:type="gramEnd"/>
      <w:r>
        <w:rPr>
          <w:rFonts w:ascii="楷体" w:eastAsia="楷体" w:hAnsi="楷体" w:hint="eastAsia"/>
        </w:rPr>
        <w:t>+基金整体并没有显著的区别。</w:t>
      </w:r>
    </w:p>
    <w:p w:rsidR="00E95E51" w:rsidRDefault="00E95E51">
      <w:pPr>
        <w:pStyle w:val="afd"/>
        <w:ind w:firstLine="420"/>
        <w:rPr>
          <w:rFonts w:ascii="楷体" w:eastAsia="楷体" w:hAnsi="楷体"/>
        </w:rPr>
      </w:pPr>
    </w:p>
    <w:p w:rsidR="00E95E51" w:rsidRDefault="00502CD5">
      <w:pPr>
        <w:pStyle w:val="afd"/>
        <w:ind w:firstLine="420"/>
        <w:rPr>
          <w:rFonts w:ascii="楷体" w:eastAsia="楷体" w:hAnsi="楷体"/>
        </w:rPr>
      </w:pPr>
      <w:r>
        <w:rPr>
          <w:rFonts w:ascii="楷体" w:eastAsia="楷体" w:hAnsi="楷体" w:hint="eastAsia"/>
        </w:rPr>
        <w:t>从图标4可见，我们</w:t>
      </w:r>
      <w:proofErr w:type="gramStart"/>
      <w:r>
        <w:rPr>
          <w:rFonts w:ascii="楷体" w:eastAsia="楷体" w:hAnsi="楷体" w:hint="eastAsia"/>
        </w:rPr>
        <w:t>将固收</w:t>
      </w:r>
      <w:proofErr w:type="gramEnd"/>
      <w:r>
        <w:rPr>
          <w:rFonts w:ascii="楷体" w:eastAsia="楷体" w:hAnsi="楷体" w:hint="eastAsia"/>
        </w:rPr>
        <w:t>+分类每季度调整并做回测。近5年来，</w:t>
      </w:r>
      <w:proofErr w:type="gramStart"/>
      <w:r>
        <w:rPr>
          <w:rFonts w:ascii="楷体" w:eastAsia="楷体" w:hAnsi="楷体" w:hint="eastAsia"/>
        </w:rPr>
        <w:t>偏股型固收</w:t>
      </w:r>
      <w:proofErr w:type="gramEnd"/>
      <w:r>
        <w:rPr>
          <w:rFonts w:ascii="楷体" w:eastAsia="楷体" w:hAnsi="楷体" w:hint="eastAsia"/>
        </w:rPr>
        <w:t>+平均波动率、最大回撤为4</w:t>
      </w:r>
      <w:r>
        <w:rPr>
          <w:rFonts w:ascii="楷体" w:eastAsia="楷体" w:hAnsi="楷体"/>
        </w:rPr>
        <w:t>.8</w:t>
      </w:r>
      <w:r>
        <w:rPr>
          <w:rFonts w:ascii="楷体" w:eastAsia="楷体" w:hAnsi="楷体" w:hint="eastAsia"/>
        </w:rPr>
        <w:t>%、4</w:t>
      </w:r>
      <w:r>
        <w:rPr>
          <w:rFonts w:ascii="楷体" w:eastAsia="楷体" w:hAnsi="楷体"/>
        </w:rPr>
        <w:t>.69</w:t>
      </w:r>
      <w:r>
        <w:rPr>
          <w:rFonts w:ascii="楷体" w:eastAsia="楷体" w:hAnsi="楷体" w:hint="eastAsia"/>
        </w:rPr>
        <w:t>%，高于二级债基、</w:t>
      </w:r>
      <w:proofErr w:type="gramStart"/>
      <w:r>
        <w:rPr>
          <w:rFonts w:ascii="楷体" w:eastAsia="楷体" w:hAnsi="楷体" w:hint="eastAsia"/>
        </w:rPr>
        <w:t>偏债混合</w:t>
      </w:r>
      <w:proofErr w:type="gramEnd"/>
      <w:r>
        <w:rPr>
          <w:rFonts w:ascii="楷体" w:eastAsia="楷体" w:hAnsi="楷体" w:hint="eastAsia"/>
        </w:rPr>
        <w:t>。均衡</w:t>
      </w:r>
      <w:proofErr w:type="gramStart"/>
      <w:r>
        <w:rPr>
          <w:rFonts w:ascii="楷体" w:eastAsia="楷体" w:hAnsi="楷体" w:hint="eastAsia"/>
        </w:rPr>
        <w:t>型固收</w:t>
      </w:r>
      <w:proofErr w:type="gramEnd"/>
      <w:r>
        <w:rPr>
          <w:rFonts w:ascii="楷体" w:eastAsia="楷体" w:hAnsi="楷体" w:hint="eastAsia"/>
        </w:rPr>
        <w:t>+平均波动率、最大回撤3</w:t>
      </w:r>
      <w:r>
        <w:rPr>
          <w:rFonts w:ascii="楷体" w:eastAsia="楷体" w:hAnsi="楷体"/>
        </w:rPr>
        <w:t>.2</w:t>
      </w:r>
      <w:r>
        <w:rPr>
          <w:rFonts w:ascii="楷体" w:eastAsia="楷体" w:hAnsi="楷体" w:hint="eastAsia"/>
        </w:rPr>
        <w:t>%、2</w:t>
      </w:r>
      <w:r>
        <w:rPr>
          <w:rFonts w:ascii="楷体" w:eastAsia="楷体" w:hAnsi="楷体"/>
        </w:rPr>
        <w:t>.24</w:t>
      </w:r>
      <w:r>
        <w:rPr>
          <w:rFonts w:ascii="楷体" w:eastAsia="楷体" w:hAnsi="楷体" w:hint="eastAsia"/>
        </w:rPr>
        <w:t>%，低于股票市场中性，夏普比率较高，约1</w:t>
      </w:r>
      <w:r>
        <w:rPr>
          <w:rFonts w:ascii="楷体" w:eastAsia="楷体" w:hAnsi="楷体"/>
        </w:rPr>
        <w:t>.5</w:t>
      </w:r>
      <w:r>
        <w:rPr>
          <w:rFonts w:ascii="楷体" w:eastAsia="楷体" w:hAnsi="楷体" w:hint="eastAsia"/>
        </w:rPr>
        <w:t>。</w:t>
      </w:r>
      <w:proofErr w:type="gramStart"/>
      <w:r>
        <w:rPr>
          <w:rFonts w:ascii="楷体" w:eastAsia="楷体" w:hAnsi="楷体" w:hint="eastAsia"/>
        </w:rPr>
        <w:t>偏债型固收</w:t>
      </w:r>
      <w:proofErr w:type="gramEnd"/>
      <w:r>
        <w:rPr>
          <w:rFonts w:ascii="楷体" w:eastAsia="楷体" w:hAnsi="楷体" w:hint="eastAsia"/>
        </w:rPr>
        <w:t>+较为稳健，平均波动率、最大回撤仅1</w:t>
      </w:r>
      <w:r>
        <w:rPr>
          <w:rFonts w:ascii="楷体" w:eastAsia="楷体" w:hAnsi="楷体"/>
        </w:rPr>
        <w:t>.93</w:t>
      </w:r>
      <w:r>
        <w:rPr>
          <w:rFonts w:ascii="楷体" w:eastAsia="楷体" w:hAnsi="楷体" w:hint="eastAsia"/>
        </w:rPr>
        <w:t>%、1</w:t>
      </w:r>
      <w:r>
        <w:rPr>
          <w:rFonts w:ascii="楷体" w:eastAsia="楷体" w:hAnsi="楷体"/>
        </w:rPr>
        <w:t>.47</w:t>
      </w:r>
      <w:r>
        <w:rPr>
          <w:rFonts w:ascii="楷体" w:eastAsia="楷体" w:hAnsi="楷体" w:hint="eastAsia"/>
        </w:rPr>
        <w:t>%，夏普比率在各类资产中最高，约1</w:t>
      </w:r>
      <w:r>
        <w:rPr>
          <w:rFonts w:ascii="楷体" w:eastAsia="楷体" w:hAnsi="楷体"/>
        </w:rPr>
        <w:t>.6</w:t>
      </w:r>
      <w:r>
        <w:rPr>
          <w:rFonts w:ascii="楷体" w:eastAsia="楷体" w:hAnsi="楷体" w:hint="eastAsia"/>
        </w:rPr>
        <w:t>。</w:t>
      </w:r>
    </w:p>
    <w:tbl>
      <w:tblPr>
        <w:tblW w:w="9854" w:type="dxa"/>
        <w:jc w:val="center"/>
        <w:tblCellMar>
          <w:left w:w="0" w:type="dxa"/>
          <w:right w:w="0" w:type="dxa"/>
        </w:tblCellMar>
        <w:tblLook w:val="04A0" w:firstRow="1" w:lastRow="0" w:firstColumn="1" w:lastColumn="0" w:noHBand="0" w:noVBand="1"/>
      </w:tblPr>
      <w:tblGrid>
        <w:gridCol w:w="9854"/>
      </w:tblGrid>
      <w:tr w:rsidR="00E95E51">
        <w:trPr>
          <w:trHeight w:val="304"/>
          <w:jc w:val="center"/>
        </w:trPr>
        <w:tc>
          <w:tcPr>
            <w:tcW w:w="9854"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图表3：</w:t>
            </w:r>
            <w:proofErr w:type="gramStart"/>
            <w:r>
              <w:rPr>
                <w:rFonts w:ascii="楷体" w:eastAsia="楷体" w:hAnsi="楷体" w:hint="eastAsia"/>
                <w:b/>
                <w:bCs/>
                <w:color w:val="000000" w:themeColor="text1"/>
              </w:rPr>
              <w:t>固收</w:t>
            </w:r>
            <w:proofErr w:type="gramEnd"/>
            <w:r>
              <w:rPr>
                <w:rFonts w:ascii="楷体" w:eastAsia="楷体" w:hAnsi="楷体" w:hint="eastAsia"/>
                <w:b/>
                <w:bCs/>
                <w:color w:val="000000" w:themeColor="text1"/>
              </w:rPr>
              <w:t>+分类历史表现及规模分部</w:t>
            </w:r>
          </w:p>
        </w:tc>
      </w:tr>
      <w:tr w:rsidR="00E95E51">
        <w:tblPrEx>
          <w:tblCellMar>
            <w:left w:w="108" w:type="dxa"/>
            <w:right w:w="108" w:type="dxa"/>
          </w:tblCellMar>
        </w:tblPrEx>
        <w:trPr>
          <w:trHeight w:val="3515"/>
          <w:jc w:val="center"/>
        </w:trPr>
        <w:tc>
          <w:tcPr>
            <w:tcW w:w="9854" w:type="dxa"/>
            <w:tcBorders>
              <w:top w:val="single" w:sz="12" w:space="0" w:color="767171" w:themeColor="background2" w:themeShade="80"/>
              <w:bottom w:val="single" w:sz="12" w:space="0" w:color="767171" w:themeColor="background2" w:themeShade="80"/>
            </w:tcBorders>
            <w:vAlign w:val="center"/>
          </w:tcPr>
          <w:tbl>
            <w:tblPr>
              <w:tblpPr w:leftFromText="180" w:rightFromText="180" w:vertAnchor="page" w:horzAnchor="margin" w:tblpXSpec="right" w:tblpY="481"/>
              <w:tblOverlap w:val="never"/>
              <w:tblW w:w="4553" w:type="dxa"/>
              <w:tblLook w:val="04A0" w:firstRow="1" w:lastRow="0" w:firstColumn="1" w:lastColumn="0" w:noHBand="0" w:noVBand="1"/>
            </w:tblPr>
            <w:tblGrid>
              <w:gridCol w:w="756"/>
              <w:gridCol w:w="846"/>
              <w:gridCol w:w="756"/>
              <w:gridCol w:w="756"/>
              <w:gridCol w:w="756"/>
              <w:gridCol w:w="756"/>
            </w:tblGrid>
            <w:tr w:rsidR="00E95E51">
              <w:trPr>
                <w:trHeight w:val="395"/>
              </w:trPr>
              <w:tc>
                <w:tcPr>
                  <w:tcW w:w="756" w:type="dxa"/>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502CD5">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773"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基金规模</w:t>
                  </w:r>
                </w:p>
              </w:tc>
              <w:tc>
                <w:tcPr>
                  <w:tcW w:w="756"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基金数量</w:t>
                  </w:r>
                </w:p>
              </w:tc>
              <w:tc>
                <w:tcPr>
                  <w:tcW w:w="756"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proofErr w:type="gramStart"/>
                  <w:r>
                    <w:rPr>
                      <w:rFonts w:ascii="楷体" w:eastAsia="楷体" w:hAnsi="楷体" w:cs="宋体" w:hint="eastAsia"/>
                      <w:b/>
                      <w:bCs/>
                      <w:color w:val="FFFFFF"/>
                      <w:kern w:val="0"/>
                      <w:sz w:val="18"/>
                      <w:szCs w:val="18"/>
                    </w:rPr>
                    <w:t>二级债基</w:t>
                  </w:r>
                  <w:proofErr w:type="gramEnd"/>
                </w:p>
              </w:tc>
              <w:tc>
                <w:tcPr>
                  <w:tcW w:w="756"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proofErr w:type="gramStart"/>
                  <w:r>
                    <w:rPr>
                      <w:rFonts w:ascii="楷体" w:eastAsia="楷体" w:hAnsi="楷体" w:cs="宋体" w:hint="eastAsia"/>
                      <w:b/>
                      <w:bCs/>
                      <w:color w:val="FFFFFF"/>
                      <w:kern w:val="0"/>
                      <w:sz w:val="18"/>
                      <w:szCs w:val="18"/>
                    </w:rPr>
                    <w:t>偏债混合</w:t>
                  </w:r>
                  <w:proofErr w:type="gramEnd"/>
                </w:p>
              </w:tc>
              <w:tc>
                <w:tcPr>
                  <w:tcW w:w="756"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灵活配置</w:t>
                  </w:r>
                </w:p>
              </w:tc>
            </w:tr>
            <w:tr w:rsidR="00E95E51">
              <w:trPr>
                <w:trHeight w:val="381"/>
              </w:trPr>
              <w:tc>
                <w:tcPr>
                  <w:tcW w:w="75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均衡型</w:t>
                  </w:r>
                </w:p>
              </w:tc>
              <w:tc>
                <w:tcPr>
                  <w:tcW w:w="77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3091.01 </w:t>
                  </w:r>
                </w:p>
              </w:tc>
              <w:tc>
                <w:tcPr>
                  <w:tcW w:w="75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191</w:t>
                  </w:r>
                </w:p>
              </w:tc>
              <w:tc>
                <w:tcPr>
                  <w:tcW w:w="75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66</w:t>
                  </w:r>
                </w:p>
              </w:tc>
              <w:tc>
                <w:tcPr>
                  <w:tcW w:w="75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48</w:t>
                  </w:r>
                </w:p>
              </w:tc>
              <w:tc>
                <w:tcPr>
                  <w:tcW w:w="75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77</w:t>
                  </w:r>
                </w:p>
              </w:tc>
            </w:tr>
            <w:tr w:rsidR="00E95E51">
              <w:trPr>
                <w:trHeight w:val="381"/>
              </w:trPr>
              <w:tc>
                <w:tcPr>
                  <w:tcW w:w="75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偏股型</w:t>
                  </w:r>
                  <w:proofErr w:type="gramEnd"/>
                </w:p>
              </w:tc>
              <w:tc>
                <w:tcPr>
                  <w:tcW w:w="77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2923.99 </w:t>
                  </w:r>
                </w:p>
              </w:tc>
              <w:tc>
                <w:tcPr>
                  <w:tcW w:w="75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255</w:t>
                  </w:r>
                </w:p>
              </w:tc>
              <w:tc>
                <w:tcPr>
                  <w:tcW w:w="75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75</w:t>
                  </w:r>
                </w:p>
              </w:tc>
              <w:tc>
                <w:tcPr>
                  <w:tcW w:w="75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80</w:t>
                  </w:r>
                </w:p>
              </w:tc>
              <w:tc>
                <w:tcPr>
                  <w:tcW w:w="75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w:t>
                  </w:r>
                </w:p>
              </w:tc>
            </w:tr>
            <w:tr w:rsidR="00E95E51">
              <w:trPr>
                <w:trHeight w:val="381"/>
              </w:trPr>
              <w:tc>
                <w:tcPr>
                  <w:tcW w:w="75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w:t>
                  </w:r>
                  <w:proofErr w:type="gramEnd"/>
                </w:p>
              </w:tc>
              <w:tc>
                <w:tcPr>
                  <w:tcW w:w="77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3484.63 </w:t>
                  </w:r>
                </w:p>
              </w:tc>
              <w:tc>
                <w:tcPr>
                  <w:tcW w:w="75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192</w:t>
                  </w:r>
                </w:p>
              </w:tc>
              <w:tc>
                <w:tcPr>
                  <w:tcW w:w="75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72</w:t>
                  </w:r>
                </w:p>
              </w:tc>
              <w:tc>
                <w:tcPr>
                  <w:tcW w:w="75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43</w:t>
                  </w:r>
                </w:p>
              </w:tc>
              <w:tc>
                <w:tcPr>
                  <w:tcW w:w="756"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77</w:t>
                  </w:r>
                </w:p>
              </w:tc>
            </w:tr>
            <w:tr w:rsidR="00E95E51">
              <w:trPr>
                <w:trHeight w:val="381"/>
              </w:trPr>
              <w:tc>
                <w:tcPr>
                  <w:tcW w:w="75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总计</w:t>
                  </w:r>
                </w:p>
              </w:tc>
              <w:tc>
                <w:tcPr>
                  <w:tcW w:w="77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9499.64 </w:t>
                  </w:r>
                </w:p>
              </w:tc>
              <w:tc>
                <w:tcPr>
                  <w:tcW w:w="75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638</w:t>
                  </w:r>
                </w:p>
              </w:tc>
              <w:tc>
                <w:tcPr>
                  <w:tcW w:w="75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213</w:t>
                  </w:r>
                </w:p>
              </w:tc>
              <w:tc>
                <w:tcPr>
                  <w:tcW w:w="75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171</w:t>
                  </w:r>
                </w:p>
              </w:tc>
              <w:tc>
                <w:tcPr>
                  <w:tcW w:w="756"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254</w:t>
                  </w:r>
                </w:p>
              </w:tc>
            </w:tr>
          </w:tbl>
          <w:p w:rsidR="00E95E51" w:rsidRDefault="00502CD5">
            <w:pPr>
              <w:tabs>
                <w:tab w:val="left" w:pos="600"/>
              </w:tabs>
              <w:adjustRightInd w:val="0"/>
              <w:snapToGrid w:val="0"/>
              <w:spacing w:line="24" w:lineRule="atLeast"/>
              <w:ind w:leftChars="85" w:left="178"/>
              <w:jc w:val="left"/>
              <w:rPr>
                <w:rFonts w:ascii="楷体" w:eastAsia="楷体" w:hAnsi="楷体"/>
                <w:color w:val="000000" w:themeColor="text1"/>
                <w:sz w:val="18"/>
                <w:szCs w:val="18"/>
              </w:rPr>
            </w:pPr>
            <w:r>
              <w:rPr>
                <w:rFonts w:ascii="楷体" w:eastAsia="楷体" w:hAnsi="楷体"/>
                <w:noProof/>
                <w:color w:val="000000" w:themeColor="text1"/>
                <w:sz w:val="18"/>
                <w:szCs w:val="18"/>
              </w:rPr>
              <w:drawing>
                <wp:anchor distT="0" distB="0" distL="114300" distR="114300" simplePos="0" relativeHeight="251673600" behindDoc="0" locked="0" layoutInCell="1" allowOverlap="1">
                  <wp:simplePos x="0" y="0"/>
                  <wp:positionH relativeFrom="column">
                    <wp:posOffset>-34290</wp:posOffset>
                  </wp:positionH>
                  <wp:positionV relativeFrom="paragraph">
                    <wp:posOffset>1270</wp:posOffset>
                  </wp:positionV>
                  <wp:extent cx="3238500" cy="2222500"/>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38500" cy="2222500"/>
                          </a:xfrm>
                          <a:prstGeom prst="rect">
                            <a:avLst/>
                          </a:prstGeom>
                          <a:noFill/>
                        </pic:spPr>
                      </pic:pic>
                    </a:graphicData>
                  </a:graphic>
                </wp:anchor>
              </w:drawing>
            </w:r>
          </w:p>
        </w:tc>
      </w:tr>
    </w:tbl>
    <w:p w:rsidR="00E95E51" w:rsidRDefault="00E95E51">
      <w:pPr>
        <w:widowControl/>
        <w:jc w:val="left"/>
        <w:rPr>
          <w:rFonts w:ascii="楷体" w:eastAsia="楷体" w:hAnsi="楷体"/>
          <w:b/>
          <w:szCs w:val="21"/>
        </w:rPr>
      </w:pPr>
    </w:p>
    <w:tbl>
      <w:tblPr>
        <w:tblW w:w="9854" w:type="dxa"/>
        <w:jc w:val="center"/>
        <w:tblCellMar>
          <w:left w:w="0" w:type="dxa"/>
          <w:right w:w="0" w:type="dxa"/>
        </w:tblCellMar>
        <w:tblLook w:val="04A0" w:firstRow="1" w:lastRow="0" w:firstColumn="1" w:lastColumn="0" w:noHBand="0" w:noVBand="1"/>
      </w:tblPr>
      <w:tblGrid>
        <w:gridCol w:w="9930"/>
      </w:tblGrid>
      <w:tr w:rsidR="00E95E51">
        <w:trPr>
          <w:trHeight w:val="304"/>
          <w:jc w:val="center"/>
        </w:trPr>
        <w:tc>
          <w:tcPr>
            <w:tcW w:w="9854"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图表4：近</w:t>
            </w:r>
            <w:proofErr w:type="gramStart"/>
            <w:r>
              <w:rPr>
                <w:rFonts w:ascii="楷体" w:eastAsia="楷体" w:hAnsi="楷体" w:hint="eastAsia"/>
                <w:b/>
                <w:bCs/>
                <w:color w:val="000000" w:themeColor="text1"/>
              </w:rPr>
              <w:t>5年固收</w:t>
            </w:r>
            <w:proofErr w:type="gramEnd"/>
            <w:r>
              <w:rPr>
                <w:rFonts w:ascii="楷体" w:eastAsia="楷体" w:hAnsi="楷体" w:hint="eastAsia"/>
                <w:b/>
                <w:bCs/>
                <w:color w:val="000000" w:themeColor="text1"/>
              </w:rPr>
              <w:t>+分类与万得二级分类对比</w:t>
            </w:r>
          </w:p>
        </w:tc>
      </w:tr>
      <w:tr w:rsidR="00E95E51">
        <w:tblPrEx>
          <w:tblCellMar>
            <w:left w:w="108" w:type="dxa"/>
            <w:right w:w="108" w:type="dxa"/>
          </w:tblCellMar>
        </w:tblPrEx>
        <w:trPr>
          <w:trHeight w:val="3259"/>
          <w:jc w:val="center"/>
        </w:trPr>
        <w:tc>
          <w:tcPr>
            <w:tcW w:w="9854" w:type="dxa"/>
            <w:tcBorders>
              <w:top w:val="single" w:sz="12" w:space="0" w:color="767171" w:themeColor="background2" w:themeShade="80"/>
              <w:bottom w:val="single" w:sz="12" w:space="0" w:color="767171" w:themeColor="background2" w:themeShade="80"/>
            </w:tcBorders>
            <w:vAlign w:val="center"/>
          </w:tcPr>
          <w:tbl>
            <w:tblPr>
              <w:tblW w:w="9694" w:type="dxa"/>
              <w:tblLook w:val="04A0" w:firstRow="1" w:lastRow="0" w:firstColumn="1" w:lastColumn="0" w:noHBand="0" w:noVBand="1"/>
            </w:tblPr>
            <w:tblGrid>
              <w:gridCol w:w="1949"/>
              <w:gridCol w:w="1684"/>
              <w:gridCol w:w="1684"/>
              <w:gridCol w:w="1553"/>
              <w:gridCol w:w="1412"/>
              <w:gridCol w:w="1412"/>
            </w:tblGrid>
            <w:tr w:rsidR="00E95E51">
              <w:trPr>
                <w:trHeight w:val="275"/>
              </w:trPr>
              <w:tc>
                <w:tcPr>
                  <w:tcW w:w="0" w:type="auto"/>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502CD5">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proofErr w:type="gramStart"/>
                  <w:r>
                    <w:rPr>
                      <w:rFonts w:ascii="楷体" w:eastAsia="楷体" w:hAnsi="楷体" w:cs="宋体" w:hint="eastAsia"/>
                      <w:b/>
                      <w:bCs/>
                      <w:color w:val="FFFFFF"/>
                      <w:kern w:val="0"/>
                      <w:sz w:val="18"/>
                      <w:szCs w:val="18"/>
                    </w:rPr>
                    <w:t>年化波动</w:t>
                  </w:r>
                  <w:proofErr w:type="gramEnd"/>
                  <w:r>
                    <w:rPr>
                      <w:rFonts w:ascii="楷体" w:eastAsia="楷体" w:hAnsi="楷体" w:cs="宋体" w:hint="eastAsia"/>
                      <w:b/>
                      <w:bCs/>
                      <w:color w:val="FFFFFF"/>
                      <w:kern w:val="0"/>
                      <w:sz w:val="18"/>
                      <w:szCs w:val="18"/>
                    </w:rPr>
                    <w:t>率</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proofErr w:type="gramStart"/>
                  <w:r>
                    <w:rPr>
                      <w:rFonts w:ascii="楷体" w:eastAsia="楷体" w:hAnsi="楷体" w:cs="宋体" w:hint="eastAsia"/>
                      <w:b/>
                      <w:bCs/>
                      <w:color w:val="FFFFFF"/>
                      <w:kern w:val="0"/>
                      <w:sz w:val="18"/>
                      <w:szCs w:val="18"/>
                    </w:rPr>
                    <w:t>年化收益率</w:t>
                  </w:r>
                  <w:proofErr w:type="gramEnd"/>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proofErr w:type="spellStart"/>
                  <w:r>
                    <w:rPr>
                      <w:rFonts w:ascii="楷体" w:eastAsia="楷体" w:hAnsi="楷体" w:cs="宋体" w:hint="eastAsia"/>
                      <w:b/>
                      <w:bCs/>
                      <w:color w:val="FFFFFF"/>
                      <w:kern w:val="0"/>
                      <w:sz w:val="18"/>
                      <w:szCs w:val="18"/>
                    </w:rPr>
                    <w:t>CVaR</w:t>
                  </w:r>
                  <w:proofErr w:type="spellEnd"/>
                  <w:r>
                    <w:rPr>
                      <w:rFonts w:ascii="楷体" w:eastAsia="楷体" w:hAnsi="楷体" w:cs="宋体" w:hint="eastAsia"/>
                      <w:b/>
                      <w:bCs/>
                      <w:color w:val="FFFFFF"/>
                      <w:kern w:val="0"/>
                      <w:sz w:val="18"/>
                      <w:szCs w:val="18"/>
                    </w:rPr>
                    <w:t xml:space="preserve"> (5%)</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夏普比率</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最大回撤</w:t>
                  </w:r>
                </w:p>
              </w:tc>
            </w:tr>
            <w:tr w:rsidR="00E95E51">
              <w:trPr>
                <w:trHeight w:val="266"/>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股票基金</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18.02%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12.39%</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-5.76%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0.60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-26.60%</w:t>
                  </w:r>
                </w:p>
              </w:tc>
            </w:tr>
            <w:tr w:rsidR="00E95E51">
              <w:trPr>
                <w:trHeight w:val="266"/>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可转</w:t>
                  </w:r>
                  <w:proofErr w:type="gramStart"/>
                  <w:r>
                    <w:rPr>
                      <w:rFonts w:ascii="楷体" w:eastAsia="楷体" w:hAnsi="楷体" w:cs="宋体" w:hint="eastAsia"/>
                      <w:color w:val="000000"/>
                      <w:kern w:val="0"/>
                      <w:sz w:val="18"/>
                      <w:szCs w:val="18"/>
                    </w:rPr>
                    <w:t>债基金</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12.28%</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5.15%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-3.85%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0.30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-16.04%</w:t>
                  </w:r>
                </w:p>
              </w:tc>
            </w:tr>
            <w:tr w:rsidR="00E95E51">
              <w:trPr>
                <w:trHeight w:val="266"/>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proofErr w:type="gramStart"/>
                  <w:r>
                    <w:rPr>
                      <w:rFonts w:ascii="楷体" w:eastAsia="楷体" w:hAnsi="楷体" w:cs="宋体" w:hint="eastAsia"/>
                      <w:b/>
                      <w:color w:val="000000"/>
                      <w:kern w:val="0"/>
                      <w:sz w:val="18"/>
                      <w:szCs w:val="18"/>
                    </w:rPr>
                    <w:t>偏股型固收</w:t>
                  </w:r>
                  <w:proofErr w:type="gramEnd"/>
                  <w:r>
                    <w:rPr>
                      <w:rFonts w:ascii="楷体" w:eastAsia="楷体" w:hAnsi="楷体" w:cs="宋体" w:hint="eastAsia"/>
                      <w:b/>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4.80%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6.53%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-1.52%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1.05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-4.69%</w:t>
                  </w:r>
                </w:p>
              </w:tc>
            </w:tr>
            <w:tr w:rsidR="00E95E51">
              <w:trPr>
                <w:trHeight w:val="266"/>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二级债基</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4.15%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4.51%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0.73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-3.69%</w:t>
                  </w:r>
                </w:p>
              </w:tc>
            </w:tr>
            <w:tr w:rsidR="00E95E51">
              <w:trPr>
                <w:trHeight w:val="266"/>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偏债混合</w:t>
                  </w:r>
                  <w:proofErr w:type="gramEnd"/>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3.54%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6.29%</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-0.62%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1.35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-3.71%</w:t>
                  </w:r>
                </w:p>
              </w:tc>
            </w:tr>
            <w:tr w:rsidR="00E95E51">
              <w:trPr>
                <w:trHeight w:val="266"/>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股票市场中性</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3.20%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4.69%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-3.12%</w:t>
                  </w:r>
                </w:p>
              </w:tc>
            </w:tr>
            <w:tr w:rsidR="00E95E51">
              <w:trPr>
                <w:trHeight w:val="266"/>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均衡</w:t>
                  </w:r>
                  <w:proofErr w:type="gramStart"/>
                  <w:r>
                    <w:rPr>
                      <w:rFonts w:ascii="楷体" w:eastAsia="楷体" w:hAnsi="楷体" w:cs="宋体" w:hint="eastAsia"/>
                      <w:b/>
                      <w:color w:val="000000"/>
                      <w:kern w:val="0"/>
                      <w:sz w:val="18"/>
                      <w:szCs w:val="18"/>
                    </w:rPr>
                    <w:t>型固收</w:t>
                  </w:r>
                  <w:proofErr w:type="gramEnd"/>
                  <w:r>
                    <w:rPr>
                      <w:rFonts w:ascii="楷体" w:eastAsia="楷体" w:hAnsi="楷体" w:cs="宋体" w:hint="eastAsia"/>
                      <w:b/>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3.20%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6.26%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-1.03%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1.49</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-2.24%</w:t>
                  </w:r>
                </w:p>
              </w:tc>
            </w:tr>
            <w:tr w:rsidR="00E95E51">
              <w:trPr>
                <w:trHeight w:val="266"/>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8"/>
                      <w:szCs w:val="18"/>
                    </w:rPr>
                  </w:pPr>
                  <w:proofErr w:type="gramStart"/>
                  <w:r>
                    <w:rPr>
                      <w:rFonts w:ascii="楷体" w:eastAsia="楷体" w:hAnsi="楷体" w:cs="宋体" w:hint="eastAsia"/>
                      <w:b/>
                      <w:color w:val="000000"/>
                      <w:kern w:val="0"/>
                      <w:sz w:val="18"/>
                      <w:szCs w:val="18"/>
                    </w:rPr>
                    <w:t>偏债型固收</w:t>
                  </w:r>
                  <w:proofErr w:type="gramEnd"/>
                  <w:r>
                    <w:rPr>
                      <w:rFonts w:ascii="楷体" w:eastAsia="楷体" w:hAnsi="楷体" w:cs="宋体" w:hint="eastAsia"/>
                      <w:b/>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1.93%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4.60%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-0.64%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1.60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8"/>
                      <w:szCs w:val="18"/>
                    </w:rPr>
                  </w:pPr>
                  <w:r>
                    <w:rPr>
                      <w:rFonts w:ascii="楷体" w:eastAsia="楷体" w:hAnsi="楷体" w:cs="宋体" w:hint="eastAsia"/>
                      <w:b/>
                      <w:color w:val="000000"/>
                      <w:kern w:val="0"/>
                      <w:sz w:val="18"/>
                      <w:szCs w:val="18"/>
                    </w:rPr>
                    <w:t>-1.47%</w:t>
                  </w:r>
                </w:p>
              </w:tc>
            </w:tr>
            <w:tr w:rsidR="00E95E51">
              <w:trPr>
                <w:trHeight w:val="266"/>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纯债债基</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1.35%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3.06%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-0.46%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1.16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-2.64%</w:t>
                  </w:r>
                </w:p>
              </w:tc>
            </w:tr>
          </w:tbl>
          <w:p w:rsidR="00E95E51" w:rsidRDefault="00E95E51">
            <w:pPr>
              <w:tabs>
                <w:tab w:val="left" w:pos="600"/>
              </w:tabs>
              <w:adjustRightInd w:val="0"/>
              <w:snapToGrid w:val="0"/>
              <w:spacing w:line="24" w:lineRule="atLeast"/>
              <w:jc w:val="center"/>
              <w:rPr>
                <w:rFonts w:ascii="楷体" w:eastAsia="楷体" w:hAnsi="楷体"/>
                <w:color w:val="000000" w:themeColor="text1"/>
                <w:sz w:val="18"/>
                <w:szCs w:val="18"/>
              </w:rPr>
            </w:pPr>
          </w:p>
        </w:tc>
      </w:tr>
      <w:tr w:rsidR="00E95E51">
        <w:trPr>
          <w:jc w:val="center"/>
        </w:trPr>
        <w:tc>
          <w:tcPr>
            <w:tcW w:w="9854" w:type="dxa"/>
            <w:tcBorders>
              <w:top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研究整理；数据截止日：202</w:t>
            </w:r>
            <w:r>
              <w:rPr>
                <w:rFonts w:ascii="楷体" w:eastAsia="楷体" w:hAnsi="楷体"/>
                <w:color w:val="000000" w:themeColor="text1"/>
                <w:sz w:val="18"/>
                <w:szCs w:val="18"/>
              </w:rPr>
              <w:t>1</w:t>
            </w:r>
            <w:r>
              <w:rPr>
                <w:rFonts w:ascii="楷体" w:eastAsia="楷体" w:hAnsi="楷体" w:hint="eastAsia"/>
                <w:color w:val="000000" w:themeColor="text1"/>
                <w:sz w:val="18"/>
                <w:szCs w:val="18"/>
              </w:rPr>
              <w:t>年</w:t>
            </w:r>
            <w:r>
              <w:rPr>
                <w:rFonts w:ascii="楷体" w:eastAsia="楷体" w:hAnsi="楷体"/>
                <w:color w:val="000000" w:themeColor="text1"/>
                <w:sz w:val="18"/>
                <w:szCs w:val="18"/>
              </w:rPr>
              <w:t>3</w:t>
            </w:r>
            <w:r>
              <w:rPr>
                <w:rFonts w:ascii="楷体" w:eastAsia="楷体" w:hAnsi="楷体" w:hint="eastAsia"/>
                <w:color w:val="000000" w:themeColor="text1"/>
                <w:sz w:val="18"/>
                <w:szCs w:val="18"/>
              </w:rPr>
              <w:t>月</w:t>
            </w:r>
            <w:r>
              <w:rPr>
                <w:rFonts w:ascii="楷体" w:eastAsia="楷体" w:hAnsi="楷体"/>
                <w:color w:val="000000" w:themeColor="text1"/>
                <w:sz w:val="18"/>
                <w:szCs w:val="18"/>
              </w:rPr>
              <w:t>31</w:t>
            </w:r>
            <w:r>
              <w:rPr>
                <w:rFonts w:ascii="楷体" w:eastAsia="楷体" w:hAnsi="楷体" w:hint="eastAsia"/>
                <w:color w:val="000000" w:themeColor="text1"/>
                <w:sz w:val="18"/>
                <w:szCs w:val="18"/>
              </w:rPr>
              <w:t>日；</w:t>
            </w:r>
          </w:p>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p w:rsidR="00E95E51" w:rsidRDefault="00E95E51">
            <w:pPr>
              <w:spacing w:line="24" w:lineRule="atLeast"/>
              <w:rPr>
                <w:rFonts w:ascii="楷体" w:eastAsia="楷体" w:hAnsi="楷体"/>
                <w:color w:val="000000" w:themeColor="text1"/>
                <w:sz w:val="18"/>
                <w:szCs w:val="18"/>
              </w:rPr>
            </w:pPr>
          </w:p>
        </w:tc>
      </w:tr>
    </w:tbl>
    <w:p w:rsidR="00E95E51" w:rsidRDefault="00E95E51">
      <w:pPr>
        <w:widowControl/>
        <w:jc w:val="left"/>
        <w:rPr>
          <w:rFonts w:ascii="楷体" w:eastAsia="楷体" w:hAnsi="楷体"/>
          <w:b/>
          <w:szCs w:val="21"/>
        </w:rPr>
      </w:pPr>
    </w:p>
    <w:p w:rsidR="00E95E51" w:rsidRDefault="00502CD5">
      <w:pPr>
        <w:pStyle w:val="a"/>
        <w:numPr>
          <w:ilvl w:val="0"/>
          <w:numId w:val="7"/>
        </w:numPr>
        <w:adjustRightInd w:val="0"/>
        <w:snapToGrid w:val="0"/>
        <w:spacing w:before="0" w:after="0" w:line="24" w:lineRule="atLeast"/>
        <w:ind w:rightChars="0" w:right="0"/>
        <w:rPr>
          <w:rFonts w:ascii="楷体" w:eastAsia="楷体" w:hAnsi="楷体"/>
          <w:sz w:val="28"/>
          <w:szCs w:val="28"/>
        </w:rPr>
      </w:pPr>
      <w:r>
        <w:rPr>
          <w:rFonts w:ascii="楷体" w:eastAsia="楷体" w:hAnsi="楷体" w:hint="eastAsia"/>
          <w:sz w:val="28"/>
          <w:szCs w:val="28"/>
        </w:rPr>
        <w:t>不同市场</w:t>
      </w:r>
      <w:proofErr w:type="gramStart"/>
      <w:r>
        <w:rPr>
          <w:rFonts w:ascii="楷体" w:eastAsia="楷体" w:hAnsi="楷体" w:hint="eastAsia"/>
          <w:sz w:val="28"/>
          <w:szCs w:val="28"/>
        </w:rPr>
        <w:t>下固收</w:t>
      </w:r>
      <w:proofErr w:type="gramEnd"/>
      <w:r>
        <w:rPr>
          <w:rFonts w:ascii="楷体" w:eastAsia="楷体" w:hAnsi="楷体" w:hint="eastAsia"/>
          <w:sz w:val="28"/>
          <w:szCs w:val="28"/>
        </w:rPr>
        <w:t>+表现</w:t>
      </w:r>
    </w:p>
    <w:p w:rsidR="00E95E51" w:rsidRDefault="00E95E51">
      <w:pPr>
        <w:pStyle w:val="a"/>
        <w:numPr>
          <w:ilvl w:val="0"/>
          <w:numId w:val="0"/>
        </w:numPr>
        <w:adjustRightInd w:val="0"/>
        <w:snapToGrid w:val="0"/>
        <w:spacing w:before="0" w:after="0" w:line="24" w:lineRule="atLeast"/>
        <w:ind w:rightChars="0" w:right="0"/>
        <w:rPr>
          <w:rFonts w:ascii="楷体" w:eastAsia="楷体" w:hAnsi="楷体"/>
          <w:sz w:val="28"/>
          <w:szCs w:val="28"/>
        </w:rPr>
      </w:pPr>
    </w:p>
    <w:p w:rsidR="00E95E51" w:rsidRDefault="00502CD5">
      <w:pPr>
        <w:pStyle w:val="a"/>
        <w:numPr>
          <w:ilvl w:val="0"/>
          <w:numId w:val="0"/>
        </w:numPr>
        <w:adjustRightInd w:val="0"/>
        <w:snapToGrid w:val="0"/>
        <w:spacing w:before="0" w:after="0" w:line="24" w:lineRule="atLeast"/>
        <w:ind w:rightChars="0" w:right="0"/>
        <w:rPr>
          <w:rFonts w:ascii="楷体" w:eastAsia="楷体" w:hAnsi="楷体"/>
          <w:sz w:val="24"/>
          <w:szCs w:val="28"/>
        </w:rPr>
      </w:pPr>
      <w:r>
        <w:rPr>
          <w:rFonts w:ascii="楷体" w:eastAsia="楷体" w:hAnsi="楷体"/>
          <w:sz w:val="24"/>
          <w:szCs w:val="28"/>
        </w:rPr>
        <w:t>2.1.</w:t>
      </w:r>
      <w:r>
        <w:rPr>
          <w:rFonts w:ascii="楷体" w:eastAsia="楷体" w:hAnsi="楷体" w:hint="eastAsia"/>
          <w:sz w:val="24"/>
          <w:szCs w:val="28"/>
        </w:rPr>
        <w:t>长时间维度不同</w:t>
      </w:r>
      <w:proofErr w:type="gramStart"/>
      <w:r>
        <w:rPr>
          <w:rFonts w:ascii="楷体" w:eastAsia="楷体" w:hAnsi="楷体" w:hint="eastAsia"/>
          <w:sz w:val="24"/>
          <w:szCs w:val="28"/>
        </w:rPr>
        <w:t>类型固收</w:t>
      </w:r>
      <w:proofErr w:type="gramEnd"/>
      <w:r>
        <w:rPr>
          <w:rFonts w:ascii="楷体" w:eastAsia="楷体" w:hAnsi="楷体" w:hint="eastAsia"/>
          <w:sz w:val="24"/>
          <w:szCs w:val="28"/>
        </w:rPr>
        <w:t>+收益、风险比较</w:t>
      </w:r>
    </w:p>
    <w:p w:rsidR="00E95E51" w:rsidRDefault="00502CD5">
      <w:pPr>
        <w:pStyle w:val="afd"/>
        <w:ind w:firstLine="420"/>
        <w:rPr>
          <w:rFonts w:ascii="楷体" w:eastAsia="楷体" w:hAnsi="楷体"/>
        </w:rPr>
      </w:pPr>
      <w:r>
        <w:rPr>
          <w:rFonts w:ascii="楷体" w:eastAsia="楷体" w:hAnsi="楷体" w:hint="eastAsia"/>
        </w:rPr>
        <w:t>如图表4、5可见，从近5年较长时间维度的整体风险收益比情况来看，均衡</w:t>
      </w:r>
      <w:proofErr w:type="gramStart"/>
      <w:r>
        <w:rPr>
          <w:rFonts w:ascii="楷体" w:eastAsia="楷体" w:hAnsi="楷体" w:hint="eastAsia"/>
        </w:rPr>
        <w:t>型固收</w:t>
      </w:r>
      <w:proofErr w:type="gramEnd"/>
      <w:r>
        <w:rPr>
          <w:rFonts w:ascii="楷体" w:eastAsia="楷体" w:hAnsi="楷体" w:hint="eastAsia"/>
        </w:rPr>
        <w:t>+、</w:t>
      </w:r>
      <w:proofErr w:type="gramStart"/>
      <w:r>
        <w:rPr>
          <w:rFonts w:ascii="楷体" w:eastAsia="楷体" w:hAnsi="楷体" w:hint="eastAsia"/>
        </w:rPr>
        <w:t>偏债型固收</w:t>
      </w:r>
      <w:proofErr w:type="gramEnd"/>
      <w:r>
        <w:rPr>
          <w:rFonts w:ascii="楷体" w:eastAsia="楷体" w:hAnsi="楷体" w:hint="eastAsia"/>
        </w:rPr>
        <w:t>+是相对更好的投资类别。由于均衡型、</w:t>
      </w:r>
      <w:proofErr w:type="gramStart"/>
      <w:r>
        <w:rPr>
          <w:rFonts w:ascii="楷体" w:eastAsia="楷体" w:hAnsi="楷体" w:hint="eastAsia"/>
        </w:rPr>
        <w:t>偏债型固收</w:t>
      </w:r>
      <w:proofErr w:type="gramEnd"/>
      <w:r>
        <w:rPr>
          <w:rFonts w:ascii="楷体" w:eastAsia="楷体" w:hAnsi="楷体" w:hint="eastAsia"/>
        </w:rPr>
        <w:t>+持有体验感较好（波动及回撤较低、夏普较高），因此对于风险偏好较低，但又想获取较纯</w:t>
      </w:r>
      <w:proofErr w:type="gramStart"/>
      <w:r>
        <w:rPr>
          <w:rFonts w:ascii="楷体" w:eastAsia="楷体" w:hAnsi="楷体" w:hint="eastAsia"/>
        </w:rPr>
        <w:t>债基金</w:t>
      </w:r>
      <w:proofErr w:type="gramEnd"/>
      <w:r>
        <w:rPr>
          <w:rFonts w:ascii="楷体" w:eastAsia="楷体" w:hAnsi="楷体" w:hint="eastAsia"/>
        </w:rPr>
        <w:t>有一定超额收益的投资者来说，是较好的选择标的。</w:t>
      </w:r>
    </w:p>
    <w:p w:rsidR="00E95E51" w:rsidRDefault="00E95E51">
      <w:pPr>
        <w:pStyle w:val="afd"/>
        <w:ind w:firstLine="420"/>
        <w:rPr>
          <w:rFonts w:ascii="楷体" w:eastAsia="楷体" w:hAnsi="楷体"/>
        </w:rPr>
      </w:pPr>
    </w:p>
    <w:tbl>
      <w:tblPr>
        <w:tblW w:w="9996" w:type="dxa"/>
        <w:jc w:val="center"/>
        <w:tblCellMar>
          <w:left w:w="0" w:type="dxa"/>
          <w:right w:w="0" w:type="dxa"/>
        </w:tblCellMar>
        <w:tblLook w:val="04A0" w:firstRow="1" w:lastRow="0" w:firstColumn="1" w:lastColumn="0" w:noHBand="0" w:noVBand="1"/>
      </w:tblPr>
      <w:tblGrid>
        <w:gridCol w:w="9996"/>
      </w:tblGrid>
      <w:tr w:rsidR="00E95E51">
        <w:trPr>
          <w:trHeight w:val="304"/>
          <w:jc w:val="center"/>
        </w:trPr>
        <w:tc>
          <w:tcPr>
            <w:tcW w:w="9996"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图表5：近</w:t>
            </w:r>
            <w:proofErr w:type="gramStart"/>
            <w:r>
              <w:rPr>
                <w:rFonts w:ascii="楷体" w:eastAsia="楷体" w:hAnsi="楷体" w:hint="eastAsia"/>
                <w:b/>
                <w:bCs/>
                <w:color w:val="000000" w:themeColor="text1"/>
              </w:rPr>
              <w:t>5年固收</w:t>
            </w:r>
            <w:proofErr w:type="gramEnd"/>
            <w:r>
              <w:rPr>
                <w:rFonts w:ascii="楷体" w:eastAsia="楷体" w:hAnsi="楷体" w:hint="eastAsia"/>
                <w:b/>
                <w:bCs/>
                <w:color w:val="000000" w:themeColor="text1"/>
              </w:rPr>
              <w:t>+分类与万得二级分类对比</w:t>
            </w:r>
          </w:p>
        </w:tc>
      </w:tr>
      <w:tr w:rsidR="00E95E51">
        <w:tblPrEx>
          <w:tblCellMar>
            <w:left w:w="108" w:type="dxa"/>
            <w:right w:w="108" w:type="dxa"/>
          </w:tblCellMar>
        </w:tblPrEx>
        <w:trPr>
          <w:trHeight w:val="3259"/>
          <w:jc w:val="center"/>
        </w:trPr>
        <w:tc>
          <w:tcPr>
            <w:tcW w:w="9996"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left" w:pos="600"/>
              </w:tabs>
              <w:adjustRightInd w:val="0"/>
              <w:snapToGrid w:val="0"/>
              <w:spacing w:line="24" w:lineRule="atLeast"/>
              <w:jc w:val="center"/>
              <w:rPr>
                <w:rFonts w:ascii="楷体" w:eastAsia="楷体" w:hAnsi="楷体"/>
                <w:color w:val="000000" w:themeColor="text1"/>
                <w:sz w:val="18"/>
                <w:szCs w:val="18"/>
              </w:rPr>
            </w:pPr>
            <w:r>
              <w:rPr>
                <w:noProof/>
              </w:rPr>
              <w:drawing>
                <wp:inline distT="0" distB="0" distL="0" distR="0">
                  <wp:extent cx="6203950" cy="2661920"/>
                  <wp:effectExtent l="0" t="0" r="6350" b="50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E95E51">
        <w:trPr>
          <w:jc w:val="center"/>
        </w:trPr>
        <w:tc>
          <w:tcPr>
            <w:tcW w:w="9996" w:type="dxa"/>
            <w:tcBorders>
              <w:top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研究整理；数据截止日：202</w:t>
            </w:r>
            <w:r>
              <w:rPr>
                <w:rFonts w:ascii="楷体" w:eastAsia="楷体" w:hAnsi="楷体"/>
                <w:color w:val="000000" w:themeColor="text1"/>
                <w:sz w:val="18"/>
                <w:szCs w:val="18"/>
              </w:rPr>
              <w:t>1</w:t>
            </w:r>
            <w:r>
              <w:rPr>
                <w:rFonts w:ascii="楷体" w:eastAsia="楷体" w:hAnsi="楷体" w:hint="eastAsia"/>
                <w:color w:val="000000" w:themeColor="text1"/>
                <w:sz w:val="18"/>
                <w:szCs w:val="18"/>
              </w:rPr>
              <w:t>年</w:t>
            </w:r>
            <w:r>
              <w:rPr>
                <w:rFonts w:ascii="楷体" w:eastAsia="楷体" w:hAnsi="楷体"/>
                <w:color w:val="000000" w:themeColor="text1"/>
                <w:sz w:val="18"/>
                <w:szCs w:val="18"/>
              </w:rPr>
              <w:t>3</w:t>
            </w:r>
            <w:r>
              <w:rPr>
                <w:rFonts w:ascii="楷体" w:eastAsia="楷体" w:hAnsi="楷体" w:hint="eastAsia"/>
                <w:color w:val="000000" w:themeColor="text1"/>
                <w:sz w:val="18"/>
                <w:szCs w:val="18"/>
              </w:rPr>
              <w:t>月</w:t>
            </w:r>
            <w:r>
              <w:rPr>
                <w:rFonts w:ascii="楷体" w:eastAsia="楷体" w:hAnsi="楷体"/>
                <w:color w:val="000000" w:themeColor="text1"/>
                <w:sz w:val="18"/>
                <w:szCs w:val="18"/>
              </w:rPr>
              <w:t>31</w:t>
            </w:r>
            <w:r>
              <w:rPr>
                <w:rFonts w:ascii="楷体" w:eastAsia="楷体" w:hAnsi="楷体" w:hint="eastAsia"/>
                <w:color w:val="000000" w:themeColor="text1"/>
                <w:sz w:val="18"/>
                <w:szCs w:val="18"/>
              </w:rPr>
              <w:t>日；</w:t>
            </w:r>
          </w:p>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p w:rsidR="00E95E51" w:rsidRDefault="00E95E51">
            <w:pPr>
              <w:spacing w:line="24" w:lineRule="atLeast"/>
              <w:rPr>
                <w:rFonts w:ascii="楷体" w:eastAsia="楷体" w:hAnsi="楷体"/>
                <w:color w:val="000000" w:themeColor="text1"/>
                <w:sz w:val="18"/>
                <w:szCs w:val="18"/>
              </w:rPr>
            </w:pPr>
          </w:p>
        </w:tc>
      </w:tr>
    </w:tbl>
    <w:p w:rsidR="00E95E51" w:rsidRDefault="00502CD5">
      <w:pPr>
        <w:pStyle w:val="a"/>
        <w:numPr>
          <w:ilvl w:val="0"/>
          <w:numId w:val="0"/>
        </w:numPr>
        <w:adjustRightInd w:val="0"/>
        <w:snapToGrid w:val="0"/>
        <w:spacing w:before="0" w:after="0" w:line="24" w:lineRule="atLeast"/>
        <w:ind w:rightChars="0" w:right="0"/>
        <w:rPr>
          <w:rFonts w:ascii="楷体" w:eastAsia="楷体" w:hAnsi="楷体"/>
          <w:sz w:val="24"/>
          <w:szCs w:val="28"/>
        </w:rPr>
      </w:pPr>
      <w:r>
        <w:rPr>
          <w:rFonts w:ascii="楷体" w:eastAsia="楷体" w:hAnsi="楷体"/>
          <w:sz w:val="24"/>
          <w:szCs w:val="28"/>
        </w:rPr>
        <w:lastRenderedPageBreak/>
        <w:t>2.2.</w:t>
      </w:r>
      <w:r>
        <w:rPr>
          <w:rFonts w:ascii="楷体" w:eastAsia="楷体" w:hAnsi="楷体" w:hint="eastAsia"/>
          <w:sz w:val="24"/>
          <w:szCs w:val="28"/>
        </w:rPr>
        <w:t>不同市场下</w:t>
      </w:r>
      <w:proofErr w:type="gramStart"/>
      <w:r>
        <w:rPr>
          <w:rFonts w:ascii="楷体" w:eastAsia="楷体" w:hAnsi="楷体" w:hint="eastAsia"/>
          <w:sz w:val="24"/>
          <w:szCs w:val="28"/>
        </w:rPr>
        <w:t>不同固收</w:t>
      </w:r>
      <w:proofErr w:type="gramEnd"/>
      <w:r>
        <w:rPr>
          <w:rFonts w:ascii="楷体" w:eastAsia="楷体" w:hAnsi="楷体" w:hint="eastAsia"/>
          <w:sz w:val="24"/>
          <w:szCs w:val="28"/>
        </w:rPr>
        <w:t>+收益、风险比较</w:t>
      </w:r>
    </w:p>
    <w:p w:rsidR="00E95E51" w:rsidRDefault="00E95E51">
      <w:pPr>
        <w:pStyle w:val="a"/>
        <w:numPr>
          <w:ilvl w:val="0"/>
          <w:numId w:val="0"/>
        </w:numPr>
        <w:adjustRightInd w:val="0"/>
        <w:snapToGrid w:val="0"/>
        <w:spacing w:before="0" w:after="0" w:line="24" w:lineRule="atLeast"/>
        <w:ind w:rightChars="0" w:right="0"/>
        <w:rPr>
          <w:rFonts w:ascii="楷体" w:eastAsia="楷体" w:hAnsi="楷体"/>
          <w:sz w:val="24"/>
          <w:szCs w:val="28"/>
        </w:rPr>
      </w:pPr>
    </w:p>
    <w:p w:rsidR="00E95E51" w:rsidRDefault="00502CD5">
      <w:pPr>
        <w:pStyle w:val="afd"/>
        <w:ind w:firstLine="420"/>
        <w:rPr>
          <w:rFonts w:ascii="楷体" w:eastAsia="楷体" w:hAnsi="楷体"/>
        </w:rPr>
      </w:pPr>
      <w:r>
        <w:rPr>
          <w:rFonts w:ascii="楷体" w:eastAsia="楷体" w:hAnsi="楷体" w:hint="eastAsia"/>
        </w:rPr>
        <w:t>我们对股票、债券市场的牛熊市进行了划分：</w:t>
      </w:r>
    </w:p>
    <w:p w:rsidR="00E95E51" w:rsidRDefault="00E95E51">
      <w:pPr>
        <w:pStyle w:val="afd"/>
        <w:ind w:firstLine="420"/>
        <w:rPr>
          <w:rFonts w:ascii="楷体" w:eastAsia="楷体" w:hAnsi="楷体"/>
        </w:rPr>
      </w:pPr>
    </w:p>
    <w:p w:rsidR="00E95E51" w:rsidRDefault="00502CD5">
      <w:pPr>
        <w:widowControl/>
        <w:spacing w:after="240"/>
        <w:ind w:firstLine="420"/>
        <w:rPr>
          <w:rFonts w:ascii="楷体" w:eastAsia="楷体" w:hAnsi="楷体"/>
          <w:bCs/>
          <w:szCs w:val="21"/>
        </w:rPr>
      </w:pPr>
      <w:r>
        <w:rPr>
          <w:rFonts w:ascii="楷体" w:eastAsia="楷体" w:hAnsi="楷体" w:hint="eastAsia"/>
          <w:b/>
        </w:rPr>
        <w:t>股票：</w:t>
      </w:r>
      <w:r>
        <w:rPr>
          <w:rFonts w:ascii="楷体" w:eastAsia="楷体" w:hAnsi="楷体" w:hint="eastAsia"/>
          <w:bCs/>
          <w:szCs w:val="21"/>
        </w:rPr>
        <w:t>将A股市场划分为整体牛市、价值牛市、成长牛市、熊市、震荡市这5个阶段。其中，除了传统的整体牛市、熊市、震荡市的划分外，考虑到历史上在多个时间阶段存在成长风格或价值风格相对占优的现象，我们根据不同类型指数的表现，划分出了价值牛市和成长牛市。具体划分标准如下：</w:t>
      </w:r>
    </w:p>
    <w:p w:rsidR="00E95E51" w:rsidRDefault="00502CD5">
      <w:pPr>
        <w:pStyle w:val="afe"/>
        <w:widowControl/>
        <w:numPr>
          <w:ilvl w:val="0"/>
          <w:numId w:val="8"/>
        </w:numPr>
        <w:ind w:leftChars="200" w:left="840" w:firstLineChars="0"/>
        <w:rPr>
          <w:rFonts w:ascii="楷体" w:eastAsia="楷体" w:hAnsi="楷体"/>
        </w:rPr>
      </w:pPr>
      <w:r>
        <w:rPr>
          <w:rFonts w:ascii="楷体" w:eastAsia="楷体" w:hAnsi="楷体" w:hint="eastAsia"/>
        </w:rPr>
        <w:t>整体牛市：沪深</w:t>
      </w:r>
      <w:r>
        <w:rPr>
          <w:rFonts w:ascii="楷体" w:eastAsia="楷体" w:hAnsi="楷体"/>
        </w:rPr>
        <w:t>300</w:t>
      </w:r>
      <w:r>
        <w:rPr>
          <w:rFonts w:ascii="楷体" w:eastAsia="楷体" w:hAnsi="楷体" w:hint="eastAsia"/>
        </w:rPr>
        <w:t>、中证</w:t>
      </w:r>
      <w:r>
        <w:rPr>
          <w:rFonts w:ascii="楷体" w:eastAsia="楷体" w:hAnsi="楷体"/>
        </w:rPr>
        <w:t>500</w:t>
      </w:r>
      <w:r>
        <w:rPr>
          <w:rFonts w:ascii="楷体" w:eastAsia="楷体" w:hAnsi="楷体" w:hint="eastAsia"/>
        </w:rPr>
        <w:t>、创业板指连续上涨超过</w:t>
      </w:r>
      <w:r>
        <w:rPr>
          <w:rFonts w:ascii="楷体" w:eastAsia="楷体" w:hAnsi="楷体"/>
        </w:rPr>
        <w:t>20%</w:t>
      </w:r>
      <w:r>
        <w:rPr>
          <w:rFonts w:ascii="楷体" w:eastAsia="楷体" w:hAnsi="楷体" w:hint="eastAsia"/>
        </w:rPr>
        <w:t>；</w:t>
      </w:r>
      <w:r>
        <w:rPr>
          <w:rFonts w:ascii="楷体" w:eastAsia="楷体" w:hAnsi="楷体"/>
        </w:rPr>
        <w:t xml:space="preserve"> </w:t>
      </w:r>
    </w:p>
    <w:p w:rsidR="00E95E51" w:rsidRDefault="00502CD5">
      <w:pPr>
        <w:pStyle w:val="afe"/>
        <w:widowControl/>
        <w:numPr>
          <w:ilvl w:val="0"/>
          <w:numId w:val="8"/>
        </w:numPr>
        <w:ind w:leftChars="200" w:left="840" w:firstLineChars="0"/>
        <w:rPr>
          <w:rFonts w:ascii="楷体" w:eastAsia="楷体" w:hAnsi="楷体"/>
        </w:rPr>
      </w:pPr>
      <w:r>
        <w:rPr>
          <w:rFonts w:ascii="楷体" w:eastAsia="楷体" w:hAnsi="楷体" w:hint="eastAsia"/>
        </w:rPr>
        <w:t>价值牛市：沪深</w:t>
      </w:r>
      <w:r>
        <w:rPr>
          <w:rFonts w:ascii="楷体" w:eastAsia="楷体" w:hAnsi="楷体"/>
        </w:rPr>
        <w:t>300</w:t>
      </w:r>
      <w:r>
        <w:rPr>
          <w:rFonts w:ascii="楷体" w:eastAsia="楷体" w:hAnsi="楷体" w:hint="eastAsia"/>
        </w:rPr>
        <w:t>连续上涨超过</w:t>
      </w:r>
      <w:r>
        <w:rPr>
          <w:rFonts w:ascii="楷体" w:eastAsia="楷体" w:hAnsi="楷体"/>
        </w:rPr>
        <w:t>20%</w:t>
      </w:r>
      <w:r>
        <w:rPr>
          <w:rFonts w:ascii="楷体" w:eastAsia="楷体" w:hAnsi="楷体" w:hint="eastAsia"/>
        </w:rPr>
        <w:t>，且其他指数上涨不超过</w:t>
      </w:r>
      <w:r>
        <w:rPr>
          <w:rFonts w:ascii="楷体" w:eastAsia="楷体" w:hAnsi="楷体"/>
        </w:rPr>
        <w:t>20%</w:t>
      </w:r>
      <w:r>
        <w:rPr>
          <w:rFonts w:ascii="楷体" w:eastAsia="楷体" w:hAnsi="楷体" w:hint="eastAsia"/>
        </w:rPr>
        <w:t>或者下跌；</w:t>
      </w:r>
    </w:p>
    <w:p w:rsidR="00E95E51" w:rsidRDefault="00502CD5">
      <w:pPr>
        <w:pStyle w:val="afe"/>
        <w:widowControl/>
        <w:numPr>
          <w:ilvl w:val="0"/>
          <w:numId w:val="8"/>
        </w:numPr>
        <w:ind w:leftChars="200" w:left="840" w:firstLineChars="0"/>
        <w:rPr>
          <w:rFonts w:ascii="楷体" w:eastAsia="楷体" w:hAnsi="楷体"/>
        </w:rPr>
      </w:pPr>
      <w:r>
        <w:rPr>
          <w:rFonts w:ascii="楷体" w:eastAsia="楷体" w:hAnsi="楷体" w:hint="eastAsia"/>
        </w:rPr>
        <w:t>成长牛市：创业板指连续上涨超过</w:t>
      </w:r>
      <w:r>
        <w:rPr>
          <w:rFonts w:ascii="楷体" w:eastAsia="楷体" w:hAnsi="楷体"/>
        </w:rPr>
        <w:t>20%</w:t>
      </w:r>
      <w:r>
        <w:rPr>
          <w:rFonts w:ascii="楷体" w:eastAsia="楷体" w:hAnsi="楷体" w:hint="eastAsia"/>
        </w:rPr>
        <w:t>，且其他指数上涨不超过</w:t>
      </w:r>
      <w:r>
        <w:rPr>
          <w:rFonts w:ascii="楷体" w:eastAsia="楷体" w:hAnsi="楷体"/>
        </w:rPr>
        <w:t>20%</w:t>
      </w:r>
      <w:r>
        <w:rPr>
          <w:rFonts w:ascii="楷体" w:eastAsia="楷体" w:hAnsi="楷体" w:hint="eastAsia"/>
        </w:rPr>
        <w:t>或者下跌；</w:t>
      </w:r>
    </w:p>
    <w:p w:rsidR="00E95E51" w:rsidRDefault="00502CD5">
      <w:pPr>
        <w:pStyle w:val="afe"/>
        <w:widowControl/>
        <w:numPr>
          <w:ilvl w:val="0"/>
          <w:numId w:val="8"/>
        </w:numPr>
        <w:ind w:leftChars="200" w:left="840" w:firstLineChars="0"/>
        <w:rPr>
          <w:rFonts w:ascii="楷体" w:eastAsia="楷体" w:hAnsi="楷体"/>
          <w:b/>
          <w:bCs/>
          <w:sz w:val="24"/>
          <w:szCs w:val="24"/>
        </w:rPr>
      </w:pPr>
      <w:r>
        <w:rPr>
          <w:rFonts w:ascii="楷体" w:eastAsia="楷体" w:hAnsi="楷体" w:hint="eastAsia"/>
        </w:rPr>
        <w:t>熊市：沪深</w:t>
      </w:r>
      <w:r>
        <w:rPr>
          <w:rFonts w:ascii="楷体" w:eastAsia="楷体" w:hAnsi="楷体"/>
        </w:rPr>
        <w:t>300</w:t>
      </w:r>
      <w:r>
        <w:rPr>
          <w:rFonts w:ascii="楷体" w:eastAsia="楷体" w:hAnsi="楷体" w:hint="eastAsia"/>
        </w:rPr>
        <w:t>、中证</w:t>
      </w:r>
      <w:r>
        <w:rPr>
          <w:rFonts w:ascii="楷体" w:eastAsia="楷体" w:hAnsi="楷体"/>
        </w:rPr>
        <w:t>500</w:t>
      </w:r>
      <w:r>
        <w:rPr>
          <w:rFonts w:ascii="楷体" w:eastAsia="楷体" w:hAnsi="楷体" w:hint="eastAsia"/>
        </w:rPr>
        <w:t>、创业板指连续下跌超过</w:t>
      </w:r>
      <w:r>
        <w:rPr>
          <w:rFonts w:ascii="楷体" w:eastAsia="楷体" w:hAnsi="楷体"/>
        </w:rPr>
        <w:t>20%</w:t>
      </w:r>
      <w:r>
        <w:rPr>
          <w:rFonts w:ascii="楷体" w:eastAsia="楷体" w:hAnsi="楷体" w:hint="eastAsia"/>
        </w:rPr>
        <w:t>；</w:t>
      </w:r>
    </w:p>
    <w:p w:rsidR="00E95E51" w:rsidRDefault="00502CD5">
      <w:pPr>
        <w:pStyle w:val="afe"/>
        <w:widowControl/>
        <w:numPr>
          <w:ilvl w:val="0"/>
          <w:numId w:val="8"/>
        </w:numPr>
        <w:spacing w:after="240"/>
        <w:ind w:leftChars="200" w:left="840" w:firstLineChars="0"/>
        <w:rPr>
          <w:rFonts w:ascii="楷体" w:eastAsia="楷体" w:hAnsi="楷体"/>
          <w:b/>
          <w:bCs/>
          <w:sz w:val="24"/>
          <w:szCs w:val="24"/>
        </w:rPr>
      </w:pPr>
      <w:r>
        <w:rPr>
          <w:rFonts w:ascii="楷体" w:eastAsia="楷体" w:hAnsi="楷体" w:hint="eastAsia"/>
        </w:rPr>
        <w:t>震荡市：牛市、价值牛市、成长牛市、熊市之外的市场行情。</w:t>
      </w:r>
    </w:p>
    <w:p w:rsidR="00E95E51" w:rsidRDefault="00502CD5">
      <w:pPr>
        <w:pStyle w:val="afd"/>
        <w:ind w:firstLineChars="231" w:firstLine="487"/>
        <w:rPr>
          <w:rFonts w:ascii="楷体" w:eastAsia="楷体" w:hAnsi="楷体"/>
        </w:rPr>
      </w:pPr>
      <w:r>
        <w:rPr>
          <w:rFonts w:ascii="楷体" w:eastAsia="楷体" w:hAnsi="楷体" w:hint="eastAsia"/>
          <w:b/>
        </w:rPr>
        <w:t>债券：</w:t>
      </w:r>
      <w:r>
        <w:rPr>
          <w:rFonts w:ascii="楷体" w:eastAsia="楷体" w:hAnsi="楷体" w:hint="eastAsia"/>
        </w:rPr>
        <w:t>把债券市场细分为牛市初期、牛市中期、牛市末期、熊市初期、</w:t>
      </w:r>
      <w:proofErr w:type="gramStart"/>
      <w:r>
        <w:rPr>
          <w:rFonts w:ascii="楷体" w:eastAsia="楷体" w:hAnsi="楷体" w:hint="eastAsia"/>
        </w:rPr>
        <w:t>熊市中期</w:t>
      </w:r>
      <w:proofErr w:type="gramEnd"/>
      <w:r>
        <w:rPr>
          <w:rFonts w:ascii="楷体" w:eastAsia="楷体" w:hAnsi="楷体" w:hint="eastAsia"/>
        </w:rPr>
        <w:t>和熊市末期这六种市场走势。考虑到相对于中期，初期和末期的持续时间相对较短，在判断出一个过往的牛市或熊市之后，我们以初期：中期：末期 = 1:3:1的比例进行细分。</w:t>
      </w:r>
    </w:p>
    <w:p w:rsidR="00E95E51" w:rsidRDefault="00E95E51">
      <w:pPr>
        <w:pStyle w:val="afd"/>
        <w:ind w:firstLine="420"/>
        <w:rPr>
          <w:rFonts w:ascii="楷体" w:eastAsia="楷体" w:hAnsi="楷体"/>
        </w:rPr>
      </w:pPr>
    </w:p>
    <w:p w:rsidR="00E95E51" w:rsidRDefault="00502CD5">
      <w:pPr>
        <w:widowControl/>
        <w:spacing w:after="240"/>
        <w:ind w:firstLineChars="200" w:firstLine="422"/>
        <w:rPr>
          <w:rFonts w:ascii="楷体" w:eastAsia="楷体" w:hAnsi="楷体"/>
          <w:bCs/>
          <w:szCs w:val="21"/>
        </w:rPr>
      </w:pPr>
      <w:r>
        <w:rPr>
          <w:rFonts w:ascii="楷体" w:eastAsia="楷体" w:hAnsi="楷体" w:hint="eastAsia"/>
          <w:b/>
        </w:rPr>
        <w:t>综合股票、债券细分市场，我们以股票市场为主轴，将市场划分为：震荡市/牛市、牛市/牛市、熊市/牛市、价值牛市/牛市、价值牛市/熊市、震荡市/熊市和成长牛市/熊市</w:t>
      </w:r>
      <w:r>
        <w:rPr>
          <w:rFonts w:ascii="楷体" w:eastAsia="楷体" w:hAnsi="楷体" w:hint="eastAsia"/>
        </w:rPr>
        <w:t>，</w:t>
      </w:r>
      <w:r>
        <w:rPr>
          <w:rFonts w:ascii="楷体" w:eastAsia="楷体" w:hAnsi="楷体"/>
        </w:rPr>
        <w:t>并将</w:t>
      </w:r>
      <w:r>
        <w:rPr>
          <w:rFonts w:ascii="楷体" w:eastAsia="楷体" w:hAnsi="楷体" w:hint="eastAsia"/>
        </w:rPr>
        <w:t>A股</w:t>
      </w:r>
      <w:r>
        <w:rPr>
          <w:rFonts w:ascii="楷体" w:eastAsia="楷体" w:hAnsi="楷体"/>
        </w:rPr>
        <w:t>和债券两个市场</w:t>
      </w:r>
      <w:r>
        <w:rPr>
          <w:rFonts w:ascii="楷体" w:eastAsia="楷体" w:hAnsi="楷体" w:hint="eastAsia"/>
        </w:rPr>
        <w:t>的</w:t>
      </w:r>
      <w:r>
        <w:rPr>
          <w:rFonts w:ascii="楷体" w:eastAsia="楷体" w:hAnsi="楷体"/>
        </w:rPr>
        <w:t>阶段特征</w:t>
      </w:r>
      <w:r>
        <w:rPr>
          <w:rFonts w:ascii="楷体" w:eastAsia="楷体" w:hAnsi="楷体" w:hint="eastAsia"/>
        </w:rPr>
        <w:t>综合</w:t>
      </w:r>
      <w:r>
        <w:rPr>
          <w:rFonts w:ascii="楷体" w:eastAsia="楷体" w:hAnsi="楷体"/>
        </w:rPr>
        <w:t>起来对市场周期进行描述</w:t>
      </w:r>
      <w:r>
        <w:rPr>
          <w:rFonts w:ascii="楷体" w:eastAsia="楷体" w:hAnsi="楷体" w:hint="eastAsia"/>
        </w:rPr>
        <w:t>。具体细分如图表</w:t>
      </w:r>
      <w:r>
        <w:rPr>
          <w:rFonts w:ascii="楷体" w:eastAsia="楷体" w:hAnsi="楷体"/>
        </w:rPr>
        <w:t>6</w:t>
      </w:r>
      <w:r>
        <w:rPr>
          <w:rFonts w:ascii="楷体" w:eastAsia="楷体" w:hAnsi="楷体" w:hint="eastAsia"/>
        </w:rPr>
        <w:t>所示。更为详细的划分方法可参见我们前期的报告《基构通资产配置及基金组合研究 - 不同投资策略在资产配置中的比较研究 - 资产配置专题》。</w:t>
      </w:r>
    </w:p>
    <w:tbl>
      <w:tblPr>
        <w:tblW w:w="6498" w:type="dxa"/>
        <w:jc w:val="center"/>
        <w:tblCellMar>
          <w:left w:w="0" w:type="dxa"/>
          <w:right w:w="0" w:type="dxa"/>
        </w:tblCellMar>
        <w:tblLook w:val="04A0" w:firstRow="1" w:lastRow="0" w:firstColumn="1" w:lastColumn="0" w:noHBand="0" w:noVBand="1"/>
      </w:tblPr>
      <w:tblGrid>
        <w:gridCol w:w="6498"/>
      </w:tblGrid>
      <w:tr w:rsidR="00E95E51">
        <w:trPr>
          <w:trHeight w:val="304"/>
          <w:jc w:val="center"/>
        </w:trPr>
        <w:tc>
          <w:tcPr>
            <w:tcW w:w="6498"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szCs w:val="21"/>
              </w:rPr>
            </w:pPr>
            <w:r>
              <w:rPr>
                <w:rFonts w:ascii="楷体" w:eastAsia="楷体" w:hAnsi="楷体" w:hint="eastAsia"/>
                <w:b/>
                <w:bCs/>
                <w:color w:val="000000" w:themeColor="text1"/>
                <w:szCs w:val="21"/>
              </w:rPr>
              <w:t>图表</w:t>
            </w:r>
            <w:r>
              <w:rPr>
                <w:rFonts w:ascii="楷体" w:eastAsia="楷体" w:hAnsi="楷体"/>
                <w:b/>
                <w:bCs/>
                <w:color w:val="000000" w:themeColor="text1"/>
                <w:szCs w:val="21"/>
              </w:rPr>
              <w:t>6</w:t>
            </w:r>
            <w:r>
              <w:rPr>
                <w:rFonts w:ascii="楷体" w:eastAsia="楷体" w:hAnsi="楷体" w:hint="eastAsia"/>
                <w:b/>
                <w:bCs/>
                <w:color w:val="000000" w:themeColor="text1"/>
                <w:szCs w:val="21"/>
              </w:rPr>
              <w:t>：市场细分</w:t>
            </w:r>
          </w:p>
        </w:tc>
      </w:tr>
      <w:tr w:rsidR="00E95E51">
        <w:trPr>
          <w:trHeight w:val="1140"/>
          <w:jc w:val="center"/>
        </w:trPr>
        <w:tc>
          <w:tcPr>
            <w:tcW w:w="6498" w:type="dxa"/>
            <w:tcBorders>
              <w:top w:val="single" w:sz="12" w:space="0" w:color="767171" w:themeColor="background2" w:themeShade="80"/>
              <w:bottom w:val="single" w:sz="12" w:space="0" w:color="767171" w:themeColor="background2" w:themeShade="80"/>
            </w:tcBorders>
            <w:vAlign w:val="center"/>
          </w:tcPr>
          <w:tbl>
            <w:tblPr>
              <w:tblStyle w:val="41"/>
              <w:tblW w:w="0" w:type="auto"/>
              <w:jc w:val="center"/>
              <w:tblLook w:val="04A0" w:firstRow="1" w:lastRow="0" w:firstColumn="1" w:lastColumn="0" w:noHBand="0" w:noVBand="1"/>
            </w:tblPr>
            <w:tblGrid>
              <w:gridCol w:w="1016"/>
              <w:gridCol w:w="1016"/>
              <w:gridCol w:w="1140"/>
              <w:gridCol w:w="1180"/>
              <w:gridCol w:w="1256"/>
            </w:tblGrid>
            <w:tr w:rsidR="00E95E51" w:rsidTr="00E95E51">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E95E51" w:rsidRDefault="00502CD5">
                  <w:pPr>
                    <w:jc w:val="center"/>
                    <w:rPr>
                      <w:rFonts w:ascii="楷体" w:eastAsia="楷体" w:hAnsi="楷体" w:cs="宋体"/>
                      <w:b w:val="0"/>
                      <w:bCs w:val="0"/>
                      <w:color w:val="000000"/>
                      <w:sz w:val="16"/>
                      <w:szCs w:val="16"/>
                    </w:rPr>
                  </w:pPr>
                  <w:r>
                    <w:rPr>
                      <w:rFonts w:ascii="楷体" w:eastAsia="楷体" w:hAnsi="楷体" w:cs="宋体" w:hint="eastAsia"/>
                      <w:color w:val="000000"/>
                      <w:sz w:val="16"/>
                      <w:szCs w:val="16"/>
                    </w:rPr>
                    <w:t>起始日</w:t>
                  </w:r>
                </w:p>
              </w:tc>
              <w:tc>
                <w:tcPr>
                  <w:tcW w:w="0" w:type="auto"/>
                  <w:noWrap/>
                </w:tcPr>
                <w:p w:rsidR="00E95E51" w:rsidRDefault="00502CD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宋体"/>
                      <w:b w:val="0"/>
                      <w:bCs w:val="0"/>
                      <w:color w:val="000000"/>
                      <w:sz w:val="16"/>
                      <w:szCs w:val="16"/>
                    </w:rPr>
                  </w:pPr>
                  <w:r>
                    <w:rPr>
                      <w:rFonts w:ascii="楷体" w:eastAsia="楷体" w:hAnsi="楷体" w:cs="宋体" w:hint="eastAsia"/>
                      <w:color w:val="000000"/>
                      <w:sz w:val="16"/>
                      <w:szCs w:val="16"/>
                    </w:rPr>
                    <w:t>结束日</w:t>
                  </w:r>
                </w:p>
              </w:tc>
              <w:tc>
                <w:tcPr>
                  <w:tcW w:w="0" w:type="auto"/>
                  <w:noWrap/>
                </w:tcPr>
                <w:p w:rsidR="00E95E51" w:rsidRDefault="00502CD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宋体"/>
                      <w:b w:val="0"/>
                      <w:bCs w:val="0"/>
                      <w:color w:val="000000"/>
                      <w:sz w:val="16"/>
                      <w:szCs w:val="16"/>
                    </w:rPr>
                  </w:pPr>
                  <w:r>
                    <w:rPr>
                      <w:rFonts w:ascii="楷体" w:eastAsia="楷体" w:hAnsi="楷体" w:cs="宋体" w:hint="eastAsia"/>
                      <w:color w:val="000000"/>
                      <w:sz w:val="16"/>
                      <w:szCs w:val="16"/>
                    </w:rPr>
                    <w:t>A股市场划分</w:t>
                  </w:r>
                </w:p>
              </w:tc>
              <w:tc>
                <w:tcPr>
                  <w:tcW w:w="0" w:type="auto"/>
                  <w:noWrap/>
                </w:tcPr>
                <w:p w:rsidR="00E95E51" w:rsidRDefault="00502CD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宋体"/>
                      <w:b w:val="0"/>
                      <w:bCs w:val="0"/>
                      <w:color w:val="000000"/>
                      <w:sz w:val="16"/>
                      <w:szCs w:val="16"/>
                    </w:rPr>
                  </w:pPr>
                  <w:r>
                    <w:rPr>
                      <w:rFonts w:ascii="楷体" w:eastAsia="楷体" w:hAnsi="楷体" w:cs="宋体" w:hint="eastAsia"/>
                      <w:color w:val="000000"/>
                      <w:sz w:val="16"/>
                      <w:szCs w:val="16"/>
                    </w:rPr>
                    <w:t>债券市场划分</w:t>
                  </w:r>
                </w:p>
              </w:tc>
              <w:tc>
                <w:tcPr>
                  <w:tcW w:w="0" w:type="auto"/>
                  <w:noWrap/>
                </w:tcPr>
                <w:p w:rsidR="00E95E51" w:rsidRDefault="00502CD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宋体"/>
                      <w:b w:val="0"/>
                      <w:bCs w:val="0"/>
                      <w:color w:val="000000"/>
                      <w:sz w:val="16"/>
                      <w:szCs w:val="16"/>
                    </w:rPr>
                  </w:pPr>
                  <w:r>
                    <w:rPr>
                      <w:rFonts w:ascii="楷体" w:eastAsia="楷体" w:hAnsi="楷体" w:cs="宋体" w:hint="eastAsia"/>
                      <w:color w:val="000000"/>
                      <w:sz w:val="16"/>
                      <w:szCs w:val="16"/>
                    </w:rPr>
                    <w:t>市场性质</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2014/02/19</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2014/07/28</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震荡市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震荡市/牛市</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2014/07/29</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2015/06/15</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牛市/牛市</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2015/06/16</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2016/02/01</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熊市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熊市/牛市</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2016/02/02</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2016/10/28</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价值牛市</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价值牛市/牛市</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2016/10/29</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2018/01/25</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价值牛市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熊市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价值牛市/熊市</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2018/01/26</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2019/01/03</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熊市</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熊市/牛市</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2019/01/04</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2019/04/19</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牛市/牛市</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2019/04/20</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2019/12/04</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震荡市</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震荡市/牛市</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2019/12/05</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2020/07/13</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牛市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牛市/牛市</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2020/07/14</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2020/12/11</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震荡市</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熊市</w:t>
                  </w:r>
                </w:p>
              </w:tc>
              <w:tc>
                <w:tcPr>
                  <w:tcW w:w="0" w:type="auto"/>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震荡市/熊市</w:t>
                  </w:r>
                </w:p>
              </w:tc>
            </w:tr>
            <w:tr w:rsidR="00E95E51" w:rsidTr="00E95E51">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noWrap/>
                </w:tcPr>
                <w:p w:rsidR="00E95E51" w:rsidRDefault="00502CD5">
                  <w:pPr>
                    <w:jc w:val="center"/>
                    <w:rPr>
                      <w:rFonts w:ascii="楷体" w:eastAsia="楷体" w:hAnsi="楷体" w:cs="宋体"/>
                      <w:bCs w:val="0"/>
                      <w:sz w:val="16"/>
                      <w:szCs w:val="16"/>
                    </w:rPr>
                  </w:pPr>
                  <w:r>
                    <w:rPr>
                      <w:rFonts w:ascii="楷体" w:eastAsia="楷体" w:hAnsi="楷体" w:cs="宋体" w:hint="eastAsia"/>
                      <w:b w:val="0"/>
                      <w:sz w:val="16"/>
                      <w:szCs w:val="16"/>
                    </w:rPr>
                    <w:t>2020/12/12</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2021/02/10</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成长牛市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sz w:val="16"/>
                      <w:szCs w:val="16"/>
                    </w:rPr>
                  </w:pPr>
                  <w:r>
                    <w:rPr>
                      <w:rFonts w:ascii="楷体" w:eastAsia="楷体" w:hAnsi="楷体" w:cs="宋体" w:hint="eastAsia"/>
                      <w:sz w:val="16"/>
                      <w:szCs w:val="16"/>
                    </w:rPr>
                    <w:t>熊市</w:t>
                  </w:r>
                </w:p>
              </w:tc>
              <w:tc>
                <w:tcPr>
                  <w:tcW w:w="0" w:type="auto"/>
                  <w:shd w:val="clear" w:color="auto" w:fill="F2F2F2" w:themeFill="background1" w:themeFillShade="F2"/>
                  <w:noWrap/>
                </w:tcPr>
                <w:p w:rsidR="00E95E51" w:rsidRDefault="00502CD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sz w:val="16"/>
                      <w:szCs w:val="16"/>
                    </w:rPr>
                  </w:pPr>
                  <w:r>
                    <w:rPr>
                      <w:rFonts w:ascii="楷体" w:eastAsia="楷体" w:hAnsi="楷体" w:cs="宋体" w:hint="eastAsia"/>
                      <w:color w:val="000000"/>
                      <w:sz w:val="16"/>
                      <w:szCs w:val="16"/>
                    </w:rPr>
                    <w:t>成长牛市/熊市</w:t>
                  </w:r>
                </w:p>
              </w:tc>
            </w:tr>
          </w:tbl>
          <w:p w:rsidR="00E95E51" w:rsidRDefault="00E95E51">
            <w:pPr>
              <w:tabs>
                <w:tab w:val="left" w:pos="600"/>
              </w:tabs>
              <w:adjustRightInd w:val="0"/>
              <w:snapToGrid w:val="0"/>
              <w:spacing w:line="24" w:lineRule="atLeast"/>
              <w:rPr>
                <w:rFonts w:ascii="楷体" w:eastAsia="楷体" w:hAnsi="楷体"/>
                <w:color w:val="000000" w:themeColor="text1"/>
                <w:sz w:val="18"/>
                <w:szCs w:val="18"/>
              </w:rPr>
            </w:pPr>
          </w:p>
        </w:tc>
      </w:tr>
      <w:tr w:rsidR="00E95E51">
        <w:trPr>
          <w:trHeight w:val="971"/>
          <w:jc w:val="center"/>
        </w:trPr>
        <w:tc>
          <w:tcPr>
            <w:tcW w:w="6498" w:type="dxa"/>
            <w:tcBorders>
              <w:top w:val="single" w:sz="12" w:space="0" w:color="767171" w:themeColor="background2" w:themeShade="80"/>
              <w:bottom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w:t>
            </w:r>
            <w:r>
              <w:rPr>
                <w:rFonts w:ascii="楷体" w:eastAsia="楷体" w:hAnsi="楷体"/>
                <w:color w:val="000000" w:themeColor="text1"/>
                <w:sz w:val="18"/>
                <w:szCs w:val="18"/>
              </w:rPr>
              <w:t xml:space="preserve">ind, </w:t>
            </w:r>
            <w:r>
              <w:rPr>
                <w:rFonts w:ascii="楷体" w:eastAsia="楷体" w:hAnsi="楷体" w:hint="eastAsia"/>
                <w:color w:val="000000" w:themeColor="text1"/>
                <w:sz w:val="18"/>
                <w:szCs w:val="18"/>
              </w:rPr>
              <w:t>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研究；数据区间：20</w:t>
            </w:r>
            <w:r>
              <w:rPr>
                <w:rFonts w:ascii="楷体" w:eastAsia="楷体" w:hAnsi="楷体"/>
                <w:color w:val="000000" w:themeColor="text1"/>
                <w:sz w:val="18"/>
                <w:szCs w:val="18"/>
              </w:rPr>
              <w:t>14</w:t>
            </w:r>
            <w:r>
              <w:rPr>
                <w:rFonts w:ascii="楷体" w:eastAsia="楷体" w:hAnsi="楷体" w:hint="eastAsia"/>
                <w:color w:val="000000" w:themeColor="text1"/>
                <w:sz w:val="18"/>
                <w:szCs w:val="18"/>
              </w:rPr>
              <w:t>.</w:t>
            </w:r>
            <w:r>
              <w:rPr>
                <w:rFonts w:ascii="楷体" w:eastAsia="楷体" w:hAnsi="楷体"/>
                <w:color w:val="000000" w:themeColor="text1"/>
                <w:sz w:val="18"/>
                <w:szCs w:val="18"/>
              </w:rPr>
              <w:t>02</w:t>
            </w:r>
            <w:r>
              <w:rPr>
                <w:rFonts w:ascii="楷体" w:eastAsia="楷体" w:hAnsi="楷体" w:hint="eastAsia"/>
                <w:color w:val="000000" w:themeColor="text1"/>
                <w:sz w:val="18"/>
                <w:szCs w:val="18"/>
              </w:rPr>
              <w:t>.</w:t>
            </w:r>
            <w:r>
              <w:rPr>
                <w:rFonts w:ascii="楷体" w:eastAsia="楷体" w:hAnsi="楷体"/>
                <w:color w:val="000000" w:themeColor="text1"/>
                <w:sz w:val="18"/>
                <w:szCs w:val="18"/>
              </w:rPr>
              <w:t>19-2021.02.10</w:t>
            </w:r>
          </w:p>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tc>
      </w:tr>
    </w:tbl>
    <w:p w:rsidR="00E95E51" w:rsidRDefault="00E95E51">
      <w:pPr>
        <w:pStyle w:val="afd"/>
        <w:ind w:firstLine="420"/>
        <w:rPr>
          <w:rFonts w:ascii="楷体" w:eastAsia="楷体" w:hAnsi="楷体"/>
        </w:rPr>
      </w:pPr>
    </w:p>
    <w:p w:rsidR="00E95E51" w:rsidRDefault="00E95E51">
      <w:pPr>
        <w:pStyle w:val="afd"/>
        <w:ind w:firstLine="420"/>
        <w:rPr>
          <w:rFonts w:ascii="楷体" w:eastAsia="楷体" w:hAnsi="楷体"/>
        </w:rPr>
      </w:pPr>
    </w:p>
    <w:p w:rsidR="00E95E51" w:rsidRDefault="00E95E51">
      <w:pPr>
        <w:pStyle w:val="afd"/>
        <w:ind w:firstLine="420"/>
        <w:rPr>
          <w:rFonts w:ascii="楷体" w:eastAsia="楷体" w:hAnsi="楷体"/>
        </w:rPr>
      </w:pPr>
    </w:p>
    <w:p w:rsidR="00E95E51" w:rsidRDefault="00E95E51">
      <w:pPr>
        <w:pStyle w:val="afd"/>
        <w:ind w:firstLine="420"/>
        <w:rPr>
          <w:rFonts w:ascii="楷体" w:eastAsia="楷体" w:hAnsi="楷体"/>
        </w:rPr>
      </w:pPr>
    </w:p>
    <w:p w:rsidR="00E95E51" w:rsidRDefault="00502CD5">
      <w:pPr>
        <w:pStyle w:val="afd"/>
        <w:ind w:firstLine="402"/>
        <w:rPr>
          <w:rFonts w:ascii="楷体" w:eastAsia="楷体" w:hAnsi="楷体"/>
        </w:rPr>
      </w:pPr>
      <w:r>
        <w:rPr>
          <w:rFonts w:ascii="楷体" w:eastAsia="楷体" w:hAnsi="楷体" w:hint="eastAsia"/>
          <w:b/>
          <w:sz w:val="20"/>
          <w:szCs w:val="20"/>
        </w:rPr>
        <w:lastRenderedPageBreak/>
        <w:t>我们选取了8类公募基金（包括</w:t>
      </w:r>
      <w:proofErr w:type="gramStart"/>
      <w:r>
        <w:rPr>
          <w:rFonts w:ascii="楷体" w:eastAsia="楷体" w:hAnsi="楷体" w:hint="eastAsia"/>
          <w:b/>
          <w:sz w:val="20"/>
          <w:szCs w:val="20"/>
        </w:rPr>
        <w:t>3类固收</w:t>
      </w:r>
      <w:proofErr w:type="gramEnd"/>
      <w:r>
        <w:rPr>
          <w:rFonts w:ascii="楷体" w:eastAsia="楷体" w:hAnsi="楷体" w:hint="eastAsia"/>
          <w:b/>
          <w:sz w:val="20"/>
          <w:szCs w:val="20"/>
        </w:rPr>
        <w:t>+）以及8段不同的股债市场进行分析。</w:t>
      </w:r>
      <w:r>
        <w:rPr>
          <w:rFonts w:ascii="楷体" w:eastAsia="楷体" w:hAnsi="楷体" w:hint="eastAsia"/>
        </w:rPr>
        <w:t>从不同市场的收益率表现来看，</w:t>
      </w:r>
      <w:r>
        <w:rPr>
          <w:rFonts w:ascii="楷体" w:eastAsia="楷体" w:hAnsi="楷体" w:hint="eastAsia"/>
          <w:sz w:val="20"/>
          <w:szCs w:val="20"/>
        </w:rPr>
        <w:t>我们选择了8类公</w:t>
      </w:r>
      <w:proofErr w:type="gramStart"/>
      <w:r>
        <w:rPr>
          <w:rFonts w:ascii="楷体" w:eastAsia="楷体" w:hAnsi="楷体" w:hint="eastAsia"/>
          <w:sz w:val="20"/>
          <w:szCs w:val="20"/>
        </w:rPr>
        <w:t>募基金</w:t>
      </w:r>
      <w:proofErr w:type="gramEnd"/>
      <w:r>
        <w:rPr>
          <w:rFonts w:ascii="楷体" w:eastAsia="楷体" w:hAnsi="楷体" w:hint="eastAsia"/>
          <w:sz w:val="20"/>
          <w:szCs w:val="20"/>
        </w:rPr>
        <w:t>指数进行对比。</w:t>
      </w:r>
      <w:proofErr w:type="gramStart"/>
      <w:r>
        <w:rPr>
          <w:rFonts w:ascii="楷体" w:eastAsia="楷体" w:hAnsi="楷体" w:hint="eastAsia"/>
        </w:rPr>
        <w:t>偏股型固收</w:t>
      </w:r>
      <w:proofErr w:type="gramEnd"/>
      <w:r>
        <w:rPr>
          <w:rFonts w:ascii="楷体" w:eastAsia="楷体" w:hAnsi="楷体" w:hint="eastAsia"/>
        </w:rPr>
        <w:t>+进攻性较强，除股票全面熊市表现落后外，其余市况下表现排名都在3、4名。均衡</w:t>
      </w:r>
      <w:proofErr w:type="gramStart"/>
      <w:r>
        <w:rPr>
          <w:rFonts w:ascii="楷体" w:eastAsia="楷体" w:hAnsi="楷体" w:hint="eastAsia"/>
        </w:rPr>
        <w:t>型固收</w:t>
      </w:r>
      <w:proofErr w:type="gramEnd"/>
      <w:r>
        <w:rPr>
          <w:rFonts w:ascii="楷体" w:eastAsia="楷体" w:hAnsi="楷体" w:hint="eastAsia"/>
        </w:rPr>
        <w:t>+基金表现较为稳定，在两次震荡市中表现第1，在8段不同市场下排名均值3</w:t>
      </w:r>
      <w:r>
        <w:rPr>
          <w:rFonts w:ascii="楷体" w:eastAsia="楷体" w:hAnsi="楷体"/>
        </w:rPr>
        <w:t>.4</w:t>
      </w:r>
      <w:r>
        <w:rPr>
          <w:rFonts w:ascii="楷体" w:eastAsia="楷体" w:hAnsi="楷体" w:hint="eastAsia"/>
        </w:rPr>
        <w:t>，仅次于股票基金的3</w:t>
      </w:r>
      <w:r>
        <w:rPr>
          <w:rFonts w:ascii="楷体" w:eastAsia="楷体" w:hAnsi="楷体"/>
        </w:rPr>
        <w:t>.3</w:t>
      </w:r>
      <w:r>
        <w:rPr>
          <w:rFonts w:ascii="楷体" w:eastAsia="楷体" w:hAnsi="楷体" w:hint="eastAsia"/>
        </w:rPr>
        <w:t>。均衡</w:t>
      </w:r>
      <w:proofErr w:type="gramStart"/>
      <w:r>
        <w:rPr>
          <w:rFonts w:ascii="楷体" w:eastAsia="楷体" w:hAnsi="楷体" w:hint="eastAsia"/>
        </w:rPr>
        <w:t>型固收</w:t>
      </w:r>
      <w:proofErr w:type="gramEnd"/>
      <w:r>
        <w:rPr>
          <w:rFonts w:ascii="楷体" w:eastAsia="楷体" w:hAnsi="楷体" w:hint="eastAsia"/>
        </w:rPr>
        <w:t>+基金在价值牛市中跑</w:t>
      </w:r>
      <w:proofErr w:type="gramStart"/>
      <w:r>
        <w:rPr>
          <w:rFonts w:ascii="楷体" w:eastAsia="楷体" w:hAnsi="楷体" w:hint="eastAsia"/>
        </w:rPr>
        <w:t>赢偏股型固收</w:t>
      </w:r>
      <w:proofErr w:type="gramEnd"/>
      <w:r>
        <w:rPr>
          <w:rFonts w:ascii="楷体" w:eastAsia="楷体" w:hAnsi="楷体" w:hint="eastAsia"/>
        </w:rPr>
        <w:t>+、在成长牛市中跑</w:t>
      </w:r>
      <w:proofErr w:type="gramStart"/>
      <w:r>
        <w:rPr>
          <w:rFonts w:ascii="楷体" w:eastAsia="楷体" w:hAnsi="楷体" w:hint="eastAsia"/>
        </w:rPr>
        <w:t>输偏股型</w:t>
      </w:r>
      <w:proofErr w:type="gramEnd"/>
      <w:r>
        <w:rPr>
          <w:rFonts w:ascii="楷体" w:eastAsia="楷体" w:hAnsi="楷体" w:hint="eastAsia"/>
        </w:rPr>
        <w:t>+，说明其整体持股风格更偏价值。</w:t>
      </w:r>
      <w:proofErr w:type="gramStart"/>
      <w:r>
        <w:rPr>
          <w:rFonts w:ascii="楷体" w:eastAsia="楷体" w:hAnsi="楷体" w:hint="eastAsia"/>
        </w:rPr>
        <w:t>偏债型固收</w:t>
      </w:r>
      <w:proofErr w:type="gramEnd"/>
      <w:r>
        <w:rPr>
          <w:rFonts w:ascii="楷体" w:eastAsia="楷体" w:hAnsi="楷体" w:hint="eastAsia"/>
        </w:rPr>
        <w:t>+收益较为稳定，在每个市场环境中都能</w:t>
      </w:r>
      <w:proofErr w:type="gramStart"/>
      <w:r>
        <w:rPr>
          <w:rFonts w:ascii="楷体" w:eastAsia="楷体" w:hAnsi="楷体" w:hint="eastAsia"/>
        </w:rPr>
        <w:t>保持正</w:t>
      </w:r>
      <w:proofErr w:type="gramEnd"/>
      <w:r>
        <w:rPr>
          <w:rFonts w:ascii="楷体" w:eastAsia="楷体" w:hAnsi="楷体" w:hint="eastAsia"/>
        </w:rPr>
        <w:t>收益，但进攻性较弱。</w:t>
      </w:r>
    </w:p>
    <w:p w:rsidR="00E95E51" w:rsidRDefault="00E95E51">
      <w:pPr>
        <w:pStyle w:val="afd"/>
        <w:ind w:firstLineChars="0" w:firstLine="0"/>
        <w:rPr>
          <w:rFonts w:ascii="楷体" w:eastAsia="楷体" w:hAnsi="楷体"/>
        </w:rPr>
      </w:pPr>
    </w:p>
    <w:tbl>
      <w:tblPr>
        <w:tblW w:w="9854" w:type="dxa"/>
        <w:jc w:val="center"/>
        <w:tblCellMar>
          <w:left w:w="0" w:type="dxa"/>
          <w:right w:w="0" w:type="dxa"/>
        </w:tblCellMar>
        <w:tblLook w:val="04A0" w:firstRow="1" w:lastRow="0" w:firstColumn="1" w:lastColumn="0" w:noHBand="0" w:noVBand="1"/>
      </w:tblPr>
      <w:tblGrid>
        <w:gridCol w:w="11109"/>
      </w:tblGrid>
      <w:tr w:rsidR="00E95E51">
        <w:trPr>
          <w:trHeight w:val="304"/>
          <w:jc w:val="center"/>
        </w:trPr>
        <w:tc>
          <w:tcPr>
            <w:tcW w:w="9854"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图表7：不同市场下不同类型基金收益率</w:t>
            </w:r>
          </w:p>
        </w:tc>
      </w:tr>
      <w:tr w:rsidR="00E95E51">
        <w:tblPrEx>
          <w:tblCellMar>
            <w:left w:w="108" w:type="dxa"/>
            <w:right w:w="108" w:type="dxa"/>
          </w:tblCellMar>
        </w:tblPrEx>
        <w:trPr>
          <w:trHeight w:val="2970"/>
          <w:jc w:val="center"/>
        </w:trPr>
        <w:tc>
          <w:tcPr>
            <w:tcW w:w="9854" w:type="dxa"/>
            <w:tcBorders>
              <w:top w:val="single" w:sz="12" w:space="0" w:color="767171" w:themeColor="background2" w:themeShade="80"/>
              <w:bottom w:val="single" w:sz="12" w:space="0" w:color="767171" w:themeColor="background2" w:themeShade="80"/>
            </w:tcBorders>
            <w:vAlign w:val="center"/>
          </w:tcPr>
          <w:tbl>
            <w:tblPr>
              <w:tblW w:w="0" w:type="auto"/>
              <w:tblLook w:val="04A0" w:firstRow="1" w:lastRow="0" w:firstColumn="1" w:lastColumn="0" w:noHBand="0" w:noVBand="1"/>
            </w:tblPr>
            <w:tblGrid>
              <w:gridCol w:w="1016"/>
              <w:gridCol w:w="1016"/>
              <w:gridCol w:w="1256"/>
              <w:gridCol w:w="859"/>
              <w:gridCol w:w="859"/>
              <w:gridCol w:w="1100"/>
              <w:gridCol w:w="859"/>
              <w:gridCol w:w="859"/>
              <w:gridCol w:w="1100"/>
              <w:gridCol w:w="1100"/>
              <w:gridCol w:w="859"/>
            </w:tblGrid>
            <w:tr w:rsidR="00E95E51">
              <w:trPr>
                <w:trHeight w:val="270"/>
              </w:trPr>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起始日</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结束日</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市场性质</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股票基金</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转</w:t>
                  </w:r>
                  <w:proofErr w:type="gramStart"/>
                  <w:r>
                    <w:rPr>
                      <w:rFonts w:ascii="楷体" w:eastAsia="楷体" w:hAnsi="楷体" w:cs="宋体" w:hint="eastAsia"/>
                      <w:b/>
                      <w:bCs/>
                      <w:color w:val="FFFFFF"/>
                      <w:kern w:val="0"/>
                      <w:sz w:val="16"/>
                      <w:szCs w:val="18"/>
                    </w:rPr>
                    <w:t>债基金</w:t>
                  </w:r>
                  <w:proofErr w:type="gramEnd"/>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proofErr w:type="gramStart"/>
                  <w:r>
                    <w:rPr>
                      <w:rFonts w:ascii="楷体" w:eastAsia="楷体" w:hAnsi="楷体" w:cs="宋体" w:hint="eastAsia"/>
                      <w:b/>
                      <w:bCs/>
                      <w:color w:val="FFFFFF"/>
                      <w:kern w:val="0"/>
                      <w:sz w:val="16"/>
                      <w:szCs w:val="18"/>
                    </w:rPr>
                    <w:t>偏股型固收</w:t>
                  </w:r>
                  <w:proofErr w:type="gramEnd"/>
                  <w:r>
                    <w:rPr>
                      <w:rFonts w:ascii="楷体" w:eastAsia="楷体" w:hAnsi="楷体" w:cs="宋体" w:hint="eastAsia"/>
                      <w:b/>
                      <w:bCs/>
                      <w:color w:val="FFFFFF"/>
                      <w:kern w:val="0"/>
                      <w:sz w:val="16"/>
                      <w:szCs w:val="18"/>
                    </w:rPr>
                    <w:t>+</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proofErr w:type="gramStart"/>
                  <w:r>
                    <w:rPr>
                      <w:rFonts w:ascii="楷体" w:eastAsia="楷体" w:hAnsi="楷体" w:cs="宋体" w:hint="eastAsia"/>
                      <w:b/>
                      <w:bCs/>
                      <w:color w:val="FFFFFF"/>
                      <w:kern w:val="0"/>
                      <w:sz w:val="16"/>
                      <w:szCs w:val="18"/>
                    </w:rPr>
                    <w:t>二级债基</w:t>
                  </w:r>
                  <w:proofErr w:type="gramEnd"/>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proofErr w:type="gramStart"/>
                  <w:r>
                    <w:rPr>
                      <w:rFonts w:ascii="楷体" w:eastAsia="楷体" w:hAnsi="楷体" w:cs="宋体" w:hint="eastAsia"/>
                      <w:b/>
                      <w:bCs/>
                      <w:color w:val="FFFFFF"/>
                      <w:kern w:val="0"/>
                      <w:sz w:val="16"/>
                      <w:szCs w:val="18"/>
                    </w:rPr>
                    <w:t>偏债混合</w:t>
                  </w:r>
                  <w:proofErr w:type="gramEnd"/>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均衡</w:t>
                  </w:r>
                  <w:proofErr w:type="gramStart"/>
                  <w:r>
                    <w:rPr>
                      <w:rFonts w:ascii="楷体" w:eastAsia="楷体" w:hAnsi="楷体" w:cs="宋体" w:hint="eastAsia"/>
                      <w:b/>
                      <w:bCs/>
                      <w:color w:val="FFFFFF"/>
                      <w:kern w:val="0"/>
                      <w:sz w:val="16"/>
                      <w:szCs w:val="18"/>
                    </w:rPr>
                    <w:t>型固收</w:t>
                  </w:r>
                  <w:proofErr w:type="gramEnd"/>
                  <w:r>
                    <w:rPr>
                      <w:rFonts w:ascii="楷体" w:eastAsia="楷体" w:hAnsi="楷体" w:cs="宋体" w:hint="eastAsia"/>
                      <w:b/>
                      <w:bCs/>
                      <w:color w:val="FFFFFF"/>
                      <w:kern w:val="0"/>
                      <w:sz w:val="16"/>
                      <w:szCs w:val="18"/>
                    </w:rPr>
                    <w:t>+</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proofErr w:type="gramStart"/>
                  <w:r>
                    <w:rPr>
                      <w:rFonts w:ascii="楷体" w:eastAsia="楷体" w:hAnsi="楷体" w:cs="宋体" w:hint="eastAsia"/>
                      <w:b/>
                      <w:bCs/>
                      <w:color w:val="FFFFFF"/>
                      <w:kern w:val="0"/>
                      <w:sz w:val="16"/>
                      <w:szCs w:val="18"/>
                    </w:rPr>
                    <w:t>偏债型固收</w:t>
                  </w:r>
                  <w:proofErr w:type="gramEnd"/>
                  <w:r>
                    <w:rPr>
                      <w:rFonts w:ascii="楷体" w:eastAsia="楷体" w:hAnsi="楷体" w:cs="宋体" w:hint="eastAsia"/>
                      <w:b/>
                      <w:bCs/>
                      <w:color w:val="FFFFFF"/>
                      <w:kern w:val="0"/>
                      <w:sz w:val="16"/>
                      <w:szCs w:val="18"/>
                    </w:rPr>
                    <w:t>+</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proofErr w:type="gramStart"/>
                  <w:r>
                    <w:rPr>
                      <w:rFonts w:ascii="楷体" w:eastAsia="楷体" w:hAnsi="楷体" w:cs="宋体" w:hint="eastAsia"/>
                      <w:b/>
                      <w:bCs/>
                      <w:color w:val="FFFFFF"/>
                      <w:kern w:val="0"/>
                      <w:sz w:val="16"/>
                      <w:szCs w:val="18"/>
                    </w:rPr>
                    <w:t>纯债基金</w:t>
                  </w:r>
                  <w:proofErr w:type="gramEnd"/>
                </w:p>
              </w:tc>
            </w:tr>
            <w:tr w:rsidR="00E95E51">
              <w:trPr>
                <w:trHeight w:val="26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2016/4/1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2016/10/28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价值牛市/牛市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7.13%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0.14%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2.60%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2.46%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2.71%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2.62%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2.53%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2.49%</w:t>
                  </w:r>
                </w:p>
              </w:tc>
            </w:tr>
            <w:tr w:rsidR="00E95E51">
              <w:trPr>
                <w:trHeight w:val="26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2016/10/29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2018/1/25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价值牛市/熊市</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11.56%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1.36%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4.85%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1.65%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4.27%</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5.74%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4.10%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0.36%</w:t>
                  </w:r>
                </w:p>
              </w:tc>
            </w:tr>
            <w:tr w:rsidR="00E95E51">
              <w:trPr>
                <w:trHeight w:val="26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2018/1/26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2019/1/3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熊市/牛市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-27.83%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-16.42%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-4.51%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-1.85%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-1.07%</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-0.36%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1.89%</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5.91%</w:t>
                  </w:r>
                </w:p>
              </w:tc>
            </w:tr>
            <w:tr w:rsidR="00E95E51">
              <w:trPr>
                <w:trHeight w:val="26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2019/1/4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2019/4/19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牛市/牛市</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36.15%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19.76%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8.21%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6.04%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5.62%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4.24%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2.37%</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0.76%</w:t>
                  </w:r>
                </w:p>
              </w:tc>
            </w:tr>
            <w:tr w:rsidR="00E95E51">
              <w:trPr>
                <w:trHeight w:val="26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2019/4/20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2019/12/4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震荡市/牛市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-0.26%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-0.52%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2.71%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1.33%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2.76%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3.01%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2.82%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2.33%</w:t>
                  </w:r>
                </w:p>
              </w:tc>
            </w:tr>
            <w:tr w:rsidR="00E95E51">
              <w:trPr>
                <w:trHeight w:val="26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2019/12/5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2020/7/13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牛市/牛市</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40.78%</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24.84%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12.72%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10.13%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10.76%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9.56%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4.83%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1.29%</w:t>
                  </w:r>
                </w:p>
              </w:tc>
            </w:tr>
            <w:tr w:rsidR="00E95E51">
              <w:trPr>
                <w:trHeight w:val="26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2020/7/14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2020/12/11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震荡市/熊市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0.86%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-2.52%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2.45%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-0.33%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2.53%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2.91%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1.77%</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0.90%</w:t>
                  </w:r>
                </w:p>
              </w:tc>
            </w:tr>
            <w:tr w:rsidR="00E95E51">
              <w:trPr>
                <w:trHeight w:val="26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2020/12/12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2021/2/10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成长牛市/熊市</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19.77%</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8.35%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5.86%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3.58%</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4.77%</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4.45%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2.69%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0.57%</w:t>
                  </w:r>
                </w:p>
              </w:tc>
            </w:tr>
          </w:tbl>
          <w:p w:rsidR="00E95E51" w:rsidRDefault="00E95E51">
            <w:pPr>
              <w:tabs>
                <w:tab w:val="left" w:pos="600"/>
              </w:tabs>
              <w:adjustRightInd w:val="0"/>
              <w:snapToGrid w:val="0"/>
              <w:spacing w:line="24" w:lineRule="atLeast"/>
              <w:jc w:val="center"/>
              <w:rPr>
                <w:rFonts w:ascii="楷体" w:eastAsia="楷体" w:hAnsi="楷体"/>
                <w:color w:val="000000" w:themeColor="text1"/>
                <w:sz w:val="18"/>
                <w:szCs w:val="18"/>
              </w:rPr>
            </w:pPr>
          </w:p>
        </w:tc>
      </w:tr>
      <w:tr w:rsidR="00E95E51">
        <w:trPr>
          <w:jc w:val="center"/>
        </w:trPr>
        <w:tc>
          <w:tcPr>
            <w:tcW w:w="9854" w:type="dxa"/>
            <w:tcBorders>
              <w:top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研究整理；数据截止日：202</w:t>
            </w:r>
            <w:r>
              <w:rPr>
                <w:rFonts w:ascii="楷体" w:eastAsia="楷体" w:hAnsi="楷体"/>
                <w:color w:val="000000" w:themeColor="text1"/>
                <w:sz w:val="18"/>
                <w:szCs w:val="18"/>
              </w:rPr>
              <w:t>1</w:t>
            </w:r>
            <w:r>
              <w:rPr>
                <w:rFonts w:ascii="楷体" w:eastAsia="楷体" w:hAnsi="楷体" w:hint="eastAsia"/>
                <w:color w:val="000000" w:themeColor="text1"/>
                <w:sz w:val="18"/>
                <w:szCs w:val="18"/>
              </w:rPr>
              <w:t>年</w:t>
            </w:r>
            <w:r>
              <w:rPr>
                <w:rFonts w:ascii="楷体" w:eastAsia="楷体" w:hAnsi="楷体"/>
                <w:color w:val="000000" w:themeColor="text1"/>
                <w:sz w:val="18"/>
                <w:szCs w:val="18"/>
              </w:rPr>
              <w:t>2</w:t>
            </w:r>
            <w:r>
              <w:rPr>
                <w:rFonts w:ascii="楷体" w:eastAsia="楷体" w:hAnsi="楷体" w:hint="eastAsia"/>
                <w:color w:val="000000" w:themeColor="text1"/>
                <w:sz w:val="18"/>
                <w:szCs w:val="18"/>
              </w:rPr>
              <w:t>月</w:t>
            </w:r>
            <w:r>
              <w:rPr>
                <w:rFonts w:ascii="楷体" w:eastAsia="楷体" w:hAnsi="楷体"/>
                <w:color w:val="000000" w:themeColor="text1"/>
                <w:sz w:val="18"/>
                <w:szCs w:val="18"/>
              </w:rPr>
              <w:t>10</w:t>
            </w:r>
            <w:r>
              <w:rPr>
                <w:rFonts w:ascii="楷体" w:eastAsia="楷体" w:hAnsi="楷体" w:hint="eastAsia"/>
                <w:color w:val="000000" w:themeColor="text1"/>
                <w:sz w:val="18"/>
                <w:szCs w:val="18"/>
              </w:rPr>
              <w:t>日。</w:t>
            </w:r>
          </w:p>
        </w:tc>
      </w:tr>
    </w:tbl>
    <w:p w:rsidR="00E95E51" w:rsidRDefault="00E95E51">
      <w:pPr>
        <w:pStyle w:val="afd"/>
        <w:ind w:firstLineChars="0" w:firstLine="0"/>
        <w:rPr>
          <w:rFonts w:ascii="楷体" w:eastAsia="楷体" w:hAnsi="楷体"/>
        </w:rPr>
      </w:pPr>
    </w:p>
    <w:tbl>
      <w:tblPr>
        <w:tblW w:w="9854" w:type="dxa"/>
        <w:jc w:val="center"/>
        <w:tblCellMar>
          <w:left w:w="0" w:type="dxa"/>
          <w:right w:w="0" w:type="dxa"/>
        </w:tblCellMar>
        <w:tblLook w:val="04A0" w:firstRow="1" w:lastRow="0" w:firstColumn="1" w:lastColumn="0" w:noHBand="0" w:noVBand="1"/>
      </w:tblPr>
      <w:tblGrid>
        <w:gridCol w:w="11109"/>
      </w:tblGrid>
      <w:tr w:rsidR="00E95E51">
        <w:trPr>
          <w:trHeight w:val="304"/>
          <w:jc w:val="center"/>
        </w:trPr>
        <w:tc>
          <w:tcPr>
            <w:tcW w:w="9854"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图表8：不同市场下不同类型基金收益率排名</w:t>
            </w:r>
          </w:p>
        </w:tc>
      </w:tr>
      <w:tr w:rsidR="00E95E51">
        <w:tblPrEx>
          <w:tblCellMar>
            <w:left w:w="108" w:type="dxa"/>
            <w:right w:w="108" w:type="dxa"/>
          </w:tblCellMar>
        </w:tblPrEx>
        <w:trPr>
          <w:trHeight w:val="2970"/>
          <w:jc w:val="center"/>
        </w:trPr>
        <w:tc>
          <w:tcPr>
            <w:tcW w:w="9854" w:type="dxa"/>
            <w:tcBorders>
              <w:top w:val="single" w:sz="12" w:space="0" w:color="767171" w:themeColor="background2" w:themeShade="80"/>
              <w:bottom w:val="single" w:sz="12" w:space="0" w:color="767171" w:themeColor="background2" w:themeShade="80"/>
            </w:tcBorders>
            <w:vAlign w:val="center"/>
          </w:tcPr>
          <w:tbl>
            <w:tblPr>
              <w:tblW w:w="0" w:type="auto"/>
              <w:tblLook w:val="04A0" w:firstRow="1" w:lastRow="0" w:firstColumn="1" w:lastColumn="0" w:noHBand="0" w:noVBand="1"/>
            </w:tblPr>
            <w:tblGrid>
              <w:gridCol w:w="1016"/>
              <w:gridCol w:w="1016"/>
              <w:gridCol w:w="1256"/>
              <w:gridCol w:w="859"/>
              <w:gridCol w:w="859"/>
              <w:gridCol w:w="1100"/>
              <w:gridCol w:w="859"/>
              <w:gridCol w:w="859"/>
              <w:gridCol w:w="1100"/>
              <w:gridCol w:w="1100"/>
              <w:gridCol w:w="859"/>
            </w:tblGrid>
            <w:tr w:rsidR="00E95E51">
              <w:trPr>
                <w:trHeight w:val="270"/>
              </w:trPr>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起始日</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结束日</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市场性质</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股票基金</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转</w:t>
                  </w:r>
                  <w:proofErr w:type="gramStart"/>
                  <w:r>
                    <w:rPr>
                      <w:rFonts w:ascii="楷体" w:eastAsia="楷体" w:hAnsi="楷体" w:cs="宋体" w:hint="eastAsia"/>
                      <w:b/>
                      <w:bCs/>
                      <w:color w:val="FFFFFF"/>
                      <w:kern w:val="0"/>
                      <w:sz w:val="16"/>
                      <w:szCs w:val="16"/>
                    </w:rPr>
                    <w:t>债基金</w:t>
                  </w:r>
                  <w:proofErr w:type="gramEnd"/>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proofErr w:type="gramStart"/>
                  <w:r>
                    <w:rPr>
                      <w:rFonts w:ascii="楷体" w:eastAsia="楷体" w:hAnsi="楷体" w:cs="宋体" w:hint="eastAsia"/>
                      <w:b/>
                      <w:bCs/>
                      <w:color w:val="FFFFFF"/>
                      <w:kern w:val="0"/>
                      <w:sz w:val="16"/>
                      <w:szCs w:val="16"/>
                    </w:rPr>
                    <w:t>偏股型固收</w:t>
                  </w:r>
                  <w:proofErr w:type="gramEnd"/>
                  <w:r>
                    <w:rPr>
                      <w:rFonts w:ascii="楷体" w:eastAsia="楷体" w:hAnsi="楷体" w:cs="宋体" w:hint="eastAsia"/>
                      <w:b/>
                      <w:bCs/>
                      <w:color w:val="FFFFFF"/>
                      <w:kern w:val="0"/>
                      <w:sz w:val="16"/>
                      <w:szCs w:val="16"/>
                    </w:rPr>
                    <w:t>+</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proofErr w:type="gramStart"/>
                  <w:r>
                    <w:rPr>
                      <w:rFonts w:ascii="楷体" w:eastAsia="楷体" w:hAnsi="楷体" w:cs="宋体" w:hint="eastAsia"/>
                      <w:b/>
                      <w:bCs/>
                      <w:color w:val="FFFFFF"/>
                      <w:kern w:val="0"/>
                      <w:sz w:val="16"/>
                      <w:szCs w:val="16"/>
                    </w:rPr>
                    <w:t>二级债基</w:t>
                  </w:r>
                  <w:proofErr w:type="gramEnd"/>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proofErr w:type="gramStart"/>
                  <w:r>
                    <w:rPr>
                      <w:rFonts w:ascii="楷体" w:eastAsia="楷体" w:hAnsi="楷体" w:cs="宋体" w:hint="eastAsia"/>
                      <w:b/>
                      <w:bCs/>
                      <w:color w:val="FFFFFF"/>
                      <w:kern w:val="0"/>
                      <w:sz w:val="16"/>
                      <w:szCs w:val="16"/>
                    </w:rPr>
                    <w:t>偏债混合</w:t>
                  </w:r>
                  <w:proofErr w:type="gramEnd"/>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均衡</w:t>
                  </w:r>
                  <w:proofErr w:type="gramStart"/>
                  <w:r>
                    <w:rPr>
                      <w:rFonts w:ascii="楷体" w:eastAsia="楷体" w:hAnsi="楷体" w:cs="宋体" w:hint="eastAsia"/>
                      <w:b/>
                      <w:bCs/>
                      <w:color w:val="FFFFFF"/>
                      <w:kern w:val="0"/>
                      <w:sz w:val="16"/>
                      <w:szCs w:val="16"/>
                    </w:rPr>
                    <w:t>型固收</w:t>
                  </w:r>
                  <w:proofErr w:type="gramEnd"/>
                  <w:r>
                    <w:rPr>
                      <w:rFonts w:ascii="楷体" w:eastAsia="楷体" w:hAnsi="楷体" w:cs="宋体" w:hint="eastAsia"/>
                      <w:b/>
                      <w:bCs/>
                      <w:color w:val="FFFFFF"/>
                      <w:kern w:val="0"/>
                      <w:sz w:val="16"/>
                      <w:szCs w:val="16"/>
                    </w:rPr>
                    <w:t>+</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proofErr w:type="gramStart"/>
                  <w:r>
                    <w:rPr>
                      <w:rFonts w:ascii="楷体" w:eastAsia="楷体" w:hAnsi="楷体" w:cs="宋体" w:hint="eastAsia"/>
                      <w:b/>
                      <w:bCs/>
                      <w:color w:val="FFFFFF"/>
                      <w:kern w:val="0"/>
                      <w:sz w:val="16"/>
                      <w:szCs w:val="16"/>
                    </w:rPr>
                    <w:t>偏债型固收</w:t>
                  </w:r>
                  <w:proofErr w:type="gramEnd"/>
                  <w:r>
                    <w:rPr>
                      <w:rFonts w:ascii="楷体" w:eastAsia="楷体" w:hAnsi="楷体" w:cs="宋体" w:hint="eastAsia"/>
                      <w:b/>
                      <w:bCs/>
                      <w:color w:val="FFFFFF"/>
                      <w:kern w:val="0"/>
                      <w:sz w:val="16"/>
                      <w:szCs w:val="16"/>
                    </w:rPr>
                    <w:t>+</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proofErr w:type="gramStart"/>
                  <w:r>
                    <w:rPr>
                      <w:rFonts w:ascii="楷体" w:eastAsia="楷体" w:hAnsi="楷体" w:cs="宋体" w:hint="eastAsia"/>
                      <w:b/>
                      <w:bCs/>
                      <w:color w:val="FFFFFF"/>
                      <w:kern w:val="0"/>
                      <w:sz w:val="16"/>
                      <w:szCs w:val="16"/>
                    </w:rPr>
                    <w:t>纯债基金</w:t>
                  </w:r>
                  <w:proofErr w:type="gramEnd"/>
                </w:p>
              </w:tc>
            </w:tr>
            <w:tr w:rsidR="00E95E51">
              <w:trPr>
                <w:trHeight w:val="26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2016/4/1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2016/10/28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价值牛市/牛市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1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8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4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2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3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5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6 </w:t>
                  </w:r>
                </w:p>
              </w:tc>
            </w:tr>
            <w:tr w:rsidR="00E95E51">
              <w:trPr>
                <w:trHeight w:val="26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2016/10/29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2018/1/25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价值牛市/熊市</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7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3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6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4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2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5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8 </w:t>
                  </w:r>
                </w:p>
              </w:tc>
            </w:tr>
            <w:tr w:rsidR="00E95E51">
              <w:trPr>
                <w:trHeight w:val="26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2018/1/26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2019/1/3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熊市/牛市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8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6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5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4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3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2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1 </w:t>
                  </w:r>
                </w:p>
              </w:tc>
            </w:tr>
            <w:tr w:rsidR="00E95E51">
              <w:trPr>
                <w:trHeight w:val="26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2019/1/4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2019/4/19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牛市/牛市</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2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3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4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5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6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7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8 </w:t>
                  </w:r>
                </w:p>
              </w:tc>
            </w:tr>
            <w:tr w:rsidR="00E95E51">
              <w:trPr>
                <w:trHeight w:val="26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2019/4/20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2019/12/4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震荡市/牛市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8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4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6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3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1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2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5 </w:t>
                  </w:r>
                </w:p>
              </w:tc>
            </w:tr>
            <w:tr w:rsidR="00E95E51">
              <w:trPr>
                <w:trHeight w:val="26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2019/12/5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2020/7/13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牛市/牛市</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2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3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5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4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6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7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8 </w:t>
                  </w:r>
                </w:p>
              </w:tc>
            </w:tr>
            <w:tr w:rsidR="00E95E51">
              <w:trPr>
                <w:trHeight w:val="260"/>
              </w:trPr>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2020/7/14</w:t>
                  </w:r>
                </w:p>
              </w:tc>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2020/12/11</w:t>
                  </w:r>
                </w:p>
              </w:tc>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震荡市/熊市</w:t>
                  </w:r>
                </w:p>
              </w:tc>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6 </w:t>
                  </w:r>
                </w:p>
              </w:tc>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8 </w:t>
                  </w:r>
                </w:p>
              </w:tc>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3 </w:t>
                  </w:r>
                </w:p>
              </w:tc>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7 </w:t>
                  </w:r>
                </w:p>
              </w:tc>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2 </w:t>
                  </w:r>
                </w:p>
              </w:tc>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1 </w:t>
                  </w:r>
                </w:p>
              </w:tc>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4 </w:t>
                  </w:r>
                </w:p>
              </w:tc>
              <w:tc>
                <w:tcPr>
                  <w:tcW w:w="0" w:type="auto"/>
                  <w:tcBorders>
                    <w:top w:val="nil"/>
                    <w:left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5 </w:t>
                  </w:r>
                </w:p>
              </w:tc>
            </w:tr>
            <w:tr w:rsidR="00E95E51">
              <w:trPr>
                <w:trHeight w:val="260"/>
              </w:trPr>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2020/12/12</w:t>
                  </w:r>
                </w:p>
              </w:tc>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2021/2/10</w:t>
                  </w:r>
                </w:p>
              </w:tc>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成长牛市/熊市</w:t>
                  </w:r>
                </w:p>
              </w:tc>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1 </w:t>
                  </w:r>
                </w:p>
              </w:tc>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2 </w:t>
                  </w:r>
                </w:p>
              </w:tc>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3 </w:t>
                  </w:r>
                </w:p>
              </w:tc>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6 </w:t>
                  </w:r>
                </w:p>
              </w:tc>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4 </w:t>
                  </w:r>
                </w:p>
              </w:tc>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5 </w:t>
                  </w:r>
                </w:p>
              </w:tc>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hint="eastAsia"/>
                      <w:b/>
                      <w:color w:val="000000"/>
                      <w:kern w:val="0"/>
                      <w:sz w:val="16"/>
                      <w:szCs w:val="16"/>
                    </w:rPr>
                    <w:t xml:space="preserve">7 </w:t>
                  </w:r>
                </w:p>
              </w:tc>
              <w:tc>
                <w:tcPr>
                  <w:tcW w:w="0" w:type="auto"/>
                  <w:tcBorders>
                    <w:top w:val="nil"/>
                    <w:left w:val="nil"/>
                    <w:bottom w:val="single" w:sz="4"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 xml:space="preserve">8 </w:t>
                  </w:r>
                </w:p>
              </w:tc>
            </w:tr>
            <w:tr w:rsidR="00E95E51">
              <w:trPr>
                <w:trHeight w:val="260"/>
              </w:trPr>
              <w:tc>
                <w:tcPr>
                  <w:tcW w:w="0" w:type="auto"/>
                  <w:tcBorders>
                    <w:top w:val="single" w:sz="4" w:space="0" w:color="auto"/>
                    <w:left w:val="nil"/>
                    <w:bottom w:val="nil"/>
                    <w:right w:val="single" w:sz="8" w:space="0" w:color="A6A6A6"/>
                  </w:tcBorders>
                  <w:shd w:val="clear" w:color="auto" w:fill="auto"/>
                  <w:noWrap/>
                  <w:vAlign w:val="center"/>
                </w:tcPr>
                <w:p w:rsidR="00E95E51" w:rsidRDefault="00E95E51">
                  <w:pPr>
                    <w:widowControl/>
                    <w:jc w:val="center"/>
                    <w:rPr>
                      <w:rFonts w:ascii="楷体" w:eastAsia="楷体" w:hAnsi="楷体" w:cs="宋体"/>
                      <w:color w:val="000000"/>
                      <w:kern w:val="0"/>
                      <w:sz w:val="16"/>
                      <w:szCs w:val="16"/>
                    </w:rPr>
                  </w:pPr>
                </w:p>
              </w:tc>
              <w:tc>
                <w:tcPr>
                  <w:tcW w:w="0" w:type="auto"/>
                  <w:tcBorders>
                    <w:top w:val="single" w:sz="4" w:space="0" w:color="auto"/>
                    <w:left w:val="nil"/>
                    <w:bottom w:val="nil"/>
                    <w:right w:val="single" w:sz="8" w:space="0" w:color="A6A6A6"/>
                  </w:tcBorders>
                  <w:shd w:val="clear" w:color="auto" w:fill="auto"/>
                  <w:noWrap/>
                  <w:vAlign w:val="center"/>
                </w:tcPr>
                <w:p w:rsidR="00E95E51" w:rsidRDefault="00E95E51">
                  <w:pPr>
                    <w:widowControl/>
                    <w:jc w:val="center"/>
                    <w:rPr>
                      <w:rFonts w:ascii="楷体" w:eastAsia="楷体" w:hAnsi="楷体" w:cs="宋体"/>
                      <w:color w:val="000000"/>
                      <w:kern w:val="0"/>
                      <w:sz w:val="16"/>
                      <w:szCs w:val="16"/>
                    </w:rPr>
                  </w:pPr>
                </w:p>
              </w:tc>
              <w:tc>
                <w:tcPr>
                  <w:tcW w:w="0" w:type="auto"/>
                  <w:tcBorders>
                    <w:top w:val="single" w:sz="4" w:space="0" w:color="auto"/>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平均</w:t>
                  </w:r>
                </w:p>
              </w:tc>
              <w:tc>
                <w:tcPr>
                  <w:tcW w:w="0" w:type="auto"/>
                  <w:tcBorders>
                    <w:top w:val="single" w:sz="4" w:space="0" w:color="auto"/>
                    <w:left w:val="nil"/>
                    <w:bottom w:val="nil"/>
                    <w:right w:val="single" w:sz="8" w:space="0" w:color="A6A6A6"/>
                  </w:tcBorders>
                  <w:shd w:val="clear" w:color="auto" w:fill="auto"/>
                  <w:noWrap/>
                </w:tcPr>
                <w:p w:rsidR="00E95E51" w:rsidRDefault="00502CD5">
                  <w:pPr>
                    <w:widowControl/>
                    <w:jc w:val="center"/>
                    <w:rPr>
                      <w:rFonts w:ascii="楷体" w:eastAsia="楷体" w:hAnsi="楷体" w:cs="宋体"/>
                      <w:color w:val="000000"/>
                      <w:kern w:val="0"/>
                      <w:sz w:val="16"/>
                      <w:szCs w:val="16"/>
                    </w:rPr>
                  </w:pPr>
                  <w:r>
                    <w:rPr>
                      <w:rFonts w:ascii="楷体" w:eastAsia="楷体" w:hAnsi="楷体" w:cs="宋体"/>
                      <w:color w:val="000000"/>
                      <w:kern w:val="0"/>
                      <w:sz w:val="16"/>
                      <w:szCs w:val="16"/>
                    </w:rPr>
                    <w:t xml:space="preserve">3 </w:t>
                  </w:r>
                </w:p>
              </w:tc>
              <w:tc>
                <w:tcPr>
                  <w:tcW w:w="0" w:type="auto"/>
                  <w:tcBorders>
                    <w:top w:val="single" w:sz="4" w:space="0" w:color="auto"/>
                    <w:left w:val="nil"/>
                    <w:bottom w:val="nil"/>
                    <w:right w:val="single" w:sz="8" w:space="0" w:color="A6A6A6"/>
                  </w:tcBorders>
                  <w:shd w:val="clear" w:color="auto" w:fill="auto"/>
                  <w:noWrap/>
                </w:tcPr>
                <w:p w:rsidR="00E95E51" w:rsidRDefault="00502CD5">
                  <w:pPr>
                    <w:widowControl/>
                    <w:jc w:val="center"/>
                    <w:rPr>
                      <w:rFonts w:ascii="楷体" w:eastAsia="楷体" w:hAnsi="楷体" w:cs="宋体"/>
                      <w:color w:val="000000"/>
                      <w:kern w:val="0"/>
                      <w:sz w:val="16"/>
                      <w:szCs w:val="16"/>
                    </w:rPr>
                  </w:pPr>
                  <w:r>
                    <w:rPr>
                      <w:rFonts w:ascii="楷体" w:eastAsia="楷体" w:hAnsi="楷体" w:cs="宋体"/>
                      <w:color w:val="000000"/>
                      <w:kern w:val="0"/>
                      <w:sz w:val="16"/>
                      <w:szCs w:val="16"/>
                    </w:rPr>
                    <w:t xml:space="preserve">6 </w:t>
                  </w:r>
                </w:p>
              </w:tc>
              <w:tc>
                <w:tcPr>
                  <w:tcW w:w="0" w:type="auto"/>
                  <w:tcBorders>
                    <w:top w:val="single" w:sz="4" w:space="0" w:color="auto"/>
                    <w:left w:val="nil"/>
                    <w:bottom w:val="nil"/>
                    <w:right w:val="single" w:sz="8" w:space="0" w:color="A6A6A6"/>
                  </w:tcBorders>
                  <w:shd w:val="clear" w:color="auto" w:fill="auto"/>
                  <w:noWrap/>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b/>
                      <w:color w:val="000000"/>
                      <w:kern w:val="0"/>
                      <w:sz w:val="16"/>
                      <w:szCs w:val="16"/>
                    </w:rPr>
                    <w:t xml:space="preserve">4 </w:t>
                  </w:r>
                </w:p>
              </w:tc>
              <w:tc>
                <w:tcPr>
                  <w:tcW w:w="0" w:type="auto"/>
                  <w:tcBorders>
                    <w:top w:val="single" w:sz="4" w:space="0" w:color="auto"/>
                    <w:left w:val="nil"/>
                    <w:bottom w:val="nil"/>
                    <w:right w:val="single" w:sz="8" w:space="0" w:color="A6A6A6"/>
                  </w:tcBorders>
                  <w:shd w:val="clear" w:color="auto" w:fill="auto"/>
                  <w:noWrap/>
                </w:tcPr>
                <w:p w:rsidR="00E95E51" w:rsidRDefault="00502CD5">
                  <w:pPr>
                    <w:widowControl/>
                    <w:jc w:val="center"/>
                    <w:rPr>
                      <w:rFonts w:ascii="楷体" w:eastAsia="楷体" w:hAnsi="楷体" w:cs="宋体"/>
                      <w:color w:val="000000"/>
                      <w:kern w:val="0"/>
                      <w:sz w:val="16"/>
                      <w:szCs w:val="16"/>
                    </w:rPr>
                  </w:pPr>
                  <w:r>
                    <w:rPr>
                      <w:rFonts w:ascii="楷体" w:eastAsia="楷体" w:hAnsi="楷体" w:cs="宋体"/>
                      <w:color w:val="000000"/>
                      <w:kern w:val="0"/>
                      <w:sz w:val="16"/>
                      <w:szCs w:val="16"/>
                    </w:rPr>
                    <w:t xml:space="preserve">6 </w:t>
                  </w:r>
                </w:p>
              </w:tc>
              <w:tc>
                <w:tcPr>
                  <w:tcW w:w="0" w:type="auto"/>
                  <w:tcBorders>
                    <w:top w:val="single" w:sz="4" w:space="0" w:color="auto"/>
                    <w:left w:val="nil"/>
                    <w:bottom w:val="nil"/>
                    <w:right w:val="single" w:sz="8" w:space="0" w:color="A6A6A6"/>
                  </w:tcBorders>
                  <w:shd w:val="clear" w:color="auto" w:fill="auto"/>
                  <w:noWrap/>
                </w:tcPr>
                <w:p w:rsidR="00E95E51" w:rsidRDefault="00502CD5">
                  <w:pPr>
                    <w:widowControl/>
                    <w:jc w:val="center"/>
                    <w:rPr>
                      <w:rFonts w:ascii="楷体" w:eastAsia="楷体" w:hAnsi="楷体" w:cs="宋体"/>
                      <w:color w:val="000000"/>
                      <w:kern w:val="0"/>
                      <w:sz w:val="16"/>
                      <w:szCs w:val="16"/>
                    </w:rPr>
                  </w:pPr>
                  <w:r>
                    <w:rPr>
                      <w:rFonts w:ascii="楷体" w:eastAsia="楷体" w:hAnsi="楷体" w:cs="宋体"/>
                      <w:color w:val="000000"/>
                      <w:kern w:val="0"/>
                      <w:sz w:val="16"/>
                      <w:szCs w:val="16"/>
                    </w:rPr>
                    <w:t xml:space="preserve">4 </w:t>
                  </w:r>
                </w:p>
              </w:tc>
              <w:tc>
                <w:tcPr>
                  <w:tcW w:w="0" w:type="auto"/>
                  <w:tcBorders>
                    <w:top w:val="single" w:sz="4" w:space="0" w:color="auto"/>
                    <w:left w:val="nil"/>
                    <w:bottom w:val="nil"/>
                    <w:right w:val="single" w:sz="8" w:space="0" w:color="A6A6A6"/>
                  </w:tcBorders>
                  <w:shd w:val="clear" w:color="auto" w:fill="auto"/>
                  <w:noWrap/>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b/>
                      <w:color w:val="000000"/>
                      <w:kern w:val="0"/>
                      <w:sz w:val="16"/>
                      <w:szCs w:val="16"/>
                    </w:rPr>
                    <w:t xml:space="preserve">3 </w:t>
                  </w:r>
                </w:p>
              </w:tc>
              <w:tc>
                <w:tcPr>
                  <w:tcW w:w="0" w:type="auto"/>
                  <w:tcBorders>
                    <w:top w:val="single" w:sz="4" w:space="0" w:color="auto"/>
                    <w:left w:val="nil"/>
                    <w:bottom w:val="nil"/>
                    <w:right w:val="single" w:sz="8" w:space="0" w:color="A6A6A6"/>
                  </w:tcBorders>
                  <w:shd w:val="clear" w:color="auto" w:fill="auto"/>
                  <w:noWrap/>
                </w:tcPr>
                <w:p w:rsidR="00E95E51" w:rsidRDefault="00502CD5">
                  <w:pPr>
                    <w:widowControl/>
                    <w:jc w:val="center"/>
                    <w:rPr>
                      <w:rFonts w:ascii="楷体" w:eastAsia="楷体" w:hAnsi="楷体" w:cs="宋体"/>
                      <w:b/>
                      <w:color w:val="000000"/>
                      <w:kern w:val="0"/>
                      <w:sz w:val="16"/>
                      <w:szCs w:val="16"/>
                    </w:rPr>
                  </w:pPr>
                  <w:r>
                    <w:rPr>
                      <w:rFonts w:ascii="楷体" w:eastAsia="楷体" w:hAnsi="楷体" w:cs="宋体"/>
                      <w:b/>
                      <w:color w:val="000000"/>
                      <w:kern w:val="0"/>
                      <w:sz w:val="16"/>
                      <w:szCs w:val="16"/>
                    </w:rPr>
                    <w:t xml:space="preserve">5 </w:t>
                  </w:r>
                </w:p>
              </w:tc>
              <w:tc>
                <w:tcPr>
                  <w:tcW w:w="0" w:type="auto"/>
                  <w:tcBorders>
                    <w:top w:val="single" w:sz="4" w:space="0" w:color="auto"/>
                    <w:left w:val="nil"/>
                    <w:bottom w:val="nil"/>
                    <w:right w:val="single" w:sz="8" w:space="0" w:color="A6A6A6"/>
                  </w:tcBorders>
                  <w:shd w:val="clear" w:color="auto" w:fill="auto"/>
                  <w:noWrap/>
                </w:tcPr>
                <w:p w:rsidR="00E95E51" w:rsidRDefault="00502CD5">
                  <w:pPr>
                    <w:widowControl/>
                    <w:jc w:val="center"/>
                    <w:rPr>
                      <w:rFonts w:ascii="楷体" w:eastAsia="楷体" w:hAnsi="楷体" w:cs="宋体"/>
                      <w:color w:val="000000"/>
                      <w:kern w:val="0"/>
                      <w:sz w:val="16"/>
                      <w:szCs w:val="16"/>
                    </w:rPr>
                  </w:pPr>
                  <w:r>
                    <w:rPr>
                      <w:rFonts w:ascii="楷体" w:eastAsia="楷体" w:hAnsi="楷体" w:cs="宋体"/>
                      <w:color w:val="000000"/>
                      <w:kern w:val="0"/>
                      <w:sz w:val="16"/>
                      <w:szCs w:val="16"/>
                    </w:rPr>
                    <w:t xml:space="preserve">6 </w:t>
                  </w:r>
                </w:p>
              </w:tc>
            </w:tr>
          </w:tbl>
          <w:p w:rsidR="00E95E51" w:rsidRDefault="00E95E51">
            <w:pPr>
              <w:tabs>
                <w:tab w:val="left" w:pos="600"/>
              </w:tabs>
              <w:adjustRightInd w:val="0"/>
              <w:snapToGrid w:val="0"/>
              <w:spacing w:line="24" w:lineRule="atLeast"/>
              <w:jc w:val="center"/>
              <w:rPr>
                <w:rFonts w:ascii="楷体" w:eastAsia="楷体" w:hAnsi="楷体"/>
                <w:color w:val="000000" w:themeColor="text1"/>
                <w:sz w:val="18"/>
                <w:szCs w:val="18"/>
              </w:rPr>
            </w:pPr>
          </w:p>
        </w:tc>
      </w:tr>
      <w:tr w:rsidR="00E95E51">
        <w:trPr>
          <w:jc w:val="center"/>
        </w:trPr>
        <w:tc>
          <w:tcPr>
            <w:tcW w:w="9854" w:type="dxa"/>
            <w:tcBorders>
              <w:top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研究整理；数据截止日：202</w:t>
            </w:r>
            <w:r>
              <w:rPr>
                <w:rFonts w:ascii="楷体" w:eastAsia="楷体" w:hAnsi="楷体"/>
                <w:color w:val="000000" w:themeColor="text1"/>
                <w:sz w:val="18"/>
                <w:szCs w:val="18"/>
              </w:rPr>
              <w:t>1</w:t>
            </w:r>
            <w:r>
              <w:rPr>
                <w:rFonts w:ascii="楷体" w:eastAsia="楷体" w:hAnsi="楷体" w:hint="eastAsia"/>
                <w:color w:val="000000" w:themeColor="text1"/>
                <w:sz w:val="18"/>
                <w:szCs w:val="18"/>
              </w:rPr>
              <w:t>年</w:t>
            </w:r>
            <w:r>
              <w:rPr>
                <w:rFonts w:ascii="楷体" w:eastAsia="楷体" w:hAnsi="楷体"/>
                <w:color w:val="000000" w:themeColor="text1"/>
                <w:sz w:val="18"/>
                <w:szCs w:val="18"/>
              </w:rPr>
              <w:t>2</w:t>
            </w:r>
            <w:r>
              <w:rPr>
                <w:rFonts w:ascii="楷体" w:eastAsia="楷体" w:hAnsi="楷体" w:hint="eastAsia"/>
                <w:color w:val="000000" w:themeColor="text1"/>
                <w:sz w:val="18"/>
                <w:szCs w:val="18"/>
              </w:rPr>
              <w:t>月</w:t>
            </w:r>
            <w:r>
              <w:rPr>
                <w:rFonts w:ascii="楷体" w:eastAsia="楷体" w:hAnsi="楷体"/>
                <w:color w:val="000000" w:themeColor="text1"/>
                <w:sz w:val="18"/>
                <w:szCs w:val="18"/>
              </w:rPr>
              <w:t>10</w:t>
            </w:r>
            <w:r>
              <w:rPr>
                <w:rFonts w:ascii="楷体" w:eastAsia="楷体" w:hAnsi="楷体" w:hint="eastAsia"/>
                <w:color w:val="000000" w:themeColor="text1"/>
                <w:sz w:val="18"/>
                <w:szCs w:val="18"/>
              </w:rPr>
              <w:t>日；</w:t>
            </w:r>
          </w:p>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p w:rsidR="00E95E51" w:rsidRDefault="00E95E51">
            <w:pPr>
              <w:spacing w:line="24" w:lineRule="atLeast"/>
              <w:rPr>
                <w:rFonts w:ascii="楷体" w:eastAsia="楷体" w:hAnsi="楷体"/>
                <w:color w:val="000000" w:themeColor="text1"/>
                <w:sz w:val="18"/>
                <w:szCs w:val="18"/>
              </w:rPr>
            </w:pPr>
          </w:p>
        </w:tc>
      </w:tr>
    </w:tbl>
    <w:p w:rsidR="00E95E51" w:rsidRDefault="00E95E51">
      <w:pPr>
        <w:pStyle w:val="afd"/>
        <w:ind w:firstLineChars="0" w:firstLine="0"/>
        <w:rPr>
          <w:rFonts w:ascii="楷体" w:eastAsia="楷体" w:hAnsi="楷体"/>
        </w:rPr>
      </w:pPr>
    </w:p>
    <w:p w:rsidR="00E95E51" w:rsidRDefault="00502CD5">
      <w:pPr>
        <w:widowControl/>
        <w:jc w:val="left"/>
        <w:rPr>
          <w:rFonts w:ascii="楷体" w:eastAsia="楷体" w:hAnsi="楷体"/>
          <w:szCs w:val="21"/>
        </w:rPr>
      </w:pPr>
      <w:r>
        <w:rPr>
          <w:rFonts w:ascii="楷体" w:eastAsia="楷体" w:hAnsi="楷体"/>
        </w:rPr>
        <w:br w:type="page"/>
      </w:r>
    </w:p>
    <w:p w:rsidR="00E95E51" w:rsidRDefault="00E95E51">
      <w:pPr>
        <w:pStyle w:val="afd"/>
        <w:ind w:firstLineChars="0" w:firstLine="0"/>
        <w:rPr>
          <w:rFonts w:ascii="楷体" w:eastAsia="楷体" w:hAnsi="楷体"/>
        </w:rPr>
      </w:pPr>
    </w:p>
    <w:p w:rsidR="00E95E51" w:rsidRDefault="00502CD5">
      <w:pPr>
        <w:pStyle w:val="afd"/>
        <w:ind w:firstLine="420"/>
        <w:rPr>
          <w:rFonts w:ascii="楷体" w:eastAsia="楷体" w:hAnsi="楷体"/>
        </w:rPr>
      </w:pPr>
      <w:r>
        <w:rPr>
          <w:rFonts w:ascii="楷体" w:eastAsia="楷体" w:hAnsi="楷体" w:hint="eastAsia"/>
        </w:rPr>
        <w:t>从不同市场的夏普比率表现来看，</w:t>
      </w:r>
      <w:proofErr w:type="gramStart"/>
      <w:r>
        <w:rPr>
          <w:rFonts w:ascii="楷体" w:eastAsia="楷体" w:hAnsi="楷体" w:hint="eastAsia"/>
        </w:rPr>
        <w:t>偏股型固收</w:t>
      </w:r>
      <w:proofErr w:type="gramEnd"/>
      <w:r>
        <w:rPr>
          <w:rFonts w:ascii="楷体" w:eastAsia="楷体" w:hAnsi="楷体" w:hint="eastAsia"/>
        </w:rPr>
        <w:t>+在牛市中能够有较高的夏普比率，均衡</w:t>
      </w:r>
      <w:proofErr w:type="gramStart"/>
      <w:r>
        <w:rPr>
          <w:rFonts w:ascii="楷体" w:eastAsia="楷体" w:hAnsi="楷体" w:hint="eastAsia"/>
        </w:rPr>
        <w:t>型固收</w:t>
      </w:r>
      <w:proofErr w:type="gramEnd"/>
      <w:r>
        <w:rPr>
          <w:rFonts w:ascii="楷体" w:eastAsia="楷体" w:hAnsi="楷体" w:hint="eastAsia"/>
        </w:rPr>
        <w:t>+收益风险比较为稳定，基本在所有市场下都能在8类资产中排名前3。</w:t>
      </w:r>
    </w:p>
    <w:p w:rsidR="00E95E51" w:rsidRDefault="00E95E51">
      <w:pPr>
        <w:pStyle w:val="afd"/>
        <w:ind w:firstLineChars="0" w:firstLine="0"/>
        <w:rPr>
          <w:rFonts w:ascii="楷体" w:eastAsia="楷体" w:hAnsi="楷体"/>
        </w:rPr>
      </w:pPr>
    </w:p>
    <w:tbl>
      <w:tblPr>
        <w:tblW w:w="11109" w:type="dxa"/>
        <w:jc w:val="center"/>
        <w:tblCellMar>
          <w:left w:w="0" w:type="dxa"/>
          <w:right w:w="0" w:type="dxa"/>
        </w:tblCellMar>
        <w:tblLook w:val="04A0" w:firstRow="1" w:lastRow="0" w:firstColumn="1" w:lastColumn="0" w:noHBand="0" w:noVBand="1"/>
      </w:tblPr>
      <w:tblGrid>
        <w:gridCol w:w="11109"/>
      </w:tblGrid>
      <w:tr w:rsidR="00E95E51">
        <w:trPr>
          <w:trHeight w:val="304"/>
          <w:jc w:val="center"/>
        </w:trPr>
        <w:tc>
          <w:tcPr>
            <w:tcW w:w="11109"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图表9：不同市场下不同类型夏普比率排名</w:t>
            </w:r>
          </w:p>
        </w:tc>
      </w:tr>
      <w:tr w:rsidR="00E95E51">
        <w:tblPrEx>
          <w:tblCellMar>
            <w:left w:w="108" w:type="dxa"/>
            <w:right w:w="108" w:type="dxa"/>
          </w:tblCellMar>
        </w:tblPrEx>
        <w:trPr>
          <w:trHeight w:val="2970"/>
          <w:jc w:val="center"/>
        </w:trPr>
        <w:tc>
          <w:tcPr>
            <w:tcW w:w="11109" w:type="dxa"/>
            <w:tcBorders>
              <w:top w:val="single" w:sz="12" w:space="0" w:color="767171" w:themeColor="background2" w:themeShade="80"/>
              <w:bottom w:val="single" w:sz="12" w:space="0" w:color="767171" w:themeColor="background2" w:themeShade="80"/>
            </w:tcBorders>
            <w:vAlign w:val="center"/>
          </w:tcPr>
          <w:tbl>
            <w:tblPr>
              <w:tblW w:w="9895" w:type="dxa"/>
              <w:tblLook w:val="04A0" w:firstRow="1" w:lastRow="0" w:firstColumn="1" w:lastColumn="0" w:noHBand="0" w:noVBand="1"/>
            </w:tblPr>
            <w:tblGrid>
              <w:gridCol w:w="1016"/>
              <w:gridCol w:w="1016"/>
              <w:gridCol w:w="1256"/>
              <w:gridCol w:w="859"/>
              <w:gridCol w:w="859"/>
              <w:gridCol w:w="1100"/>
              <w:gridCol w:w="859"/>
              <w:gridCol w:w="859"/>
              <w:gridCol w:w="1100"/>
              <w:gridCol w:w="1100"/>
              <w:gridCol w:w="859"/>
            </w:tblGrid>
            <w:tr w:rsidR="00E95E51">
              <w:trPr>
                <w:trHeight w:val="250"/>
              </w:trPr>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起始日</w:t>
                  </w:r>
                </w:p>
              </w:tc>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结束日</w:t>
                  </w:r>
                </w:p>
              </w:tc>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市场性质</w:t>
                  </w:r>
                </w:p>
              </w:tc>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股票基金</w:t>
                  </w:r>
                </w:p>
              </w:tc>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转</w:t>
                  </w:r>
                  <w:proofErr w:type="gramStart"/>
                  <w:r>
                    <w:rPr>
                      <w:rFonts w:ascii="楷体" w:eastAsia="楷体" w:hAnsi="楷体" w:cs="宋体" w:hint="eastAsia"/>
                      <w:b/>
                      <w:bCs/>
                      <w:color w:val="FFFFFF"/>
                      <w:kern w:val="0"/>
                      <w:sz w:val="16"/>
                      <w:szCs w:val="16"/>
                    </w:rPr>
                    <w:t>债基金</w:t>
                  </w:r>
                  <w:proofErr w:type="gramEnd"/>
                </w:p>
              </w:tc>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proofErr w:type="gramStart"/>
                  <w:r>
                    <w:rPr>
                      <w:rFonts w:ascii="楷体" w:eastAsia="楷体" w:hAnsi="楷体" w:cs="宋体" w:hint="eastAsia"/>
                      <w:b/>
                      <w:bCs/>
                      <w:color w:val="FFFFFF"/>
                      <w:kern w:val="0"/>
                      <w:sz w:val="16"/>
                      <w:szCs w:val="16"/>
                    </w:rPr>
                    <w:t>偏股型固收</w:t>
                  </w:r>
                  <w:proofErr w:type="gramEnd"/>
                  <w:r>
                    <w:rPr>
                      <w:rFonts w:ascii="楷体" w:eastAsia="楷体" w:hAnsi="楷体" w:cs="宋体" w:hint="eastAsia"/>
                      <w:b/>
                      <w:bCs/>
                      <w:color w:val="FFFFFF"/>
                      <w:kern w:val="0"/>
                      <w:sz w:val="16"/>
                      <w:szCs w:val="16"/>
                    </w:rPr>
                    <w:t>+</w:t>
                  </w:r>
                </w:p>
              </w:tc>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混合二级</w:t>
                  </w:r>
                </w:p>
              </w:tc>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proofErr w:type="gramStart"/>
                  <w:r>
                    <w:rPr>
                      <w:rFonts w:ascii="楷体" w:eastAsia="楷体" w:hAnsi="楷体" w:cs="宋体" w:hint="eastAsia"/>
                      <w:b/>
                      <w:bCs/>
                      <w:color w:val="FFFFFF"/>
                      <w:kern w:val="0"/>
                      <w:sz w:val="16"/>
                      <w:szCs w:val="16"/>
                    </w:rPr>
                    <w:t>偏债混合</w:t>
                  </w:r>
                  <w:proofErr w:type="gramEnd"/>
                </w:p>
              </w:tc>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均衡</w:t>
                  </w:r>
                  <w:proofErr w:type="gramStart"/>
                  <w:r>
                    <w:rPr>
                      <w:rFonts w:ascii="楷体" w:eastAsia="楷体" w:hAnsi="楷体" w:cs="宋体" w:hint="eastAsia"/>
                      <w:b/>
                      <w:bCs/>
                      <w:color w:val="FFFFFF"/>
                      <w:kern w:val="0"/>
                      <w:sz w:val="16"/>
                      <w:szCs w:val="16"/>
                    </w:rPr>
                    <w:t>型固收</w:t>
                  </w:r>
                  <w:proofErr w:type="gramEnd"/>
                  <w:r>
                    <w:rPr>
                      <w:rFonts w:ascii="楷体" w:eastAsia="楷体" w:hAnsi="楷体" w:cs="宋体" w:hint="eastAsia"/>
                      <w:b/>
                      <w:bCs/>
                      <w:color w:val="FFFFFF"/>
                      <w:kern w:val="0"/>
                      <w:sz w:val="16"/>
                      <w:szCs w:val="16"/>
                    </w:rPr>
                    <w:t>+</w:t>
                  </w:r>
                </w:p>
              </w:tc>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proofErr w:type="gramStart"/>
                  <w:r>
                    <w:rPr>
                      <w:rFonts w:ascii="楷体" w:eastAsia="楷体" w:hAnsi="楷体" w:cs="宋体" w:hint="eastAsia"/>
                      <w:b/>
                      <w:bCs/>
                      <w:color w:val="FFFFFF"/>
                      <w:kern w:val="0"/>
                      <w:sz w:val="16"/>
                      <w:szCs w:val="16"/>
                    </w:rPr>
                    <w:t>偏债型固收</w:t>
                  </w:r>
                  <w:proofErr w:type="gramEnd"/>
                  <w:r>
                    <w:rPr>
                      <w:rFonts w:ascii="楷体" w:eastAsia="楷体" w:hAnsi="楷体" w:cs="宋体" w:hint="eastAsia"/>
                      <w:b/>
                      <w:bCs/>
                      <w:color w:val="FFFFFF"/>
                      <w:kern w:val="0"/>
                      <w:sz w:val="16"/>
                      <w:szCs w:val="16"/>
                    </w:rPr>
                    <w:t>+</w:t>
                  </w:r>
                </w:p>
              </w:tc>
              <w:tc>
                <w:tcPr>
                  <w:tcW w:w="0" w:type="auto"/>
                  <w:tcBorders>
                    <w:top w:val="single" w:sz="8" w:space="0" w:color="A6A6A6"/>
                    <w:left w:val="nil"/>
                    <w:bottom w:val="nil"/>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6"/>
                    </w:rPr>
                  </w:pPr>
                  <w:r>
                    <w:rPr>
                      <w:rFonts w:ascii="楷体" w:eastAsia="楷体" w:hAnsi="楷体" w:cs="宋体" w:hint="eastAsia"/>
                      <w:b/>
                      <w:bCs/>
                      <w:color w:val="FFFFFF"/>
                      <w:kern w:val="0"/>
                      <w:sz w:val="16"/>
                      <w:szCs w:val="16"/>
                    </w:rPr>
                    <w:t>纯债债基</w:t>
                  </w:r>
                </w:p>
              </w:tc>
            </w:tr>
            <w:tr w:rsidR="00E95E51">
              <w:trPr>
                <w:trHeight w:val="25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2016/4/1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2016/10/28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价值牛市/牛市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7</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1</w:t>
                  </w:r>
                </w:p>
              </w:tc>
            </w:tr>
            <w:tr w:rsidR="00E95E51">
              <w:trPr>
                <w:trHeight w:val="25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2016/10/29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2018/1/25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价值牛市/熊市</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7</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8</w:t>
                  </w:r>
                </w:p>
              </w:tc>
            </w:tr>
            <w:tr w:rsidR="00E95E51">
              <w:trPr>
                <w:trHeight w:val="25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2018/1/26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2019/1/3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熊市/牛市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7</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1</w:t>
                  </w:r>
                </w:p>
              </w:tc>
            </w:tr>
            <w:tr w:rsidR="00E95E51">
              <w:trPr>
                <w:trHeight w:val="25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2019/1/4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2019/4/19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牛市/牛市</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7</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8</w:t>
                  </w:r>
                </w:p>
              </w:tc>
            </w:tr>
            <w:tr w:rsidR="00E95E51">
              <w:trPr>
                <w:trHeight w:val="25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2019/4/20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2019/12/4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震荡市/牛市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7</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1</w:t>
                  </w:r>
                </w:p>
              </w:tc>
            </w:tr>
            <w:tr w:rsidR="00E95E51">
              <w:trPr>
                <w:trHeight w:val="25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2019/12/5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2020/7/13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牛市/牛市</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7</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8</w:t>
                  </w:r>
                </w:p>
              </w:tc>
            </w:tr>
            <w:tr w:rsidR="00E95E51">
              <w:trPr>
                <w:trHeight w:val="25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2020/7/14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2020/12/11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震荡市/熊市</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7</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6</w:t>
                  </w:r>
                </w:p>
              </w:tc>
            </w:tr>
            <w:tr w:rsidR="00E95E51">
              <w:trPr>
                <w:trHeight w:val="259"/>
              </w:trPr>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2020/12/12</w:t>
                  </w:r>
                </w:p>
              </w:tc>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2021/2/10</w:t>
                  </w:r>
                </w:p>
              </w:tc>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成长牛市/熊市</w:t>
                  </w:r>
                </w:p>
              </w:tc>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1</w:t>
                  </w:r>
                </w:p>
              </w:tc>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8</w:t>
                  </w:r>
                </w:p>
              </w:tc>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3</w:t>
                  </w:r>
                </w:p>
              </w:tc>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7</w:t>
                  </w:r>
                </w:p>
              </w:tc>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2</w:t>
                  </w:r>
                </w:p>
              </w:tc>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5</w:t>
                  </w:r>
                </w:p>
              </w:tc>
              <w:tc>
                <w:tcPr>
                  <w:tcW w:w="0" w:type="auto"/>
                  <w:tcBorders>
                    <w:top w:val="nil"/>
                    <w:left w:val="nil"/>
                    <w:bottom w:val="single" w:sz="8" w:space="0" w:color="auto"/>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6</w:t>
                  </w:r>
                </w:p>
              </w:tc>
            </w:tr>
            <w:tr w:rsidR="00E95E51">
              <w:trPr>
                <w:trHeight w:val="250"/>
              </w:trPr>
              <w:tc>
                <w:tcPr>
                  <w:tcW w:w="0" w:type="auto"/>
                  <w:tcBorders>
                    <w:top w:val="nil"/>
                    <w:left w:val="nil"/>
                    <w:bottom w:val="nil"/>
                    <w:right w:val="nil"/>
                  </w:tcBorders>
                  <w:shd w:val="clear" w:color="auto" w:fill="auto"/>
                  <w:noWrap/>
                  <w:vAlign w:val="center"/>
                </w:tcPr>
                <w:p w:rsidR="00E95E51" w:rsidRDefault="00E95E51">
                  <w:pPr>
                    <w:widowControl/>
                    <w:jc w:val="center"/>
                    <w:rPr>
                      <w:rFonts w:ascii="楷体" w:eastAsia="楷体" w:hAnsi="楷体" w:cs="宋体"/>
                      <w:color w:val="000000"/>
                      <w:kern w:val="0"/>
                      <w:sz w:val="16"/>
                      <w:szCs w:val="16"/>
                    </w:rPr>
                  </w:pPr>
                </w:p>
              </w:tc>
              <w:tc>
                <w:tcPr>
                  <w:tcW w:w="0" w:type="auto"/>
                  <w:tcBorders>
                    <w:top w:val="nil"/>
                    <w:left w:val="nil"/>
                    <w:bottom w:val="nil"/>
                    <w:right w:val="nil"/>
                  </w:tcBorders>
                  <w:shd w:val="clear" w:color="auto" w:fill="auto"/>
                  <w:noWrap/>
                  <w:vAlign w:val="center"/>
                </w:tcPr>
                <w:p w:rsidR="00E95E51" w:rsidRDefault="00E95E51">
                  <w:pPr>
                    <w:widowControl/>
                    <w:jc w:val="center"/>
                    <w:rPr>
                      <w:rFonts w:ascii="Times New Roman" w:eastAsia="Times New Roman" w:hAnsi="Times New Roman" w:cs="Times New Roman"/>
                      <w:kern w:val="0"/>
                      <w:sz w:val="16"/>
                      <w:szCs w:val="16"/>
                    </w:rPr>
                  </w:pP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平均</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7</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6"/>
                    </w:rPr>
                  </w:pPr>
                  <w:r>
                    <w:rPr>
                      <w:rFonts w:ascii="楷体" w:eastAsia="楷体" w:hAnsi="楷体" w:cs="宋体" w:hint="eastAsia"/>
                      <w:color w:val="000000"/>
                      <w:kern w:val="0"/>
                      <w:sz w:val="16"/>
                      <w:szCs w:val="16"/>
                    </w:rPr>
                    <w:t>5</w:t>
                  </w:r>
                </w:p>
              </w:tc>
            </w:tr>
          </w:tbl>
          <w:p w:rsidR="00E95E51" w:rsidRDefault="00E95E51">
            <w:pPr>
              <w:tabs>
                <w:tab w:val="left" w:pos="600"/>
              </w:tabs>
              <w:adjustRightInd w:val="0"/>
              <w:snapToGrid w:val="0"/>
              <w:spacing w:line="24" w:lineRule="atLeast"/>
              <w:jc w:val="center"/>
              <w:rPr>
                <w:rFonts w:ascii="楷体" w:eastAsia="楷体" w:hAnsi="楷体"/>
                <w:color w:val="000000" w:themeColor="text1"/>
                <w:sz w:val="18"/>
                <w:szCs w:val="18"/>
              </w:rPr>
            </w:pPr>
          </w:p>
        </w:tc>
      </w:tr>
      <w:tr w:rsidR="00E95E51">
        <w:trPr>
          <w:jc w:val="center"/>
        </w:trPr>
        <w:tc>
          <w:tcPr>
            <w:tcW w:w="11109" w:type="dxa"/>
            <w:tcBorders>
              <w:top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研究整理；数据截止日：202</w:t>
            </w:r>
            <w:r>
              <w:rPr>
                <w:rFonts w:ascii="楷体" w:eastAsia="楷体" w:hAnsi="楷体"/>
                <w:color w:val="000000" w:themeColor="text1"/>
                <w:sz w:val="18"/>
                <w:szCs w:val="18"/>
              </w:rPr>
              <w:t>1</w:t>
            </w:r>
            <w:r>
              <w:rPr>
                <w:rFonts w:ascii="楷体" w:eastAsia="楷体" w:hAnsi="楷体" w:hint="eastAsia"/>
                <w:color w:val="000000" w:themeColor="text1"/>
                <w:sz w:val="18"/>
                <w:szCs w:val="18"/>
              </w:rPr>
              <w:t>年</w:t>
            </w:r>
            <w:r>
              <w:rPr>
                <w:rFonts w:ascii="楷体" w:eastAsia="楷体" w:hAnsi="楷体"/>
                <w:color w:val="000000" w:themeColor="text1"/>
                <w:sz w:val="18"/>
                <w:szCs w:val="18"/>
              </w:rPr>
              <w:t>2</w:t>
            </w:r>
            <w:r>
              <w:rPr>
                <w:rFonts w:ascii="楷体" w:eastAsia="楷体" w:hAnsi="楷体" w:hint="eastAsia"/>
                <w:color w:val="000000" w:themeColor="text1"/>
                <w:sz w:val="18"/>
                <w:szCs w:val="18"/>
              </w:rPr>
              <w:t>月</w:t>
            </w:r>
            <w:r>
              <w:rPr>
                <w:rFonts w:ascii="楷体" w:eastAsia="楷体" w:hAnsi="楷体"/>
                <w:color w:val="000000" w:themeColor="text1"/>
                <w:sz w:val="18"/>
                <w:szCs w:val="18"/>
              </w:rPr>
              <w:t>10</w:t>
            </w:r>
            <w:r>
              <w:rPr>
                <w:rFonts w:ascii="楷体" w:eastAsia="楷体" w:hAnsi="楷体" w:hint="eastAsia"/>
                <w:color w:val="000000" w:themeColor="text1"/>
                <w:sz w:val="18"/>
                <w:szCs w:val="18"/>
              </w:rPr>
              <w:t>日；</w:t>
            </w:r>
          </w:p>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p w:rsidR="00E95E51" w:rsidRDefault="00E95E51">
            <w:pPr>
              <w:spacing w:line="24" w:lineRule="atLeast"/>
              <w:rPr>
                <w:rFonts w:ascii="楷体" w:eastAsia="楷体" w:hAnsi="楷体"/>
                <w:color w:val="000000" w:themeColor="text1"/>
                <w:sz w:val="18"/>
                <w:szCs w:val="18"/>
              </w:rPr>
            </w:pPr>
          </w:p>
        </w:tc>
      </w:tr>
    </w:tbl>
    <w:p w:rsidR="00E95E51" w:rsidRDefault="00502CD5">
      <w:pPr>
        <w:pStyle w:val="a"/>
        <w:numPr>
          <w:ilvl w:val="0"/>
          <w:numId w:val="0"/>
        </w:numPr>
        <w:adjustRightInd w:val="0"/>
        <w:snapToGrid w:val="0"/>
        <w:spacing w:before="0" w:after="0" w:line="24" w:lineRule="atLeast"/>
        <w:ind w:rightChars="0" w:right="0"/>
        <w:rPr>
          <w:rFonts w:ascii="楷体" w:eastAsia="楷体" w:hAnsi="楷体"/>
          <w:sz w:val="24"/>
          <w:szCs w:val="28"/>
        </w:rPr>
      </w:pPr>
      <w:r>
        <w:rPr>
          <w:rFonts w:ascii="楷体" w:eastAsia="楷体" w:hAnsi="楷体"/>
          <w:sz w:val="24"/>
          <w:szCs w:val="28"/>
        </w:rPr>
        <w:t>2.3.</w:t>
      </w:r>
      <w:r>
        <w:rPr>
          <w:rFonts w:ascii="楷体" w:eastAsia="楷体" w:hAnsi="楷体" w:hint="eastAsia"/>
          <w:sz w:val="24"/>
          <w:szCs w:val="28"/>
        </w:rPr>
        <w:t>不同策略走势及相关性</w:t>
      </w:r>
    </w:p>
    <w:p w:rsidR="00E95E51" w:rsidRDefault="00E95E51">
      <w:pPr>
        <w:pStyle w:val="a"/>
        <w:numPr>
          <w:ilvl w:val="0"/>
          <w:numId w:val="0"/>
        </w:numPr>
        <w:adjustRightInd w:val="0"/>
        <w:snapToGrid w:val="0"/>
        <w:spacing w:before="0" w:after="0" w:line="24" w:lineRule="atLeast"/>
        <w:ind w:rightChars="0" w:right="0"/>
        <w:rPr>
          <w:rFonts w:ascii="楷体" w:eastAsia="楷体" w:hAnsi="楷体"/>
          <w:sz w:val="24"/>
          <w:szCs w:val="28"/>
        </w:rPr>
      </w:pPr>
    </w:p>
    <w:p w:rsidR="00E95E51" w:rsidRDefault="00502CD5">
      <w:pPr>
        <w:spacing w:after="240"/>
        <w:ind w:firstLineChars="200" w:firstLine="420"/>
        <w:rPr>
          <w:rFonts w:ascii="楷体" w:eastAsia="楷体" w:hAnsi="楷体"/>
          <w:bCs/>
        </w:rPr>
      </w:pPr>
      <w:r>
        <w:rPr>
          <w:rFonts w:ascii="楷体" w:eastAsia="楷体" w:hAnsi="楷体" w:hint="eastAsia"/>
        </w:rPr>
        <w:t>我们统计了近5年各类型基金的相关性情况，</w:t>
      </w:r>
      <w:proofErr w:type="gramStart"/>
      <w:r>
        <w:rPr>
          <w:rFonts w:ascii="楷体" w:eastAsia="楷体" w:hAnsi="楷体" w:hint="eastAsia"/>
        </w:rPr>
        <w:t>由于固收</w:t>
      </w:r>
      <w:proofErr w:type="gramEnd"/>
      <w:r>
        <w:rPr>
          <w:rFonts w:ascii="楷体" w:eastAsia="楷体" w:hAnsi="楷体" w:hint="eastAsia"/>
        </w:rPr>
        <w:t>+基金基本都有权益</w:t>
      </w:r>
      <w:proofErr w:type="gramStart"/>
      <w:r>
        <w:rPr>
          <w:rFonts w:ascii="楷体" w:eastAsia="楷体" w:hAnsi="楷体" w:hint="eastAsia"/>
        </w:rPr>
        <w:t>仓位</w:t>
      </w:r>
      <w:proofErr w:type="gramEnd"/>
      <w:r>
        <w:rPr>
          <w:rFonts w:ascii="楷体" w:eastAsia="楷体" w:hAnsi="楷体" w:hint="eastAsia"/>
        </w:rPr>
        <w:t>，因此彼此间相关性较强。</w:t>
      </w:r>
    </w:p>
    <w:tbl>
      <w:tblPr>
        <w:tblW w:w="9948" w:type="dxa"/>
        <w:jc w:val="center"/>
        <w:tblCellMar>
          <w:left w:w="0" w:type="dxa"/>
          <w:right w:w="0" w:type="dxa"/>
        </w:tblCellMar>
        <w:tblLook w:val="04A0" w:firstRow="1" w:lastRow="0" w:firstColumn="1" w:lastColumn="0" w:noHBand="0" w:noVBand="1"/>
      </w:tblPr>
      <w:tblGrid>
        <w:gridCol w:w="10679"/>
      </w:tblGrid>
      <w:tr w:rsidR="00E95E51">
        <w:trPr>
          <w:trHeight w:val="304"/>
          <w:jc w:val="center"/>
        </w:trPr>
        <w:tc>
          <w:tcPr>
            <w:tcW w:w="9948"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图表10：策略间相关系数</w:t>
            </w:r>
          </w:p>
        </w:tc>
      </w:tr>
      <w:tr w:rsidR="00E95E51">
        <w:tblPrEx>
          <w:tblCellMar>
            <w:left w:w="108" w:type="dxa"/>
            <w:right w:w="108" w:type="dxa"/>
          </w:tblCellMar>
        </w:tblPrEx>
        <w:trPr>
          <w:trHeight w:val="1860"/>
          <w:jc w:val="center"/>
        </w:trPr>
        <w:tc>
          <w:tcPr>
            <w:tcW w:w="9948" w:type="dxa"/>
            <w:tcBorders>
              <w:top w:val="single" w:sz="12" w:space="0" w:color="767171" w:themeColor="background2" w:themeShade="80"/>
              <w:bottom w:val="single" w:sz="12" w:space="0" w:color="767171" w:themeColor="background2" w:themeShade="80"/>
            </w:tcBorders>
            <w:vAlign w:val="center"/>
          </w:tcPr>
          <w:tbl>
            <w:tblPr>
              <w:tblW w:w="10463" w:type="dxa"/>
              <w:tblLook w:val="04A0" w:firstRow="1" w:lastRow="0" w:firstColumn="1" w:lastColumn="0" w:noHBand="0" w:noVBand="1"/>
            </w:tblPr>
            <w:tblGrid>
              <w:gridCol w:w="1303"/>
              <w:gridCol w:w="1032"/>
              <w:gridCol w:w="1032"/>
              <w:gridCol w:w="1394"/>
              <w:gridCol w:w="941"/>
              <w:gridCol w:w="941"/>
              <w:gridCol w:w="1394"/>
              <w:gridCol w:w="1394"/>
              <w:gridCol w:w="1032"/>
            </w:tblGrid>
            <w:tr w:rsidR="00E95E51">
              <w:trPr>
                <w:trHeight w:val="90"/>
              </w:trPr>
              <w:tc>
                <w:tcPr>
                  <w:tcW w:w="1303"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　</w:t>
                  </w:r>
                </w:p>
              </w:tc>
              <w:tc>
                <w:tcPr>
                  <w:tcW w:w="1032"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股票基金</w:t>
                  </w:r>
                </w:p>
              </w:tc>
              <w:tc>
                <w:tcPr>
                  <w:tcW w:w="1032"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转债债基</w:t>
                  </w:r>
                </w:p>
              </w:tc>
              <w:tc>
                <w:tcPr>
                  <w:tcW w:w="1394"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偏股型固收</w:t>
                  </w:r>
                  <w:proofErr w:type="gramEnd"/>
                  <w:r>
                    <w:rPr>
                      <w:rFonts w:ascii="楷体" w:eastAsia="楷体" w:hAnsi="楷体" w:cs="宋体" w:hint="eastAsia"/>
                      <w:color w:val="000000"/>
                      <w:kern w:val="0"/>
                      <w:sz w:val="18"/>
                      <w:szCs w:val="18"/>
                    </w:rPr>
                    <w:t>+</w:t>
                  </w:r>
                </w:p>
              </w:tc>
              <w:tc>
                <w:tcPr>
                  <w:tcW w:w="941"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二级债基</w:t>
                  </w:r>
                  <w:proofErr w:type="gramEnd"/>
                </w:p>
              </w:tc>
              <w:tc>
                <w:tcPr>
                  <w:tcW w:w="941"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偏债混合</w:t>
                  </w:r>
                  <w:proofErr w:type="gramEnd"/>
                </w:p>
              </w:tc>
              <w:tc>
                <w:tcPr>
                  <w:tcW w:w="1394"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1394"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偏债型固收</w:t>
                  </w:r>
                  <w:proofErr w:type="gramEnd"/>
                  <w:r>
                    <w:rPr>
                      <w:rFonts w:ascii="楷体" w:eastAsia="楷体" w:hAnsi="楷体" w:cs="宋体" w:hint="eastAsia"/>
                      <w:color w:val="000000"/>
                      <w:kern w:val="0"/>
                      <w:sz w:val="18"/>
                      <w:szCs w:val="18"/>
                    </w:rPr>
                    <w:t>+</w:t>
                  </w:r>
                </w:p>
              </w:tc>
              <w:tc>
                <w:tcPr>
                  <w:tcW w:w="1032"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纯债债基</w:t>
                  </w:r>
                </w:p>
              </w:tc>
            </w:tr>
            <w:tr w:rsidR="00E95E51">
              <w:trPr>
                <w:trHeight w:val="232"/>
              </w:trPr>
              <w:tc>
                <w:tcPr>
                  <w:tcW w:w="1303"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股票基金</w:t>
                  </w:r>
                </w:p>
              </w:tc>
              <w:tc>
                <w:tcPr>
                  <w:tcW w:w="1032" w:type="dxa"/>
                  <w:tcBorders>
                    <w:top w:val="nil"/>
                    <w:left w:val="nil"/>
                    <w:bottom w:val="nil"/>
                    <w:right w:val="nil"/>
                  </w:tcBorders>
                  <w:shd w:val="clear" w:color="000000" w:fill="F8696B"/>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w:t>
                  </w:r>
                </w:p>
              </w:tc>
              <w:tc>
                <w:tcPr>
                  <w:tcW w:w="1032" w:type="dxa"/>
                  <w:tcBorders>
                    <w:top w:val="nil"/>
                    <w:left w:val="nil"/>
                    <w:bottom w:val="nil"/>
                    <w:right w:val="nil"/>
                  </w:tcBorders>
                  <w:shd w:val="clear" w:color="000000" w:fill="F5E8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0.872</w:t>
                  </w:r>
                </w:p>
              </w:tc>
              <w:tc>
                <w:tcPr>
                  <w:tcW w:w="1394" w:type="dxa"/>
                  <w:tcBorders>
                    <w:top w:val="nil"/>
                    <w:left w:val="nil"/>
                    <w:bottom w:val="nil"/>
                    <w:right w:val="nil"/>
                  </w:tcBorders>
                  <w:shd w:val="clear" w:color="000000" w:fill="FDB67A"/>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0.961</w:t>
                  </w:r>
                </w:p>
              </w:tc>
              <w:tc>
                <w:tcPr>
                  <w:tcW w:w="941" w:type="dxa"/>
                  <w:tcBorders>
                    <w:top w:val="nil"/>
                    <w:left w:val="nil"/>
                    <w:bottom w:val="nil"/>
                    <w:right w:val="nil"/>
                  </w:tcBorders>
                  <w:shd w:val="clear" w:color="000000" w:fill="F8E9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0.895</w:t>
                  </w:r>
                </w:p>
              </w:tc>
              <w:tc>
                <w:tcPr>
                  <w:tcW w:w="941" w:type="dxa"/>
                  <w:tcBorders>
                    <w:top w:val="nil"/>
                    <w:left w:val="nil"/>
                    <w:bottom w:val="nil"/>
                    <w:right w:val="nil"/>
                  </w:tcBorders>
                  <w:shd w:val="clear" w:color="000000" w:fill="FFE6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0.937</w:t>
                  </w:r>
                </w:p>
              </w:tc>
              <w:tc>
                <w:tcPr>
                  <w:tcW w:w="1394" w:type="dxa"/>
                  <w:tcBorders>
                    <w:top w:val="nil"/>
                    <w:left w:val="nil"/>
                    <w:bottom w:val="nil"/>
                    <w:right w:val="nil"/>
                  </w:tcBorders>
                  <w:shd w:val="clear" w:color="000000" w:fill="FCEA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0.915</w:t>
                  </w:r>
                </w:p>
              </w:tc>
              <w:tc>
                <w:tcPr>
                  <w:tcW w:w="1394" w:type="dxa"/>
                  <w:tcBorders>
                    <w:top w:val="nil"/>
                    <w:left w:val="nil"/>
                    <w:bottom w:val="nil"/>
                    <w:right w:val="nil"/>
                  </w:tcBorders>
                  <w:shd w:val="clear" w:color="000000" w:fill="EFE6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0.836</w:t>
                  </w:r>
                </w:p>
              </w:tc>
              <w:tc>
                <w:tcPr>
                  <w:tcW w:w="1032" w:type="dxa"/>
                  <w:tcBorders>
                    <w:top w:val="nil"/>
                    <w:left w:val="nil"/>
                    <w:bottom w:val="nil"/>
                    <w:right w:val="nil"/>
                  </w:tcBorders>
                  <w:shd w:val="clear" w:color="000000" w:fill="63BE7B"/>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-0.052</w:t>
                  </w:r>
                </w:p>
              </w:tc>
            </w:tr>
            <w:tr w:rsidR="00E95E51">
              <w:trPr>
                <w:trHeight w:val="232"/>
              </w:trPr>
              <w:tc>
                <w:tcPr>
                  <w:tcW w:w="1303"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转债债基</w:t>
                  </w:r>
                </w:p>
              </w:tc>
              <w:tc>
                <w:tcPr>
                  <w:tcW w:w="1032" w:type="dxa"/>
                  <w:tcBorders>
                    <w:top w:val="nil"/>
                    <w:left w:val="nil"/>
                    <w:bottom w:val="nil"/>
                    <w:right w:val="nil"/>
                  </w:tcBorders>
                  <w:shd w:val="clear" w:color="000000" w:fill="F5E8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0.872</w:t>
                  </w:r>
                </w:p>
              </w:tc>
              <w:tc>
                <w:tcPr>
                  <w:tcW w:w="1032" w:type="dxa"/>
                  <w:tcBorders>
                    <w:top w:val="nil"/>
                    <w:left w:val="nil"/>
                    <w:bottom w:val="nil"/>
                    <w:right w:val="nil"/>
                  </w:tcBorders>
                  <w:shd w:val="clear" w:color="000000" w:fill="F8696B"/>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w:t>
                  </w:r>
                </w:p>
              </w:tc>
              <w:tc>
                <w:tcPr>
                  <w:tcW w:w="1394" w:type="dxa"/>
                  <w:tcBorders>
                    <w:top w:val="nil"/>
                    <w:left w:val="nil"/>
                    <w:bottom w:val="nil"/>
                    <w:right w:val="nil"/>
                  </w:tcBorders>
                  <w:shd w:val="clear" w:color="000000" w:fill="FEEA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0.931</w:t>
                  </w:r>
                </w:p>
              </w:tc>
              <w:tc>
                <w:tcPr>
                  <w:tcW w:w="941" w:type="dxa"/>
                  <w:tcBorders>
                    <w:top w:val="nil"/>
                    <w:left w:val="nil"/>
                    <w:bottom w:val="nil"/>
                    <w:right w:val="nil"/>
                  </w:tcBorders>
                  <w:shd w:val="clear" w:color="000000" w:fill="FCB37A"/>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0.963</w:t>
                  </w:r>
                </w:p>
              </w:tc>
              <w:tc>
                <w:tcPr>
                  <w:tcW w:w="941" w:type="dxa"/>
                  <w:tcBorders>
                    <w:top w:val="nil"/>
                    <w:left w:val="nil"/>
                    <w:bottom w:val="nil"/>
                    <w:right w:val="nil"/>
                  </w:tcBorders>
                  <w:shd w:val="clear" w:color="000000" w:fill="FAE9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0.903</w:t>
                  </w:r>
                </w:p>
              </w:tc>
              <w:tc>
                <w:tcPr>
                  <w:tcW w:w="1394" w:type="dxa"/>
                  <w:tcBorders>
                    <w:top w:val="nil"/>
                    <w:left w:val="nil"/>
                    <w:bottom w:val="nil"/>
                    <w:right w:val="nil"/>
                  </w:tcBorders>
                  <w:shd w:val="clear" w:color="000000" w:fill="F9E9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0.898</w:t>
                  </w:r>
                </w:p>
              </w:tc>
              <w:tc>
                <w:tcPr>
                  <w:tcW w:w="1394" w:type="dxa"/>
                  <w:tcBorders>
                    <w:top w:val="nil"/>
                    <w:left w:val="nil"/>
                    <w:bottom w:val="nil"/>
                    <w:right w:val="nil"/>
                  </w:tcBorders>
                  <w:shd w:val="clear" w:color="000000" w:fill="F3E7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0.864</w:t>
                  </w:r>
                </w:p>
              </w:tc>
              <w:tc>
                <w:tcPr>
                  <w:tcW w:w="1032" w:type="dxa"/>
                  <w:tcBorders>
                    <w:top w:val="nil"/>
                    <w:left w:val="nil"/>
                    <w:bottom w:val="nil"/>
                    <w:right w:val="nil"/>
                  </w:tcBorders>
                  <w:shd w:val="clear" w:color="000000" w:fill="74C37C"/>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0.059</w:t>
                  </w:r>
                </w:p>
              </w:tc>
            </w:tr>
            <w:tr w:rsidR="00E95E51">
              <w:trPr>
                <w:trHeight w:val="232"/>
              </w:trPr>
              <w:tc>
                <w:tcPr>
                  <w:tcW w:w="1303"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偏股型固收</w:t>
                  </w:r>
                  <w:proofErr w:type="gramEnd"/>
                  <w:r>
                    <w:rPr>
                      <w:rFonts w:ascii="楷体" w:eastAsia="楷体" w:hAnsi="楷体" w:cs="宋体" w:hint="eastAsia"/>
                      <w:color w:val="000000"/>
                      <w:kern w:val="0"/>
                      <w:sz w:val="18"/>
                      <w:szCs w:val="18"/>
                    </w:rPr>
                    <w:t>+</w:t>
                  </w:r>
                </w:p>
              </w:tc>
              <w:tc>
                <w:tcPr>
                  <w:tcW w:w="1032" w:type="dxa"/>
                  <w:tcBorders>
                    <w:top w:val="nil"/>
                    <w:left w:val="nil"/>
                    <w:bottom w:val="nil"/>
                    <w:right w:val="nil"/>
                  </w:tcBorders>
                  <w:shd w:val="clear" w:color="000000" w:fill="FDB67A"/>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0.961</w:t>
                  </w:r>
                </w:p>
              </w:tc>
              <w:tc>
                <w:tcPr>
                  <w:tcW w:w="1032" w:type="dxa"/>
                  <w:tcBorders>
                    <w:top w:val="nil"/>
                    <w:left w:val="nil"/>
                    <w:bottom w:val="nil"/>
                    <w:right w:val="nil"/>
                  </w:tcBorders>
                  <w:shd w:val="clear" w:color="000000" w:fill="FEEA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0.931</w:t>
                  </w:r>
                </w:p>
              </w:tc>
              <w:tc>
                <w:tcPr>
                  <w:tcW w:w="1394" w:type="dxa"/>
                  <w:tcBorders>
                    <w:top w:val="nil"/>
                    <w:left w:val="nil"/>
                    <w:bottom w:val="nil"/>
                    <w:right w:val="nil"/>
                  </w:tcBorders>
                  <w:shd w:val="clear" w:color="000000" w:fill="F8696B"/>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w:t>
                  </w:r>
                </w:p>
              </w:tc>
              <w:tc>
                <w:tcPr>
                  <w:tcW w:w="941" w:type="dxa"/>
                  <w:tcBorders>
                    <w:top w:val="nil"/>
                    <w:left w:val="nil"/>
                    <w:bottom w:val="nil"/>
                    <w:right w:val="nil"/>
                  </w:tcBorders>
                  <w:shd w:val="clear" w:color="000000" w:fill="FCAE79"/>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0.965</w:t>
                  </w:r>
                </w:p>
              </w:tc>
              <w:tc>
                <w:tcPr>
                  <w:tcW w:w="941" w:type="dxa"/>
                  <w:tcBorders>
                    <w:top w:val="nil"/>
                    <w:left w:val="nil"/>
                    <w:bottom w:val="nil"/>
                    <w:right w:val="nil"/>
                  </w:tcBorders>
                  <w:shd w:val="clear" w:color="000000" w:fill="FA8170"/>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0.988</w:t>
                  </w:r>
                </w:p>
              </w:tc>
              <w:tc>
                <w:tcPr>
                  <w:tcW w:w="1394" w:type="dxa"/>
                  <w:tcBorders>
                    <w:top w:val="nil"/>
                    <w:left w:val="nil"/>
                    <w:bottom w:val="nil"/>
                    <w:right w:val="nil"/>
                  </w:tcBorders>
                  <w:shd w:val="clear" w:color="000000" w:fill="FA8E7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0.981</w:t>
                  </w:r>
                </w:p>
              </w:tc>
              <w:tc>
                <w:tcPr>
                  <w:tcW w:w="1394" w:type="dxa"/>
                  <w:tcBorders>
                    <w:top w:val="nil"/>
                    <w:left w:val="nil"/>
                    <w:bottom w:val="nil"/>
                    <w:right w:val="nil"/>
                  </w:tcBorders>
                  <w:shd w:val="clear" w:color="000000" w:fill="FEEA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0.930</w:t>
                  </w:r>
                </w:p>
              </w:tc>
              <w:tc>
                <w:tcPr>
                  <w:tcW w:w="1032" w:type="dxa"/>
                  <w:tcBorders>
                    <w:top w:val="nil"/>
                    <w:left w:val="nil"/>
                    <w:bottom w:val="nil"/>
                    <w:right w:val="nil"/>
                  </w:tcBorders>
                  <w:shd w:val="clear" w:color="000000" w:fill="75C37C"/>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0.066</w:t>
                  </w:r>
                </w:p>
              </w:tc>
            </w:tr>
            <w:tr w:rsidR="00E95E51">
              <w:trPr>
                <w:trHeight w:val="232"/>
              </w:trPr>
              <w:tc>
                <w:tcPr>
                  <w:tcW w:w="1303"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混合二级</w:t>
                  </w:r>
                </w:p>
              </w:tc>
              <w:tc>
                <w:tcPr>
                  <w:tcW w:w="1032" w:type="dxa"/>
                  <w:tcBorders>
                    <w:top w:val="nil"/>
                    <w:left w:val="nil"/>
                    <w:bottom w:val="nil"/>
                    <w:right w:val="nil"/>
                  </w:tcBorders>
                  <w:shd w:val="clear" w:color="000000" w:fill="F8E9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0.895</w:t>
                  </w:r>
                </w:p>
              </w:tc>
              <w:tc>
                <w:tcPr>
                  <w:tcW w:w="1032" w:type="dxa"/>
                  <w:tcBorders>
                    <w:top w:val="nil"/>
                    <w:left w:val="nil"/>
                    <w:bottom w:val="nil"/>
                    <w:right w:val="nil"/>
                  </w:tcBorders>
                  <w:shd w:val="clear" w:color="000000" w:fill="FCB37A"/>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0.963</w:t>
                  </w:r>
                </w:p>
              </w:tc>
              <w:tc>
                <w:tcPr>
                  <w:tcW w:w="1394" w:type="dxa"/>
                  <w:tcBorders>
                    <w:top w:val="nil"/>
                    <w:left w:val="nil"/>
                    <w:bottom w:val="nil"/>
                    <w:right w:val="nil"/>
                  </w:tcBorders>
                  <w:shd w:val="clear" w:color="000000" w:fill="FCAE79"/>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0.965</w:t>
                  </w:r>
                </w:p>
              </w:tc>
              <w:tc>
                <w:tcPr>
                  <w:tcW w:w="941" w:type="dxa"/>
                  <w:tcBorders>
                    <w:top w:val="nil"/>
                    <w:left w:val="nil"/>
                    <w:bottom w:val="nil"/>
                    <w:right w:val="nil"/>
                  </w:tcBorders>
                  <w:shd w:val="clear" w:color="000000" w:fill="F8696B"/>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w:t>
                  </w:r>
                </w:p>
              </w:tc>
              <w:tc>
                <w:tcPr>
                  <w:tcW w:w="941" w:type="dxa"/>
                  <w:tcBorders>
                    <w:top w:val="nil"/>
                    <w:left w:val="nil"/>
                    <w:bottom w:val="nil"/>
                    <w:right w:val="nil"/>
                  </w:tcBorders>
                  <w:shd w:val="clear" w:color="000000" w:fill="FDC37D"/>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0.955</w:t>
                  </w:r>
                </w:p>
              </w:tc>
              <w:tc>
                <w:tcPr>
                  <w:tcW w:w="1394" w:type="dxa"/>
                  <w:tcBorders>
                    <w:top w:val="nil"/>
                    <w:left w:val="nil"/>
                    <w:bottom w:val="nil"/>
                    <w:right w:val="nil"/>
                  </w:tcBorders>
                  <w:shd w:val="clear" w:color="000000" w:fill="FDC37D"/>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0.954</w:t>
                  </w:r>
                </w:p>
              </w:tc>
              <w:tc>
                <w:tcPr>
                  <w:tcW w:w="1394" w:type="dxa"/>
                  <w:tcBorders>
                    <w:top w:val="nil"/>
                    <w:left w:val="nil"/>
                    <w:bottom w:val="nil"/>
                    <w:right w:val="nil"/>
                  </w:tcBorders>
                  <w:shd w:val="clear" w:color="000000" w:fill="FFE3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0.938</w:t>
                  </w:r>
                </w:p>
              </w:tc>
              <w:tc>
                <w:tcPr>
                  <w:tcW w:w="1032" w:type="dxa"/>
                  <w:tcBorders>
                    <w:top w:val="nil"/>
                    <w:left w:val="nil"/>
                    <w:bottom w:val="nil"/>
                    <w:right w:val="nil"/>
                  </w:tcBorders>
                  <w:shd w:val="clear" w:color="000000" w:fill="85C77C"/>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0.166</w:t>
                  </w:r>
                </w:p>
              </w:tc>
            </w:tr>
            <w:tr w:rsidR="00E95E51">
              <w:trPr>
                <w:trHeight w:val="232"/>
              </w:trPr>
              <w:tc>
                <w:tcPr>
                  <w:tcW w:w="1303"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偏债混合</w:t>
                  </w:r>
                  <w:proofErr w:type="gramEnd"/>
                </w:p>
              </w:tc>
              <w:tc>
                <w:tcPr>
                  <w:tcW w:w="1032" w:type="dxa"/>
                  <w:tcBorders>
                    <w:top w:val="nil"/>
                    <w:left w:val="nil"/>
                    <w:bottom w:val="nil"/>
                    <w:right w:val="nil"/>
                  </w:tcBorders>
                  <w:shd w:val="clear" w:color="000000" w:fill="FFE6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0.937</w:t>
                  </w:r>
                </w:p>
              </w:tc>
              <w:tc>
                <w:tcPr>
                  <w:tcW w:w="1032" w:type="dxa"/>
                  <w:tcBorders>
                    <w:top w:val="nil"/>
                    <w:left w:val="nil"/>
                    <w:bottom w:val="nil"/>
                    <w:right w:val="nil"/>
                  </w:tcBorders>
                  <w:shd w:val="clear" w:color="000000" w:fill="FAE9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0.903</w:t>
                  </w:r>
                </w:p>
              </w:tc>
              <w:tc>
                <w:tcPr>
                  <w:tcW w:w="1394" w:type="dxa"/>
                  <w:tcBorders>
                    <w:top w:val="nil"/>
                    <w:left w:val="nil"/>
                    <w:bottom w:val="nil"/>
                    <w:right w:val="nil"/>
                  </w:tcBorders>
                  <w:shd w:val="clear" w:color="000000" w:fill="FA8170"/>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0.988</w:t>
                  </w:r>
                </w:p>
              </w:tc>
              <w:tc>
                <w:tcPr>
                  <w:tcW w:w="941" w:type="dxa"/>
                  <w:tcBorders>
                    <w:top w:val="nil"/>
                    <w:left w:val="nil"/>
                    <w:bottom w:val="nil"/>
                    <w:right w:val="nil"/>
                  </w:tcBorders>
                  <w:shd w:val="clear" w:color="000000" w:fill="FDC37D"/>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0.955</w:t>
                  </w:r>
                </w:p>
              </w:tc>
              <w:tc>
                <w:tcPr>
                  <w:tcW w:w="941" w:type="dxa"/>
                  <w:tcBorders>
                    <w:top w:val="nil"/>
                    <w:left w:val="nil"/>
                    <w:bottom w:val="nil"/>
                    <w:right w:val="nil"/>
                  </w:tcBorders>
                  <w:shd w:val="clear" w:color="000000" w:fill="F8696B"/>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w:t>
                  </w:r>
                </w:p>
              </w:tc>
              <w:tc>
                <w:tcPr>
                  <w:tcW w:w="1394" w:type="dxa"/>
                  <w:tcBorders>
                    <w:top w:val="nil"/>
                    <w:left w:val="nil"/>
                    <w:bottom w:val="nil"/>
                    <w:right w:val="nil"/>
                  </w:tcBorders>
                  <w:shd w:val="clear" w:color="000000" w:fill="FA8471"/>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0.986</w:t>
                  </w:r>
                </w:p>
              </w:tc>
              <w:tc>
                <w:tcPr>
                  <w:tcW w:w="1394" w:type="dxa"/>
                  <w:tcBorders>
                    <w:top w:val="nil"/>
                    <w:left w:val="nil"/>
                    <w:bottom w:val="nil"/>
                    <w:right w:val="nil"/>
                  </w:tcBorders>
                  <w:shd w:val="clear" w:color="000000" w:fill="FFE18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0.939</w:t>
                  </w:r>
                </w:p>
              </w:tc>
              <w:tc>
                <w:tcPr>
                  <w:tcW w:w="1032" w:type="dxa"/>
                  <w:tcBorders>
                    <w:top w:val="nil"/>
                    <w:left w:val="nil"/>
                    <w:bottom w:val="nil"/>
                    <w:right w:val="nil"/>
                  </w:tcBorders>
                  <w:shd w:val="clear" w:color="000000" w:fill="78C47C"/>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0.085</w:t>
                  </w:r>
                </w:p>
              </w:tc>
            </w:tr>
            <w:tr w:rsidR="00E95E51">
              <w:trPr>
                <w:trHeight w:val="232"/>
              </w:trPr>
              <w:tc>
                <w:tcPr>
                  <w:tcW w:w="1303"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1032" w:type="dxa"/>
                  <w:tcBorders>
                    <w:top w:val="nil"/>
                    <w:left w:val="nil"/>
                    <w:bottom w:val="nil"/>
                    <w:right w:val="nil"/>
                  </w:tcBorders>
                  <w:shd w:val="clear" w:color="000000" w:fill="FCEA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0.915</w:t>
                  </w:r>
                </w:p>
              </w:tc>
              <w:tc>
                <w:tcPr>
                  <w:tcW w:w="1032" w:type="dxa"/>
                  <w:tcBorders>
                    <w:top w:val="nil"/>
                    <w:left w:val="nil"/>
                    <w:bottom w:val="nil"/>
                    <w:right w:val="nil"/>
                  </w:tcBorders>
                  <w:shd w:val="clear" w:color="000000" w:fill="F9E9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0.898</w:t>
                  </w:r>
                </w:p>
              </w:tc>
              <w:tc>
                <w:tcPr>
                  <w:tcW w:w="1394" w:type="dxa"/>
                  <w:tcBorders>
                    <w:top w:val="nil"/>
                    <w:left w:val="nil"/>
                    <w:bottom w:val="nil"/>
                    <w:right w:val="nil"/>
                  </w:tcBorders>
                  <w:shd w:val="clear" w:color="000000" w:fill="FA8E7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0.981</w:t>
                  </w:r>
                </w:p>
              </w:tc>
              <w:tc>
                <w:tcPr>
                  <w:tcW w:w="941" w:type="dxa"/>
                  <w:tcBorders>
                    <w:top w:val="nil"/>
                    <w:left w:val="nil"/>
                    <w:bottom w:val="nil"/>
                    <w:right w:val="nil"/>
                  </w:tcBorders>
                  <w:shd w:val="clear" w:color="000000" w:fill="FDC37D"/>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0.954</w:t>
                  </w:r>
                </w:p>
              </w:tc>
              <w:tc>
                <w:tcPr>
                  <w:tcW w:w="941" w:type="dxa"/>
                  <w:tcBorders>
                    <w:top w:val="nil"/>
                    <w:left w:val="nil"/>
                    <w:bottom w:val="nil"/>
                    <w:right w:val="nil"/>
                  </w:tcBorders>
                  <w:shd w:val="clear" w:color="000000" w:fill="FA8471"/>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0.986</w:t>
                  </w:r>
                </w:p>
              </w:tc>
              <w:tc>
                <w:tcPr>
                  <w:tcW w:w="1394" w:type="dxa"/>
                  <w:tcBorders>
                    <w:top w:val="nil"/>
                    <w:left w:val="nil"/>
                    <w:bottom w:val="nil"/>
                    <w:right w:val="nil"/>
                  </w:tcBorders>
                  <w:shd w:val="clear" w:color="000000" w:fill="F8696B"/>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w:t>
                  </w:r>
                </w:p>
              </w:tc>
              <w:tc>
                <w:tcPr>
                  <w:tcW w:w="1394" w:type="dxa"/>
                  <w:tcBorders>
                    <w:top w:val="nil"/>
                    <w:left w:val="nil"/>
                    <w:bottom w:val="nil"/>
                    <w:right w:val="nil"/>
                  </w:tcBorders>
                  <w:shd w:val="clear" w:color="000000" w:fill="FCAB78"/>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0.966</w:t>
                  </w:r>
                </w:p>
              </w:tc>
              <w:tc>
                <w:tcPr>
                  <w:tcW w:w="1032" w:type="dxa"/>
                  <w:tcBorders>
                    <w:top w:val="nil"/>
                    <w:left w:val="nil"/>
                    <w:bottom w:val="nil"/>
                    <w:right w:val="nil"/>
                  </w:tcBorders>
                  <w:shd w:val="clear" w:color="000000" w:fill="83C77C"/>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0.154</w:t>
                  </w:r>
                </w:p>
              </w:tc>
            </w:tr>
            <w:tr w:rsidR="00E95E51">
              <w:trPr>
                <w:trHeight w:val="232"/>
              </w:trPr>
              <w:tc>
                <w:tcPr>
                  <w:tcW w:w="1303"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偏债型固收</w:t>
                  </w:r>
                  <w:proofErr w:type="gramEnd"/>
                  <w:r>
                    <w:rPr>
                      <w:rFonts w:ascii="楷体" w:eastAsia="楷体" w:hAnsi="楷体" w:cs="宋体" w:hint="eastAsia"/>
                      <w:color w:val="000000"/>
                      <w:kern w:val="0"/>
                      <w:sz w:val="18"/>
                      <w:szCs w:val="18"/>
                    </w:rPr>
                    <w:t>+</w:t>
                  </w:r>
                </w:p>
              </w:tc>
              <w:tc>
                <w:tcPr>
                  <w:tcW w:w="1032" w:type="dxa"/>
                  <w:tcBorders>
                    <w:top w:val="nil"/>
                    <w:left w:val="nil"/>
                    <w:bottom w:val="nil"/>
                    <w:right w:val="nil"/>
                  </w:tcBorders>
                  <w:shd w:val="clear" w:color="000000" w:fill="EFE6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0.836</w:t>
                  </w:r>
                </w:p>
              </w:tc>
              <w:tc>
                <w:tcPr>
                  <w:tcW w:w="1032" w:type="dxa"/>
                  <w:tcBorders>
                    <w:top w:val="nil"/>
                    <w:left w:val="nil"/>
                    <w:bottom w:val="nil"/>
                    <w:right w:val="nil"/>
                  </w:tcBorders>
                  <w:shd w:val="clear" w:color="000000" w:fill="F3E7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0.864</w:t>
                  </w:r>
                </w:p>
              </w:tc>
              <w:tc>
                <w:tcPr>
                  <w:tcW w:w="1394" w:type="dxa"/>
                  <w:tcBorders>
                    <w:top w:val="nil"/>
                    <w:left w:val="nil"/>
                    <w:bottom w:val="nil"/>
                    <w:right w:val="nil"/>
                  </w:tcBorders>
                  <w:shd w:val="clear" w:color="000000" w:fill="FEEA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0.930</w:t>
                  </w:r>
                </w:p>
              </w:tc>
              <w:tc>
                <w:tcPr>
                  <w:tcW w:w="941" w:type="dxa"/>
                  <w:tcBorders>
                    <w:top w:val="nil"/>
                    <w:left w:val="nil"/>
                    <w:bottom w:val="nil"/>
                    <w:right w:val="nil"/>
                  </w:tcBorders>
                  <w:shd w:val="clear" w:color="000000" w:fill="FFE383"/>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0.938</w:t>
                  </w:r>
                </w:p>
              </w:tc>
              <w:tc>
                <w:tcPr>
                  <w:tcW w:w="941" w:type="dxa"/>
                  <w:tcBorders>
                    <w:top w:val="nil"/>
                    <w:left w:val="nil"/>
                    <w:bottom w:val="nil"/>
                    <w:right w:val="nil"/>
                  </w:tcBorders>
                  <w:shd w:val="clear" w:color="000000" w:fill="FFE18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0.939</w:t>
                  </w:r>
                </w:p>
              </w:tc>
              <w:tc>
                <w:tcPr>
                  <w:tcW w:w="1394" w:type="dxa"/>
                  <w:tcBorders>
                    <w:top w:val="nil"/>
                    <w:left w:val="nil"/>
                    <w:bottom w:val="nil"/>
                    <w:right w:val="nil"/>
                  </w:tcBorders>
                  <w:shd w:val="clear" w:color="000000" w:fill="FCAB78"/>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0.966</w:t>
                  </w:r>
                </w:p>
              </w:tc>
              <w:tc>
                <w:tcPr>
                  <w:tcW w:w="1394" w:type="dxa"/>
                  <w:tcBorders>
                    <w:top w:val="nil"/>
                    <w:left w:val="nil"/>
                    <w:bottom w:val="nil"/>
                    <w:right w:val="nil"/>
                  </w:tcBorders>
                  <w:shd w:val="clear" w:color="000000" w:fill="F8696B"/>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w:t>
                  </w:r>
                </w:p>
              </w:tc>
              <w:tc>
                <w:tcPr>
                  <w:tcW w:w="1032" w:type="dxa"/>
                  <w:tcBorders>
                    <w:top w:val="nil"/>
                    <w:left w:val="nil"/>
                    <w:bottom w:val="nil"/>
                    <w:right w:val="nil"/>
                  </w:tcBorders>
                  <w:shd w:val="clear" w:color="000000" w:fill="9DCE7E"/>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0.316</w:t>
                  </w:r>
                </w:p>
              </w:tc>
            </w:tr>
            <w:tr w:rsidR="00E95E51">
              <w:trPr>
                <w:trHeight w:val="232"/>
              </w:trPr>
              <w:tc>
                <w:tcPr>
                  <w:tcW w:w="1303" w:type="dxa"/>
                  <w:tcBorders>
                    <w:top w:val="nil"/>
                    <w:left w:val="nil"/>
                    <w:bottom w:val="nil"/>
                    <w:right w:val="nil"/>
                  </w:tcBorders>
                  <w:shd w:val="clear" w:color="000000" w:fill="FFFFFF"/>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纯债债基</w:t>
                  </w:r>
                </w:p>
              </w:tc>
              <w:tc>
                <w:tcPr>
                  <w:tcW w:w="1032" w:type="dxa"/>
                  <w:tcBorders>
                    <w:top w:val="nil"/>
                    <w:left w:val="nil"/>
                    <w:bottom w:val="nil"/>
                    <w:right w:val="nil"/>
                  </w:tcBorders>
                  <w:shd w:val="clear" w:color="000000" w:fill="63BE7B"/>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-0.052</w:t>
                  </w:r>
                </w:p>
              </w:tc>
              <w:tc>
                <w:tcPr>
                  <w:tcW w:w="1032" w:type="dxa"/>
                  <w:tcBorders>
                    <w:top w:val="nil"/>
                    <w:left w:val="nil"/>
                    <w:bottom w:val="nil"/>
                    <w:right w:val="nil"/>
                  </w:tcBorders>
                  <w:shd w:val="clear" w:color="000000" w:fill="74C37C"/>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0.059</w:t>
                  </w:r>
                </w:p>
              </w:tc>
              <w:tc>
                <w:tcPr>
                  <w:tcW w:w="1394" w:type="dxa"/>
                  <w:tcBorders>
                    <w:top w:val="nil"/>
                    <w:left w:val="nil"/>
                    <w:bottom w:val="nil"/>
                    <w:right w:val="nil"/>
                  </w:tcBorders>
                  <w:shd w:val="clear" w:color="000000" w:fill="75C37C"/>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0.066</w:t>
                  </w:r>
                </w:p>
              </w:tc>
              <w:tc>
                <w:tcPr>
                  <w:tcW w:w="941" w:type="dxa"/>
                  <w:tcBorders>
                    <w:top w:val="nil"/>
                    <w:left w:val="nil"/>
                    <w:bottom w:val="nil"/>
                    <w:right w:val="nil"/>
                  </w:tcBorders>
                  <w:shd w:val="clear" w:color="000000" w:fill="85C77C"/>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0.166</w:t>
                  </w:r>
                </w:p>
              </w:tc>
              <w:tc>
                <w:tcPr>
                  <w:tcW w:w="941" w:type="dxa"/>
                  <w:tcBorders>
                    <w:top w:val="nil"/>
                    <w:left w:val="nil"/>
                    <w:bottom w:val="nil"/>
                    <w:right w:val="nil"/>
                  </w:tcBorders>
                  <w:shd w:val="clear" w:color="000000" w:fill="78C47C"/>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0.085</w:t>
                  </w:r>
                </w:p>
              </w:tc>
              <w:tc>
                <w:tcPr>
                  <w:tcW w:w="1394" w:type="dxa"/>
                  <w:tcBorders>
                    <w:top w:val="nil"/>
                    <w:left w:val="nil"/>
                    <w:bottom w:val="nil"/>
                    <w:right w:val="nil"/>
                  </w:tcBorders>
                  <w:shd w:val="clear" w:color="000000" w:fill="83C77C"/>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0.154</w:t>
                  </w:r>
                </w:p>
              </w:tc>
              <w:tc>
                <w:tcPr>
                  <w:tcW w:w="1394" w:type="dxa"/>
                  <w:tcBorders>
                    <w:top w:val="nil"/>
                    <w:left w:val="nil"/>
                    <w:bottom w:val="nil"/>
                    <w:right w:val="nil"/>
                  </w:tcBorders>
                  <w:shd w:val="clear" w:color="000000" w:fill="9DCE7E"/>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0.316</w:t>
                  </w:r>
                </w:p>
              </w:tc>
              <w:tc>
                <w:tcPr>
                  <w:tcW w:w="1032" w:type="dxa"/>
                  <w:tcBorders>
                    <w:top w:val="nil"/>
                    <w:left w:val="nil"/>
                    <w:bottom w:val="nil"/>
                    <w:right w:val="nil"/>
                  </w:tcBorders>
                  <w:shd w:val="clear" w:color="000000" w:fill="F8696B"/>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w:t>
                  </w:r>
                </w:p>
              </w:tc>
            </w:tr>
          </w:tbl>
          <w:p w:rsidR="00E95E51" w:rsidRDefault="00E95E51">
            <w:pPr>
              <w:tabs>
                <w:tab w:val="left" w:pos="600"/>
              </w:tabs>
              <w:adjustRightInd w:val="0"/>
              <w:snapToGrid w:val="0"/>
              <w:spacing w:line="24" w:lineRule="atLeast"/>
              <w:rPr>
                <w:rFonts w:ascii="楷体" w:eastAsia="楷体" w:hAnsi="楷体"/>
                <w:color w:val="000000" w:themeColor="text1"/>
                <w:sz w:val="18"/>
                <w:szCs w:val="18"/>
              </w:rPr>
            </w:pPr>
          </w:p>
        </w:tc>
      </w:tr>
      <w:tr w:rsidR="00E95E51">
        <w:trPr>
          <w:jc w:val="center"/>
        </w:trPr>
        <w:tc>
          <w:tcPr>
            <w:tcW w:w="9948" w:type="dxa"/>
            <w:tcBorders>
              <w:top w:val="single" w:sz="12" w:space="0" w:color="767171" w:themeColor="background2" w:themeShade="80"/>
            </w:tcBorders>
            <w:vAlign w:val="center"/>
          </w:tcPr>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研究；数据区间：</w:t>
            </w:r>
            <w:r>
              <w:rPr>
                <w:rFonts w:ascii="楷体" w:eastAsia="楷体" w:hAnsi="楷体"/>
                <w:color w:val="000000" w:themeColor="text1"/>
                <w:sz w:val="18"/>
                <w:szCs w:val="18"/>
              </w:rPr>
              <w:t>2016.07.01–2021.06.30</w:t>
            </w:r>
            <w:r>
              <w:rPr>
                <w:rFonts w:ascii="楷体" w:eastAsia="楷体" w:hAnsi="楷体" w:hint="eastAsia"/>
                <w:color w:val="000000" w:themeColor="text1"/>
                <w:sz w:val="18"/>
                <w:szCs w:val="18"/>
              </w:rPr>
              <w:t>；周频数据</w:t>
            </w:r>
          </w:p>
          <w:p w:rsidR="00E95E51" w:rsidRDefault="00502CD5">
            <w:pPr>
              <w:spacing w:after="240"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tc>
      </w:tr>
    </w:tbl>
    <w:p w:rsidR="00E95E51" w:rsidRDefault="00E95E51">
      <w:pPr>
        <w:pStyle w:val="afd"/>
        <w:ind w:firstLine="420"/>
        <w:rPr>
          <w:rFonts w:ascii="楷体" w:eastAsia="楷体" w:hAnsi="楷体"/>
        </w:rPr>
      </w:pPr>
    </w:p>
    <w:p w:rsidR="00E95E51" w:rsidRDefault="00502CD5">
      <w:pPr>
        <w:widowControl/>
        <w:jc w:val="left"/>
        <w:rPr>
          <w:rFonts w:ascii="楷体" w:eastAsia="楷体" w:hAnsi="楷体"/>
          <w:szCs w:val="21"/>
        </w:rPr>
      </w:pPr>
      <w:r>
        <w:rPr>
          <w:rFonts w:ascii="楷体" w:eastAsia="楷体" w:hAnsi="楷体"/>
        </w:rPr>
        <w:br w:type="page"/>
      </w:r>
    </w:p>
    <w:p w:rsidR="00E95E51" w:rsidRDefault="00E95E51">
      <w:pPr>
        <w:pStyle w:val="afd"/>
        <w:ind w:firstLine="420"/>
        <w:rPr>
          <w:rFonts w:ascii="楷体" w:eastAsia="楷体" w:hAnsi="楷体"/>
        </w:rPr>
      </w:pPr>
    </w:p>
    <w:p w:rsidR="00E95E51" w:rsidRDefault="00502CD5">
      <w:pPr>
        <w:pStyle w:val="a"/>
        <w:numPr>
          <w:ilvl w:val="0"/>
          <w:numId w:val="7"/>
        </w:numPr>
        <w:adjustRightInd w:val="0"/>
        <w:snapToGrid w:val="0"/>
        <w:spacing w:before="0" w:after="0" w:line="24" w:lineRule="atLeast"/>
        <w:ind w:rightChars="0" w:right="0"/>
        <w:rPr>
          <w:rFonts w:ascii="楷体" w:eastAsia="楷体" w:hAnsi="楷体"/>
          <w:sz w:val="28"/>
          <w:szCs w:val="28"/>
        </w:rPr>
      </w:pPr>
      <w:r>
        <w:rPr>
          <w:rFonts w:ascii="楷体" w:eastAsia="楷体" w:hAnsi="楷体" w:hint="eastAsia"/>
          <w:sz w:val="28"/>
          <w:szCs w:val="28"/>
        </w:rPr>
        <w:t>不同</w:t>
      </w:r>
      <w:proofErr w:type="gramStart"/>
      <w:r>
        <w:rPr>
          <w:rFonts w:ascii="楷体" w:eastAsia="楷体" w:hAnsi="楷体" w:hint="eastAsia"/>
          <w:sz w:val="28"/>
          <w:szCs w:val="28"/>
        </w:rPr>
        <w:t>类型固收</w:t>
      </w:r>
      <w:proofErr w:type="gramEnd"/>
      <w:r>
        <w:rPr>
          <w:rFonts w:ascii="楷体" w:eastAsia="楷体" w:hAnsi="楷体" w:hint="eastAsia"/>
          <w:sz w:val="28"/>
          <w:szCs w:val="28"/>
        </w:rPr>
        <w:t>+基金优选建议</w:t>
      </w:r>
    </w:p>
    <w:p w:rsidR="00E95E51" w:rsidRDefault="00E95E51">
      <w:pPr>
        <w:pStyle w:val="afd"/>
        <w:ind w:firstLineChars="0" w:firstLine="0"/>
        <w:rPr>
          <w:rFonts w:ascii="楷体" w:eastAsia="楷体" w:hAnsi="楷体"/>
        </w:rPr>
      </w:pPr>
    </w:p>
    <w:p w:rsidR="00E95E51" w:rsidRDefault="00502CD5">
      <w:pPr>
        <w:pStyle w:val="afd"/>
        <w:ind w:firstLine="420"/>
        <w:rPr>
          <w:rFonts w:ascii="楷体" w:eastAsia="楷体" w:hAnsi="楷体"/>
        </w:rPr>
      </w:pPr>
      <w:r>
        <w:rPr>
          <w:rFonts w:ascii="楷体" w:eastAsia="楷体" w:hAnsi="楷体" w:hint="eastAsia"/>
        </w:rPr>
        <w:t>由于不同</w:t>
      </w:r>
      <w:proofErr w:type="gramStart"/>
      <w:r>
        <w:rPr>
          <w:rFonts w:ascii="楷体" w:eastAsia="楷体" w:hAnsi="楷体" w:hint="eastAsia"/>
        </w:rPr>
        <w:t>类型固收</w:t>
      </w:r>
      <w:proofErr w:type="gramEnd"/>
      <w:r>
        <w:rPr>
          <w:rFonts w:ascii="楷体" w:eastAsia="楷体" w:hAnsi="楷体" w:hint="eastAsia"/>
        </w:rPr>
        <w:t>+产品风格差异较大，且对应投资人对于收益风险、持有体验等要求也各不相同，因此</w:t>
      </w:r>
      <w:proofErr w:type="gramStart"/>
      <w:r>
        <w:rPr>
          <w:rFonts w:ascii="楷体" w:eastAsia="楷体" w:hAnsi="楷体" w:hint="eastAsia"/>
        </w:rPr>
        <w:t>在固收</w:t>
      </w:r>
      <w:proofErr w:type="gramEnd"/>
      <w:r>
        <w:rPr>
          <w:rFonts w:ascii="楷体" w:eastAsia="楷体" w:hAnsi="楷体" w:hint="eastAsia"/>
        </w:rPr>
        <w:t>+基金优选时，我们建议通过不同的指标进行筛选。</w:t>
      </w:r>
    </w:p>
    <w:p w:rsidR="00E95E51" w:rsidRDefault="00E95E51">
      <w:pPr>
        <w:pStyle w:val="afd"/>
        <w:ind w:firstLine="420"/>
        <w:rPr>
          <w:rFonts w:ascii="楷体" w:eastAsia="楷体" w:hAnsi="楷体"/>
        </w:rPr>
      </w:pPr>
    </w:p>
    <w:p w:rsidR="00E95E51" w:rsidRDefault="00502CD5">
      <w:pPr>
        <w:pStyle w:val="a"/>
        <w:numPr>
          <w:ilvl w:val="0"/>
          <w:numId w:val="0"/>
        </w:numPr>
        <w:adjustRightInd w:val="0"/>
        <w:snapToGrid w:val="0"/>
        <w:spacing w:before="0" w:after="0" w:line="24" w:lineRule="atLeast"/>
        <w:ind w:rightChars="0" w:right="0"/>
        <w:rPr>
          <w:rFonts w:ascii="楷体" w:eastAsia="楷体" w:hAnsi="楷体"/>
          <w:sz w:val="24"/>
          <w:szCs w:val="28"/>
        </w:rPr>
      </w:pPr>
      <w:r>
        <w:rPr>
          <w:rFonts w:ascii="楷体" w:eastAsia="楷体" w:hAnsi="楷体"/>
          <w:sz w:val="24"/>
          <w:szCs w:val="28"/>
        </w:rPr>
        <w:t>3.1.</w:t>
      </w:r>
      <w:r>
        <w:rPr>
          <w:rFonts w:ascii="楷体" w:eastAsia="楷体" w:hAnsi="楷体" w:hint="eastAsia"/>
          <w:sz w:val="24"/>
          <w:szCs w:val="28"/>
        </w:rPr>
        <w:t>基于Brinson模型的归因分析</w:t>
      </w:r>
    </w:p>
    <w:p w:rsidR="00E95E51" w:rsidRDefault="00E95E51">
      <w:pPr>
        <w:pStyle w:val="afd"/>
        <w:ind w:firstLine="420"/>
        <w:rPr>
          <w:rFonts w:ascii="楷体" w:eastAsia="楷体" w:hAnsi="楷体"/>
        </w:rPr>
      </w:pPr>
    </w:p>
    <w:p w:rsidR="00E95E51" w:rsidRDefault="00502CD5">
      <w:pPr>
        <w:pStyle w:val="afd"/>
        <w:ind w:firstLine="420"/>
        <w:rPr>
          <w:rFonts w:ascii="楷体" w:eastAsia="楷体" w:hAnsi="楷体"/>
        </w:rPr>
      </w:pPr>
      <w:proofErr w:type="gramStart"/>
      <w:r>
        <w:rPr>
          <w:rFonts w:ascii="楷体" w:eastAsia="楷体" w:hAnsi="楷体" w:hint="eastAsia"/>
        </w:rPr>
        <w:t>由于固收</w:t>
      </w:r>
      <w:proofErr w:type="gramEnd"/>
      <w:r>
        <w:rPr>
          <w:rFonts w:ascii="楷体" w:eastAsia="楷体" w:hAnsi="楷体" w:hint="eastAsia"/>
        </w:rPr>
        <w:t>+基金整体持仓披露较为完整，每季度都能获取几乎所有的可转债及股票明细，因此尝试使用</w:t>
      </w:r>
      <w:proofErr w:type="gramStart"/>
      <w:r>
        <w:rPr>
          <w:rFonts w:ascii="楷体" w:eastAsia="楷体" w:hAnsi="楷体" w:hint="eastAsia"/>
        </w:rPr>
        <w:t>非回归</w:t>
      </w:r>
      <w:proofErr w:type="gramEnd"/>
      <w:r>
        <w:rPr>
          <w:rFonts w:ascii="楷体" w:eastAsia="楷体" w:hAnsi="楷体" w:hint="eastAsia"/>
        </w:rPr>
        <w:t>形式的收益率分解，通过配置收益、择</w:t>
      </w:r>
      <w:proofErr w:type="gramStart"/>
      <w:r>
        <w:rPr>
          <w:rFonts w:ascii="楷体" w:eastAsia="楷体" w:hAnsi="楷体" w:hint="eastAsia"/>
        </w:rPr>
        <w:t>券</w:t>
      </w:r>
      <w:proofErr w:type="gramEnd"/>
      <w:r>
        <w:rPr>
          <w:rFonts w:ascii="楷体" w:eastAsia="楷体" w:hAnsi="楷体" w:hint="eastAsia"/>
        </w:rPr>
        <w:t>择股收益、交易收益三个维度来分析可转</w:t>
      </w:r>
      <w:proofErr w:type="gramStart"/>
      <w:r>
        <w:rPr>
          <w:rFonts w:ascii="楷体" w:eastAsia="楷体" w:hAnsi="楷体" w:hint="eastAsia"/>
        </w:rPr>
        <w:t>债基金</w:t>
      </w:r>
      <w:proofErr w:type="gramEnd"/>
      <w:r>
        <w:rPr>
          <w:rFonts w:ascii="楷体" w:eastAsia="楷体" w:hAnsi="楷体" w:hint="eastAsia"/>
        </w:rPr>
        <w:t>的收益来源。测算区间为近8期季报（2019Q2-2021Q1）。</w:t>
      </w:r>
    </w:p>
    <w:p w:rsidR="00E95E51" w:rsidRDefault="00E95E51">
      <w:pPr>
        <w:pStyle w:val="afd"/>
        <w:ind w:firstLine="420"/>
        <w:rPr>
          <w:rFonts w:ascii="楷体" w:eastAsia="楷体" w:hAnsi="楷体"/>
        </w:rPr>
      </w:pPr>
    </w:p>
    <w:p w:rsidR="00E95E51" w:rsidRDefault="00502CD5">
      <w:pPr>
        <w:pStyle w:val="afd"/>
        <w:ind w:firstLine="420"/>
        <w:rPr>
          <w:rFonts w:ascii="楷体" w:eastAsia="楷体" w:hAnsi="楷体"/>
        </w:rPr>
      </w:pPr>
      <w:r>
        <w:rPr>
          <w:rFonts w:ascii="楷体" w:eastAsia="楷体" w:hAnsi="楷体" w:hint="eastAsia"/>
        </w:rPr>
        <w:t>核心假设：</w:t>
      </w:r>
    </w:p>
    <w:p w:rsidR="00E95E51" w:rsidRDefault="00502CD5">
      <w:pPr>
        <w:pStyle w:val="afd"/>
        <w:ind w:firstLine="420"/>
        <w:rPr>
          <w:rFonts w:ascii="楷体" w:eastAsia="楷体" w:hAnsi="楷体"/>
        </w:rPr>
      </w:pPr>
      <w:r>
        <w:rPr>
          <w:rFonts w:ascii="楷体" w:eastAsia="楷体" w:hAnsi="楷体" w:hint="eastAsia"/>
        </w:rPr>
        <w:t>1）根据</w:t>
      </w:r>
      <w:r w:rsidR="000F0520">
        <w:rPr>
          <w:rFonts w:ascii="楷体" w:eastAsia="楷体" w:hAnsi="楷体" w:hint="eastAsia"/>
        </w:rPr>
        <w:t>不同</w:t>
      </w:r>
      <w:proofErr w:type="gramStart"/>
      <w:r w:rsidR="000F0520">
        <w:rPr>
          <w:rFonts w:ascii="楷体" w:eastAsia="楷体" w:hAnsi="楷体" w:hint="eastAsia"/>
        </w:rPr>
        <w:t>类型固收</w:t>
      </w:r>
      <w:proofErr w:type="gramEnd"/>
      <w:r w:rsidR="000F0520">
        <w:rPr>
          <w:rFonts w:ascii="楷体" w:eastAsia="楷体" w:hAnsi="楷体" w:hint="eastAsia"/>
        </w:rPr>
        <w:t>+</w:t>
      </w:r>
      <w:r>
        <w:rPr>
          <w:rFonts w:ascii="楷体" w:eastAsia="楷体" w:hAnsi="楷体" w:hint="eastAsia"/>
        </w:rPr>
        <w:t>基金的业绩基准</w:t>
      </w:r>
      <w:r w:rsidR="000F0520">
        <w:rPr>
          <w:rFonts w:ascii="楷体" w:eastAsia="楷体" w:hAnsi="楷体" w:hint="eastAsia"/>
        </w:rPr>
        <w:t>进行归因，基准参见图表1</w:t>
      </w:r>
      <w:r w:rsidR="000F0520">
        <w:rPr>
          <w:rFonts w:ascii="楷体" w:eastAsia="楷体" w:hAnsi="楷体"/>
        </w:rPr>
        <w:t>1</w:t>
      </w:r>
      <w:r>
        <w:rPr>
          <w:rFonts w:ascii="楷体" w:eastAsia="楷体" w:hAnsi="楷体" w:hint="eastAsia"/>
        </w:rPr>
        <w:t>；</w:t>
      </w:r>
    </w:p>
    <w:p w:rsidR="00E95E51" w:rsidRDefault="00502CD5">
      <w:pPr>
        <w:pStyle w:val="afd"/>
        <w:ind w:firstLine="420"/>
        <w:rPr>
          <w:rFonts w:ascii="楷体" w:eastAsia="楷体" w:hAnsi="楷体"/>
        </w:rPr>
      </w:pPr>
      <w:r>
        <w:rPr>
          <w:rFonts w:ascii="楷体" w:eastAsia="楷体" w:hAnsi="楷体" w:hint="eastAsia"/>
        </w:rPr>
        <w:t>2）假设每季度末前后45天持仓不变，将季度重新划分，即“一季度”为2月14日到5月15日，“二季度”为5月16日到8月15日,以此类推，计算每“季度”大类资产实际收益率。</w:t>
      </w:r>
    </w:p>
    <w:p w:rsidR="00E95E51" w:rsidRDefault="00E95E51">
      <w:pPr>
        <w:pStyle w:val="afd"/>
        <w:ind w:firstLine="420"/>
        <w:rPr>
          <w:rFonts w:ascii="楷体" w:eastAsia="楷体" w:hAnsi="楷体"/>
        </w:rPr>
      </w:pPr>
    </w:p>
    <w:p w:rsidR="00E95E51" w:rsidRDefault="00502CD5">
      <w:pPr>
        <w:pStyle w:val="2"/>
        <w:numPr>
          <w:ilvl w:val="0"/>
          <w:numId w:val="0"/>
        </w:numPr>
        <w:ind w:left="426"/>
        <w:rPr>
          <w:rFonts w:ascii="楷体" w:eastAsia="楷体" w:hAnsi="楷体"/>
          <w:b w:val="0"/>
        </w:rPr>
      </w:pPr>
      <w:r>
        <w:rPr>
          <w:rFonts w:ascii="楷体" w:eastAsia="楷体" w:hAnsi="楷体" w:hint="eastAsia"/>
          <w:b w:val="0"/>
        </w:rPr>
        <w:t>主要计算方法：</w:t>
      </w:r>
      <w:bookmarkStart w:id="0" w:name="_GoBack"/>
      <w:bookmarkEnd w:id="0"/>
    </w:p>
    <w:tbl>
      <w:tblPr>
        <w:tblW w:w="8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2"/>
        <w:gridCol w:w="4485"/>
      </w:tblGrid>
      <w:tr w:rsidR="00E95E51">
        <w:trPr>
          <w:trHeight w:val="126"/>
          <w:jc w:val="center"/>
        </w:trPr>
        <w:tc>
          <w:tcPr>
            <w:tcW w:w="3892" w:type="dxa"/>
            <w:shd w:val="clear" w:color="auto" w:fill="auto"/>
            <w:noWrap/>
            <w:vAlign w:val="bottom"/>
          </w:tcPr>
          <w:p w:rsidR="00E95E51" w:rsidRPr="000D6B63" w:rsidRDefault="00502CD5">
            <w:pPr>
              <w:widowControl/>
              <w:jc w:val="left"/>
              <w:rPr>
                <w:rFonts w:ascii="楷体" w:eastAsia="楷体" w:hAnsi="楷体" w:cs="宋体"/>
                <w:bCs/>
                <w:color w:val="000000"/>
                <w:kern w:val="0"/>
                <w:sz w:val="18"/>
                <w:szCs w:val="18"/>
              </w:rPr>
            </w:pPr>
            <w:r w:rsidRPr="000D6B63">
              <w:rPr>
                <w:rFonts w:ascii="楷体" w:eastAsia="楷体" w:hAnsi="楷体" w:cs="宋体" w:hint="eastAsia"/>
                <w:bCs/>
                <w:color w:val="000000"/>
                <w:kern w:val="0"/>
                <w:sz w:val="18"/>
                <w:szCs w:val="18"/>
              </w:rPr>
              <w:t>1</w:t>
            </w:r>
            <w:r w:rsidRPr="000D6B63">
              <w:rPr>
                <w:rFonts w:ascii="楷体" w:eastAsia="楷体" w:hAnsi="楷体" w:cs="宋体"/>
                <w:bCs/>
                <w:color w:val="000000"/>
                <w:kern w:val="0"/>
                <w:sz w:val="18"/>
                <w:szCs w:val="18"/>
              </w:rPr>
              <w:t>.</w:t>
            </w:r>
            <w:r w:rsidRPr="000D6B63">
              <w:rPr>
                <w:rFonts w:ascii="楷体" w:eastAsia="楷体" w:hAnsi="楷体" w:cs="宋体" w:hint="eastAsia"/>
                <w:bCs/>
                <w:color w:val="000000"/>
                <w:kern w:val="0"/>
                <w:sz w:val="18"/>
                <w:szCs w:val="18"/>
              </w:rPr>
              <w:t>实际收益率</w:t>
            </w:r>
          </w:p>
        </w:tc>
        <w:tc>
          <w:tcPr>
            <w:tcW w:w="4485" w:type="dxa"/>
            <w:shd w:val="clear" w:color="auto" w:fill="auto"/>
            <w:noWrap/>
            <w:vAlign w:val="bottom"/>
          </w:tcPr>
          <w:p w:rsidR="00E95E51" w:rsidRPr="000D6B63" w:rsidRDefault="00957A6F">
            <w:pPr>
              <w:widowControl/>
              <w:jc w:val="left"/>
              <w:rPr>
                <w:rFonts w:ascii="楷体" w:eastAsia="楷体" w:hAnsi="楷体" w:cs="宋体"/>
                <w:color w:val="000000"/>
                <w:kern w:val="0"/>
                <w:sz w:val="18"/>
                <w:szCs w:val="18"/>
              </w:rPr>
            </w:pPr>
            <m:oMathPara>
              <m:oMathParaPr>
                <m:jc m:val="left"/>
              </m:oMathParaPr>
              <m:oMath>
                <m:sSub>
                  <m:sSubPr>
                    <m:ctrlPr>
                      <w:rPr>
                        <w:rFonts w:ascii="Cambria Math" w:eastAsia="楷体" w:hAnsi="Cambria Math" w:hint="eastAsia"/>
                        <w:szCs w:val="21"/>
                      </w:rPr>
                    </m:ctrlPr>
                  </m:sSubPr>
                  <m:e>
                    <m:r>
                      <m:rPr>
                        <m:sty m:val="p"/>
                      </m:rPr>
                      <w:rPr>
                        <w:rFonts w:ascii="Cambria Math" w:eastAsia="楷体" w:hAnsi="Cambria Math"/>
                        <w:szCs w:val="21"/>
                      </w:rPr>
                      <m:t>R</m:t>
                    </m:r>
                  </m:e>
                  <m:sub>
                    <m:r>
                      <m:rPr>
                        <m:sty m:val="p"/>
                      </m:rPr>
                      <w:rPr>
                        <w:rFonts w:ascii="Cambria Math" w:eastAsia="楷体" w:hAnsi="Cambria Math"/>
                        <w:szCs w:val="21"/>
                      </w:rPr>
                      <m:t>p</m:t>
                    </m:r>
                  </m:sub>
                </m:sSub>
              </m:oMath>
            </m:oMathPara>
          </w:p>
        </w:tc>
      </w:tr>
      <w:tr w:rsidR="00E95E51">
        <w:trPr>
          <w:trHeight w:val="193"/>
          <w:jc w:val="center"/>
        </w:trPr>
        <w:tc>
          <w:tcPr>
            <w:tcW w:w="3892" w:type="dxa"/>
            <w:shd w:val="clear" w:color="auto" w:fill="auto"/>
            <w:noWrap/>
            <w:vAlign w:val="bottom"/>
          </w:tcPr>
          <w:p w:rsidR="00E95E51" w:rsidRPr="000D6B63" w:rsidRDefault="00502CD5">
            <w:pPr>
              <w:widowControl/>
              <w:jc w:val="left"/>
              <w:rPr>
                <w:rFonts w:ascii="楷体" w:eastAsia="楷体" w:hAnsi="楷体" w:cs="宋体"/>
                <w:bCs/>
                <w:color w:val="000000"/>
                <w:kern w:val="0"/>
                <w:sz w:val="18"/>
                <w:szCs w:val="18"/>
              </w:rPr>
            </w:pPr>
            <w:r w:rsidRPr="000D6B63">
              <w:rPr>
                <w:rFonts w:ascii="楷体" w:eastAsia="楷体" w:hAnsi="楷体" w:cs="宋体" w:hint="eastAsia"/>
                <w:bCs/>
                <w:color w:val="000000"/>
                <w:kern w:val="0"/>
                <w:sz w:val="18"/>
                <w:szCs w:val="18"/>
              </w:rPr>
              <w:t>2.组合权重的指数收益</w:t>
            </w:r>
          </w:p>
        </w:tc>
        <w:tc>
          <w:tcPr>
            <w:tcW w:w="4485"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Para>
              <m:oMathParaPr>
                <m:jc m:val="left"/>
              </m:oMathParaPr>
              <m:oMath>
                <m:sSub>
                  <m:sSubPr>
                    <m:ctrlPr>
                      <w:rPr>
                        <w:rFonts w:ascii="Cambria Math" w:eastAsia="楷体" w:hAnsi="Cambria Math" w:hint="eastAsia"/>
                        <w:szCs w:val="21"/>
                      </w:rPr>
                    </m:ctrlPr>
                  </m:sSubPr>
                  <m:e>
                    <m:r>
                      <m:rPr>
                        <m:sty m:val="p"/>
                      </m:rPr>
                      <w:rPr>
                        <w:rFonts w:ascii="Cambria Math" w:eastAsia="楷体" w:hAnsi="Cambria Math"/>
                        <w:szCs w:val="21"/>
                      </w:rPr>
                      <m:t>W</m:t>
                    </m:r>
                  </m:e>
                  <m:sub>
                    <m:r>
                      <m:rPr>
                        <m:sty m:val="p"/>
                      </m:rPr>
                      <w:rPr>
                        <w:rFonts w:ascii="Cambria Math" w:eastAsia="楷体" w:hAnsi="Cambria Math"/>
                        <w:szCs w:val="21"/>
                      </w:rPr>
                      <m:t>pcb</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bcb</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W</m:t>
                    </m:r>
                  </m:e>
                  <m:sub>
                    <m:r>
                      <m:rPr>
                        <m:sty m:val="p"/>
                      </m:rPr>
                      <w:rPr>
                        <w:rFonts w:ascii="Cambria Math" w:eastAsia="楷体" w:hAnsi="Cambria Math"/>
                        <w:szCs w:val="21"/>
                      </w:rPr>
                      <m:t>ps</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bs</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W</m:t>
                    </m:r>
                  </m:e>
                  <m:sub>
                    <m:r>
                      <m:rPr>
                        <m:sty m:val="p"/>
                      </m:rPr>
                      <w:rPr>
                        <w:rFonts w:ascii="Cambria Math" w:eastAsia="楷体" w:hAnsi="Cambria Math"/>
                        <w:szCs w:val="21"/>
                      </w:rPr>
                      <m:t>pb</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b</m:t>
                    </m:r>
                  </m:sub>
                </m:sSub>
              </m:oMath>
            </m:oMathPara>
          </w:p>
        </w:tc>
      </w:tr>
      <w:tr w:rsidR="00E95E51">
        <w:trPr>
          <w:trHeight w:val="315"/>
          <w:jc w:val="center"/>
        </w:trPr>
        <w:tc>
          <w:tcPr>
            <w:tcW w:w="3892" w:type="dxa"/>
            <w:tcBorders>
              <w:bottom w:val="single" w:sz="4" w:space="0" w:color="auto"/>
            </w:tcBorders>
            <w:shd w:val="clear" w:color="auto" w:fill="auto"/>
            <w:noWrap/>
            <w:vAlign w:val="bottom"/>
          </w:tcPr>
          <w:p w:rsidR="00E95E51" w:rsidRPr="000D6B63" w:rsidRDefault="00502CD5">
            <w:pPr>
              <w:widowControl/>
              <w:jc w:val="left"/>
              <w:rPr>
                <w:rFonts w:ascii="楷体" w:eastAsia="楷体" w:hAnsi="楷体" w:cs="宋体"/>
                <w:bCs/>
                <w:color w:val="000000"/>
                <w:kern w:val="0"/>
                <w:sz w:val="18"/>
                <w:szCs w:val="18"/>
              </w:rPr>
            </w:pPr>
            <w:r w:rsidRPr="000D6B63">
              <w:rPr>
                <w:rFonts w:ascii="楷体" w:eastAsia="楷体" w:hAnsi="楷体" w:cs="宋体" w:hint="eastAsia"/>
                <w:bCs/>
                <w:color w:val="000000"/>
                <w:kern w:val="0"/>
                <w:sz w:val="18"/>
                <w:szCs w:val="18"/>
              </w:rPr>
              <w:t>3</w:t>
            </w:r>
            <w:r w:rsidRPr="000D6B63">
              <w:rPr>
                <w:rFonts w:ascii="楷体" w:eastAsia="楷体" w:hAnsi="楷体" w:cs="宋体"/>
                <w:bCs/>
                <w:color w:val="000000"/>
                <w:kern w:val="0"/>
                <w:sz w:val="18"/>
                <w:szCs w:val="18"/>
              </w:rPr>
              <w:t>.</w:t>
            </w:r>
            <w:r w:rsidRPr="000D6B63">
              <w:rPr>
                <w:rFonts w:ascii="楷体" w:eastAsia="楷体" w:hAnsi="楷体" w:cs="宋体" w:hint="eastAsia"/>
                <w:bCs/>
                <w:color w:val="000000"/>
                <w:kern w:val="0"/>
                <w:sz w:val="18"/>
                <w:szCs w:val="18"/>
              </w:rPr>
              <w:t>基准权重的组合收益</w:t>
            </w:r>
          </w:p>
        </w:tc>
        <w:tc>
          <w:tcPr>
            <w:tcW w:w="4485" w:type="dxa"/>
            <w:tcBorders>
              <w:bottom w:val="single" w:sz="4" w:space="0" w:color="auto"/>
            </w:tcBorders>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Para>
              <m:oMathParaPr>
                <m:jc m:val="left"/>
              </m:oMathParaPr>
              <m:oMath>
                <m:sSub>
                  <m:sSubPr>
                    <m:ctrlPr>
                      <w:rPr>
                        <w:rFonts w:ascii="Cambria Math" w:eastAsia="楷体" w:hAnsi="Cambria Math" w:hint="eastAsia"/>
                        <w:szCs w:val="21"/>
                      </w:rPr>
                    </m:ctrlPr>
                  </m:sSubPr>
                  <m:e>
                    <m:r>
                      <m:rPr>
                        <m:sty m:val="p"/>
                      </m:rPr>
                      <w:rPr>
                        <w:rFonts w:ascii="Cambria Math" w:eastAsia="楷体" w:hAnsi="Cambria Math"/>
                        <w:szCs w:val="21"/>
                      </w:rPr>
                      <m:t>W</m:t>
                    </m:r>
                  </m:e>
                  <m:sub>
                    <m:r>
                      <m:rPr>
                        <m:sty m:val="p"/>
                      </m:rPr>
                      <w:rPr>
                        <w:rFonts w:ascii="Cambria Math" w:eastAsia="楷体" w:hAnsi="Cambria Math"/>
                        <w:szCs w:val="21"/>
                      </w:rPr>
                      <m:t>bcb</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pcb</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W</m:t>
                    </m:r>
                  </m:e>
                  <m:sub>
                    <m:r>
                      <m:rPr>
                        <m:sty m:val="p"/>
                      </m:rPr>
                      <w:rPr>
                        <w:rFonts w:ascii="Cambria Math" w:eastAsia="楷体" w:hAnsi="Cambria Math"/>
                        <w:szCs w:val="21"/>
                      </w:rPr>
                      <m:t>bs</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ps</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W</m:t>
                    </m:r>
                  </m:e>
                  <m:sub>
                    <m:r>
                      <m:rPr>
                        <m:sty m:val="p"/>
                      </m:rPr>
                      <w:rPr>
                        <w:rFonts w:ascii="Cambria Math" w:eastAsia="楷体" w:hAnsi="Cambria Math"/>
                        <w:szCs w:val="21"/>
                      </w:rPr>
                      <m:t>bb</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pb</m:t>
                    </m:r>
                  </m:sub>
                </m:sSub>
              </m:oMath>
            </m:oMathPara>
          </w:p>
        </w:tc>
      </w:tr>
      <w:tr w:rsidR="00E95E51">
        <w:trPr>
          <w:trHeight w:val="315"/>
          <w:jc w:val="center"/>
        </w:trPr>
        <w:tc>
          <w:tcPr>
            <w:tcW w:w="3892" w:type="dxa"/>
            <w:tcBorders>
              <w:bottom w:val="single" w:sz="4" w:space="0" w:color="auto"/>
            </w:tcBorders>
            <w:shd w:val="clear" w:color="auto" w:fill="auto"/>
            <w:noWrap/>
            <w:vAlign w:val="bottom"/>
          </w:tcPr>
          <w:p w:rsidR="00E95E51" w:rsidRPr="000D6B63" w:rsidRDefault="00502CD5">
            <w:pPr>
              <w:widowControl/>
              <w:jc w:val="left"/>
              <w:rPr>
                <w:rFonts w:ascii="楷体" w:eastAsia="楷体" w:hAnsi="楷体" w:cs="宋体"/>
                <w:bCs/>
                <w:color w:val="000000"/>
                <w:kern w:val="0"/>
                <w:sz w:val="18"/>
                <w:szCs w:val="18"/>
              </w:rPr>
            </w:pPr>
            <w:r w:rsidRPr="000D6B63">
              <w:rPr>
                <w:rFonts w:ascii="楷体" w:eastAsia="楷体" w:hAnsi="楷体" w:cs="宋体" w:hint="eastAsia"/>
                <w:bCs/>
                <w:color w:val="000000"/>
                <w:kern w:val="0"/>
                <w:sz w:val="18"/>
                <w:szCs w:val="18"/>
              </w:rPr>
              <w:t>4</w:t>
            </w:r>
            <w:r w:rsidRPr="000D6B63">
              <w:rPr>
                <w:rFonts w:ascii="楷体" w:eastAsia="楷体" w:hAnsi="楷体" w:cs="宋体"/>
                <w:bCs/>
                <w:color w:val="000000"/>
                <w:kern w:val="0"/>
                <w:sz w:val="18"/>
                <w:szCs w:val="18"/>
              </w:rPr>
              <w:t>.</w:t>
            </w:r>
            <w:r w:rsidRPr="000D6B63">
              <w:rPr>
                <w:rFonts w:ascii="楷体" w:eastAsia="楷体" w:hAnsi="楷体" w:cs="宋体" w:hint="eastAsia"/>
                <w:bCs/>
                <w:color w:val="000000"/>
                <w:kern w:val="0"/>
                <w:sz w:val="18"/>
                <w:szCs w:val="18"/>
              </w:rPr>
              <w:t>基准权重的基准收益率</w:t>
            </w:r>
          </w:p>
        </w:tc>
        <w:tc>
          <w:tcPr>
            <w:tcW w:w="4485" w:type="dxa"/>
            <w:tcBorders>
              <w:bottom w:val="single" w:sz="4" w:space="0" w:color="auto"/>
            </w:tcBorders>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Para>
              <m:oMathParaPr>
                <m:jc m:val="left"/>
              </m:oMathParaPr>
              <m:oMath>
                <m:sSub>
                  <m:sSubPr>
                    <m:ctrlPr>
                      <w:rPr>
                        <w:rFonts w:ascii="Cambria Math" w:eastAsia="楷体" w:hAnsi="Cambria Math" w:hint="eastAsia"/>
                        <w:szCs w:val="21"/>
                      </w:rPr>
                    </m:ctrlPr>
                  </m:sSubPr>
                  <m:e>
                    <m:r>
                      <m:rPr>
                        <m:sty m:val="p"/>
                      </m:rPr>
                      <w:rPr>
                        <w:rFonts w:ascii="Cambria Math" w:eastAsia="楷体" w:hAnsi="Cambria Math"/>
                        <w:szCs w:val="21"/>
                      </w:rPr>
                      <m:t>W</m:t>
                    </m:r>
                  </m:e>
                  <m:sub>
                    <m:r>
                      <m:rPr>
                        <m:sty m:val="p"/>
                      </m:rPr>
                      <w:rPr>
                        <w:rFonts w:ascii="Cambria Math" w:eastAsia="楷体" w:hAnsi="Cambria Math"/>
                        <w:szCs w:val="21"/>
                      </w:rPr>
                      <m:t>bcb</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bcb</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W</m:t>
                    </m:r>
                  </m:e>
                  <m:sub>
                    <m:r>
                      <m:rPr>
                        <m:sty m:val="p"/>
                      </m:rPr>
                      <w:rPr>
                        <w:rFonts w:ascii="Cambria Math" w:eastAsia="楷体" w:hAnsi="Cambria Math"/>
                        <w:szCs w:val="21"/>
                      </w:rPr>
                      <m:t>bs</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bs</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W</m:t>
                    </m:r>
                  </m:e>
                  <m:sub>
                    <m:r>
                      <m:rPr>
                        <m:sty m:val="p"/>
                      </m:rPr>
                      <w:rPr>
                        <w:rFonts w:ascii="Cambria Math" w:eastAsia="楷体" w:hAnsi="Cambria Math"/>
                        <w:szCs w:val="21"/>
                      </w:rPr>
                      <m:t>bb</m:t>
                    </m:r>
                  </m:sub>
                </m:sSub>
                <m:r>
                  <m:rPr>
                    <m:sty m:val="p"/>
                  </m:rPr>
                  <w:rPr>
                    <w:rFonts w:ascii="Cambria Math" w:eastAsia="楷体" w:hAnsi="Cambria Math"/>
                    <w:szCs w:val="21"/>
                  </w:rPr>
                  <m:t>*</m:t>
                </m:r>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bb</m:t>
                    </m:r>
                  </m:sub>
                </m:sSub>
              </m:oMath>
            </m:oMathPara>
          </w:p>
        </w:tc>
      </w:tr>
      <w:tr w:rsidR="00E95E51">
        <w:trPr>
          <w:trHeight w:val="157"/>
          <w:jc w:val="center"/>
        </w:trPr>
        <w:tc>
          <w:tcPr>
            <w:tcW w:w="3892" w:type="dxa"/>
            <w:tcBorders>
              <w:top w:val="single" w:sz="4" w:space="0" w:color="auto"/>
              <w:left w:val="nil"/>
              <w:bottom w:val="single" w:sz="4" w:space="0" w:color="auto"/>
              <w:right w:val="nil"/>
            </w:tcBorders>
            <w:shd w:val="clear" w:color="auto" w:fill="auto"/>
            <w:noWrap/>
            <w:vAlign w:val="center"/>
          </w:tcPr>
          <w:p w:rsidR="00E95E51" w:rsidRPr="000D6B63" w:rsidRDefault="00E95E51">
            <w:pPr>
              <w:widowControl/>
              <w:jc w:val="center"/>
              <w:rPr>
                <w:rFonts w:ascii="楷体" w:eastAsia="楷体" w:hAnsi="楷体" w:cs="宋体"/>
                <w:color w:val="000000"/>
                <w:kern w:val="0"/>
                <w:sz w:val="18"/>
                <w:szCs w:val="18"/>
              </w:rPr>
            </w:pPr>
          </w:p>
        </w:tc>
        <w:tc>
          <w:tcPr>
            <w:tcW w:w="4485" w:type="dxa"/>
            <w:tcBorders>
              <w:top w:val="single" w:sz="4" w:space="0" w:color="auto"/>
              <w:left w:val="nil"/>
              <w:bottom w:val="single" w:sz="4" w:space="0" w:color="auto"/>
              <w:right w:val="nil"/>
            </w:tcBorders>
            <w:shd w:val="clear" w:color="auto" w:fill="auto"/>
            <w:noWrap/>
            <w:vAlign w:val="center"/>
          </w:tcPr>
          <w:p w:rsidR="00E95E51" w:rsidRPr="000D6B63" w:rsidRDefault="00E95E51">
            <w:pPr>
              <w:widowControl/>
              <w:jc w:val="center"/>
              <w:rPr>
                <w:rFonts w:ascii="楷体" w:eastAsia="楷体" w:hAnsi="楷体" w:cs="Times New Roman"/>
                <w:kern w:val="0"/>
                <w:sz w:val="18"/>
                <w:szCs w:val="18"/>
              </w:rPr>
            </w:pPr>
          </w:p>
        </w:tc>
      </w:tr>
      <w:tr w:rsidR="00E95E51">
        <w:trPr>
          <w:trHeight w:val="157"/>
          <w:jc w:val="center"/>
        </w:trPr>
        <w:tc>
          <w:tcPr>
            <w:tcW w:w="3892" w:type="dxa"/>
            <w:tcBorders>
              <w:top w:val="single" w:sz="4" w:space="0" w:color="auto"/>
            </w:tcBorders>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hint="eastAsia"/>
                      <w:szCs w:val="21"/>
                    </w:rPr>
                  </m:ctrlPr>
                </m:sSubPr>
                <m:e>
                  <m:r>
                    <m:rPr>
                      <m:sty m:val="p"/>
                    </m:rPr>
                    <w:rPr>
                      <w:rFonts w:ascii="Cambria Math" w:eastAsia="楷体" w:hAnsi="Cambria Math"/>
                      <w:szCs w:val="21"/>
                    </w:rPr>
                    <m:t>W</m:t>
                  </m:r>
                </m:e>
                <m:sub>
                  <m:r>
                    <m:rPr>
                      <m:sty m:val="p"/>
                    </m:rPr>
                    <w:rPr>
                      <w:rFonts w:ascii="Cambria Math" w:eastAsia="楷体" w:hAnsi="Cambria Math"/>
                      <w:szCs w:val="21"/>
                    </w:rPr>
                    <m:t>pcb</m:t>
                  </m:r>
                </m:sub>
              </m:sSub>
            </m:oMath>
            <w:r w:rsidR="00502CD5" w:rsidRPr="000D6B63">
              <w:rPr>
                <w:rFonts w:ascii="楷体" w:eastAsia="楷体" w:hAnsi="楷体" w:hint="eastAsia"/>
                <w:szCs w:val="21"/>
              </w:rPr>
              <w:t xml:space="preserve"> </w:t>
            </w:r>
            <w:r w:rsidR="00502CD5" w:rsidRPr="000D6B63">
              <w:rPr>
                <w:rFonts w:ascii="楷体" w:eastAsia="楷体" w:hAnsi="楷体" w:cs="宋体" w:hint="eastAsia"/>
                <w:color w:val="000000"/>
                <w:kern w:val="0"/>
                <w:sz w:val="18"/>
                <w:szCs w:val="18"/>
              </w:rPr>
              <w:t>=</w:t>
            </w:r>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实际组合中的可转债权重</w:t>
            </w:r>
          </w:p>
        </w:tc>
        <w:tc>
          <w:tcPr>
            <w:tcW w:w="4485" w:type="dxa"/>
            <w:tcBorders>
              <w:top w:val="single" w:sz="4" w:space="0" w:color="auto"/>
            </w:tcBorders>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pcb</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 实际可转债</w:t>
            </w:r>
            <w:proofErr w:type="gramStart"/>
            <w:r w:rsidR="00502CD5" w:rsidRPr="000D6B63">
              <w:rPr>
                <w:rFonts w:ascii="楷体" w:eastAsia="楷体" w:hAnsi="楷体" w:cs="宋体" w:hint="eastAsia"/>
                <w:color w:val="000000"/>
                <w:kern w:val="0"/>
                <w:sz w:val="18"/>
                <w:szCs w:val="18"/>
              </w:rPr>
              <w:t>仓位</w:t>
            </w:r>
            <w:proofErr w:type="gramEnd"/>
            <w:r w:rsidR="00502CD5" w:rsidRPr="000D6B63">
              <w:rPr>
                <w:rFonts w:ascii="楷体" w:eastAsia="楷体" w:hAnsi="楷体" w:cs="宋体" w:hint="eastAsia"/>
                <w:color w:val="000000"/>
                <w:kern w:val="0"/>
                <w:sz w:val="18"/>
                <w:szCs w:val="18"/>
              </w:rPr>
              <w:t>归一化收益率</w:t>
            </w:r>
          </w:p>
        </w:tc>
      </w:tr>
      <w:tr w:rsidR="00E95E51">
        <w:trPr>
          <w:trHeight w:val="157"/>
          <w:jc w:val="center"/>
        </w:trPr>
        <w:tc>
          <w:tcPr>
            <w:tcW w:w="3892"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hint="eastAsia"/>
                      <w:szCs w:val="21"/>
                    </w:rPr>
                  </m:ctrlPr>
                </m:sSubPr>
                <m:e>
                  <m:r>
                    <m:rPr>
                      <m:sty m:val="p"/>
                    </m:rPr>
                    <w:rPr>
                      <w:rFonts w:ascii="Cambria Math" w:eastAsia="楷体" w:hAnsi="Cambria Math"/>
                      <w:szCs w:val="21"/>
                    </w:rPr>
                    <m:t>W</m:t>
                  </m:r>
                </m:e>
                <m:sub>
                  <m:r>
                    <m:rPr>
                      <m:sty m:val="p"/>
                    </m:rPr>
                    <w:rPr>
                      <w:rFonts w:ascii="Cambria Math" w:eastAsia="楷体" w:hAnsi="Cambria Math"/>
                      <w:szCs w:val="21"/>
                    </w:rPr>
                    <m:t>bcb</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w:t>
            </w:r>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基准可转债权重</w:t>
            </w:r>
          </w:p>
        </w:tc>
        <w:tc>
          <w:tcPr>
            <w:tcW w:w="4485"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bcb</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 xml:space="preserve">= </w:t>
            </w:r>
            <w:proofErr w:type="gramStart"/>
            <w:r w:rsidR="00502CD5" w:rsidRPr="000D6B63">
              <w:rPr>
                <w:rFonts w:ascii="楷体" w:eastAsia="楷体" w:hAnsi="楷体" w:cs="宋体" w:hint="eastAsia"/>
                <w:color w:val="000000"/>
                <w:kern w:val="0"/>
                <w:sz w:val="18"/>
                <w:szCs w:val="18"/>
              </w:rPr>
              <w:t>中证转债</w:t>
            </w:r>
            <w:proofErr w:type="gramEnd"/>
            <w:r w:rsidR="00502CD5" w:rsidRPr="000D6B63">
              <w:rPr>
                <w:rFonts w:ascii="楷体" w:eastAsia="楷体" w:hAnsi="楷体" w:cs="宋体" w:hint="eastAsia"/>
                <w:color w:val="000000"/>
                <w:kern w:val="0"/>
                <w:sz w:val="18"/>
                <w:szCs w:val="18"/>
              </w:rPr>
              <w:t>收益率</w:t>
            </w:r>
          </w:p>
        </w:tc>
      </w:tr>
      <w:tr w:rsidR="00E95E51">
        <w:trPr>
          <w:trHeight w:val="157"/>
          <w:jc w:val="center"/>
        </w:trPr>
        <w:tc>
          <w:tcPr>
            <w:tcW w:w="3892"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szCs w:val="21"/>
                    </w:rPr>
                  </m:ctrlPr>
                </m:sSubPr>
                <m:e>
                  <m:r>
                    <m:rPr>
                      <m:sty m:val="p"/>
                    </m:rPr>
                    <w:rPr>
                      <w:rFonts w:ascii="Cambria Math" w:eastAsia="楷体" w:hAnsi="Cambria Math"/>
                      <w:szCs w:val="21"/>
                    </w:rPr>
                    <m:t>W</m:t>
                  </m:r>
                </m:e>
                <m:sub>
                  <m:r>
                    <m:rPr>
                      <m:sty m:val="p"/>
                    </m:rPr>
                    <w:rPr>
                      <w:rFonts w:ascii="Cambria Math" w:eastAsia="楷体" w:hAnsi="Cambria Math"/>
                      <w:szCs w:val="21"/>
                    </w:rPr>
                    <m:t>ps</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w:t>
            </w:r>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实际组合中的股票权重</w:t>
            </w:r>
          </w:p>
        </w:tc>
        <w:tc>
          <w:tcPr>
            <w:tcW w:w="4485"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ps</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w:t>
            </w:r>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实际股票</w:t>
            </w:r>
            <w:proofErr w:type="gramStart"/>
            <w:r w:rsidR="00502CD5" w:rsidRPr="000D6B63">
              <w:rPr>
                <w:rFonts w:ascii="楷体" w:eastAsia="楷体" w:hAnsi="楷体" w:cs="宋体" w:hint="eastAsia"/>
                <w:color w:val="000000"/>
                <w:kern w:val="0"/>
                <w:sz w:val="18"/>
                <w:szCs w:val="18"/>
              </w:rPr>
              <w:t>仓位</w:t>
            </w:r>
            <w:proofErr w:type="gramEnd"/>
            <w:r w:rsidR="00502CD5" w:rsidRPr="000D6B63">
              <w:rPr>
                <w:rFonts w:ascii="楷体" w:eastAsia="楷体" w:hAnsi="楷体" w:cs="宋体" w:hint="eastAsia"/>
                <w:color w:val="000000"/>
                <w:kern w:val="0"/>
                <w:sz w:val="18"/>
                <w:szCs w:val="18"/>
              </w:rPr>
              <w:t>归一化收益率</w:t>
            </w:r>
          </w:p>
        </w:tc>
      </w:tr>
      <w:tr w:rsidR="00E95E51">
        <w:trPr>
          <w:trHeight w:val="157"/>
          <w:jc w:val="center"/>
        </w:trPr>
        <w:tc>
          <w:tcPr>
            <w:tcW w:w="3892"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szCs w:val="21"/>
                    </w:rPr>
                  </m:ctrlPr>
                </m:sSubPr>
                <m:e>
                  <m:r>
                    <m:rPr>
                      <m:sty m:val="p"/>
                    </m:rPr>
                    <w:rPr>
                      <w:rFonts w:ascii="Cambria Math" w:eastAsia="楷体" w:hAnsi="Cambria Math"/>
                      <w:szCs w:val="21"/>
                    </w:rPr>
                    <m:t>W</m:t>
                  </m:r>
                </m:e>
                <m:sub>
                  <m:r>
                    <m:rPr>
                      <m:sty m:val="p"/>
                    </m:rPr>
                    <w:rPr>
                      <w:rFonts w:ascii="Cambria Math" w:eastAsia="楷体" w:hAnsi="Cambria Math"/>
                      <w:szCs w:val="21"/>
                    </w:rPr>
                    <m:t>bs</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w:t>
            </w:r>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基准股票权重</w:t>
            </w:r>
          </w:p>
        </w:tc>
        <w:tc>
          <w:tcPr>
            <w:tcW w:w="4485"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bs</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 沪深300收益率</w:t>
            </w:r>
          </w:p>
        </w:tc>
      </w:tr>
      <w:tr w:rsidR="00E95E51">
        <w:trPr>
          <w:trHeight w:val="157"/>
          <w:jc w:val="center"/>
        </w:trPr>
        <w:tc>
          <w:tcPr>
            <w:tcW w:w="3892"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szCs w:val="21"/>
                    </w:rPr>
                  </m:ctrlPr>
                </m:sSubPr>
                <m:e>
                  <m:r>
                    <m:rPr>
                      <m:sty m:val="p"/>
                    </m:rPr>
                    <w:rPr>
                      <w:rFonts w:ascii="Cambria Math" w:eastAsia="楷体" w:hAnsi="Cambria Math"/>
                      <w:szCs w:val="21"/>
                    </w:rPr>
                    <m:t>W</m:t>
                  </m:r>
                </m:e>
                <m:sub>
                  <m:r>
                    <m:rPr>
                      <m:sty m:val="p"/>
                    </m:rPr>
                    <w:rPr>
                      <w:rFonts w:ascii="Cambria Math" w:eastAsia="楷体" w:hAnsi="Cambria Math"/>
                      <w:szCs w:val="21"/>
                    </w:rPr>
                    <m:t>pb</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w:t>
            </w:r>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组合纯债权重</w:t>
            </w:r>
          </w:p>
        </w:tc>
        <w:tc>
          <w:tcPr>
            <w:tcW w:w="4485"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pb</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 xml:space="preserve">= </w:t>
            </w:r>
            <w:proofErr w:type="gramStart"/>
            <w:r w:rsidR="00502CD5" w:rsidRPr="000D6B63">
              <w:rPr>
                <w:rFonts w:ascii="楷体" w:eastAsia="楷体" w:hAnsi="楷体" w:cs="宋体" w:hint="eastAsia"/>
                <w:color w:val="000000"/>
                <w:kern w:val="0"/>
                <w:sz w:val="18"/>
                <w:szCs w:val="18"/>
              </w:rPr>
              <w:t>测算纯债归一化</w:t>
            </w:r>
            <w:proofErr w:type="gramEnd"/>
            <w:r w:rsidR="00502CD5" w:rsidRPr="000D6B63">
              <w:rPr>
                <w:rFonts w:ascii="楷体" w:eastAsia="楷体" w:hAnsi="楷体" w:cs="宋体" w:hint="eastAsia"/>
                <w:color w:val="000000"/>
                <w:kern w:val="0"/>
                <w:sz w:val="18"/>
                <w:szCs w:val="18"/>
              </w:rPr>
              <w:t>收益率</w:t>
            </w:r>
          </w:p>
        </w:tc>
      </w:tr>
      <w:tr w:rsidR="00E95E51">
        <w:trPr>
          <w:trHeight w:val="157"/>
          <w:jc w:val="center"/>
        </w:trPr>
        <w:tc>
          <w:tcPr>
            <w:tcW w:w="3892"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szCs w:val="21"/>
                    </w:rPr>
                  </m:ctrlPr>
                </m:sSubPr>
                <m:e>
                  <m:r>
                    <m:rPr>
                      <m:sty m:val="p"/>
                    </m:rPr>
                    <w:rPr>
                      <w:rFonts w:ascii="Cambria Math" w:eastAsia="楷体" w:hAnsi="Cambria Math"/>
                      <w:szCs w:val="21"/>
                    </w:rPr>
                    <m:t>W</m:t>
                  </m:r>
                </m:e>
                <m:sub>
                  <m:r>
                    <m:rPr>
                      <m:sty m:val="p"/>
                    </m:rPr>
                    <w:rPr>
                      <w:rFonts w:ascii="Cambria Math" w:eastAsia="楷体" w:hAnsi="Cambria Math"/>
                      <w:szCs w:val="21"/>
                    </w:rPr>
                    <m:t>bb</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w:t>
            </w:r>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基准纯债权重</w:t>
            </w:r>
          </w:p>
        </w:tc>
        <w:tc>
          <w:tcPr>
            <w:tcW w:w="4485"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szCs w:val="21"/>
                    </w:rPr>
                  </m:ctrlPr>
                </m:sSubPr>
                <m:e>
                  <m:r>
                    <m:rPr>
                      <m:sty m:val="p"/>
                    </m:rPr>
                    <w:rPr>
                      <w:rFonts w:ascii="Cambria Math" w:eastAsia="楷体" w:hAnsi="Cambria Math"/>
                      <w:szCs w:val="21"/>
                    </w:rPr>
                    <m:t>R</m:t>
                  </m:r>
                </m:e>
                <m:sub>
                  <m:r>
                    <m:rPr>
                      <m:sty m:val="p"/>
                    </m:rPr>
                    <w:rPr>
                      <w:rFonts w:ascii="Cambria Math" w:eastAsia="楷体" w:hAnsi="Cambria Math"/>
                      <w:szCs w:val="21"/>
                    </w:rPr>
                    <m:t>bb</m:t>
                  </m:r>
                </m:sub>
              </m:sSub>
            </m:oMath>
            <w:r w:rsidR="00502CD5" w:rsidRPr="000D6B63">
              <w:rPr>
                <w:rFonts w:ascii="楷体" w:eastAsia="楷体" w:hAnsi="楷体" w:cs="宋体"/>
                <w:color w:val="000000"/>
                <w:kern w:val="0"/>
                <w:sz w:val="18"/>
                <w:szCs w:val="18"/>
              </w:rPr>
              <w:t xml:space="preserve"> </w:t>
            </w:r>
            <w:r w:rsidR="00502CD5" w:rsidRPr="000D6B63">
              <w:rPr>
                <w:rFonts w:ascii="楷体" w:eastAsia="楷体" w:hAnsi="楷体" w:cs="宋体" w:hint="eastAsia"/>
                <w:color w:val="000000"/>
                <w:kern w:val="0"/>
                <w:sz w:val="18"/>
                <w:szCs w:val="18"/>
              </w:rPr>
              <w:t>= 中</w:t>
            </w:r>
            <w:proofErr w:type="gramStart"/>
            <w:r w:rsidR="00502CD5" w:rsidRPr="000D6B63">
              <w:rPr>
                <w:rFonts w:ascii="楷体" w:eastAsia="楷体" w:hAnsi="楷体" w:cs="宋体" w:hint="eastAsia"/>
                <w:color w:val="000000"/>
                <w:kern w:val="0"/>
                <w:sz w:val="18"/>
                <w:szCs w:val="18"/>
              </w:rPr>
              <w:t>债综合</w:t>
            </w:r>
            <w:proofErr w:type="gramEnd"/>
            <w:r w:rsidR="00502CD5" w:rsidRPr="000D6B63">
              <w:rPr>
                <w:rFonts w:ascii="楷体" w:eastAsia="楷体" w:hAnsi="楷体" w:cs="宋体" w:hint="eastAsia"/>
                <w:color w:val="000000"/>
                <w:kern w:val="0"/>
                <w:sz w:val="18"/>
                <w:szCs w:val="18"/>
              </w:rPr>
              <w:t>财富收益率</w:t>
            </w:r>
          </w:p>
        </w:tc>
      </w:tr>
      <w:tr w:rsidR="00E95E51">
        <w:trPr>
          <w:trHeight w:val="157"/>
          <w:jc w:val="center"/>
        </w:trPr>
        <w:tc>
          <w:tcPr>
            <w:tcW w:w="3892" w:type="dxa"/>
            <w:shd w:val="clear" w:color="auto" w:fill="auto"/>
            <w:noWrap/>
            <w:vAlign w:val="center"/>
          </w:tcPr>
          <w:p w:rsidR="00E95E51" w:rsidRPr="000D6B63" w:rsidRDefault="00E95E51">
            <w:pPr>
              <w:widowControl/>
              <w:jc w:val="left"/>
              <w:rPr>
                <w:rFonts w:ascii="楷体" w:eastAsia="楷体" w:hAnsi="楷体" w:cs="宋体"/>
                <w:color w:val="000000"/>
                <w:kern w:val="0"/>
                <w:sz w:val="18"/>
                <w:szCs w:val="18"/>
              </w:rPr>
            </w:pPr>
          </w:p>
        </w:tc>
        <w:tc>
          <w:tcPr>
            <w:tcW w:w="4485" w:type="dxa"/>
            <w:shd w:val="clear" w:color="auto" w:fill="auto"/>
            <w:noWrap/>
            <w:vAlign w:val="center"/>
          </w:tcPr>
          <w:p w:rsidR="00E95E51" w:rsidRPr="000D6B63" w:rsidRDefault="00957A6F">
            <w:pPr>
              <w:widowControl/>
              <w:jc w:val="left"/>
              <w:rPr>
                <w:rFonts w:ascii="楷体" w:eastAsia="楷体" w:hAnsi="楷体" w:cs="宋体"/>
                <w:color w:val="000000"/>
                <w:kern w:val="0"/>
                <w:sz w:val="18"/>
                <w:szCs w:val="18"/>
              </w:rPr>
            </w:pPr>
            <m:oMath>
              <m:sSub>
                <m:sSubPr>
                  <m:ctrlPr>
                    <w:rPr>
                      <w:rFonts w:ascii="Cambria Math" w:eastAsia="楷体" w:hAnsi="Cambria Math" w:hint="eastAsia"/>
                      <w:szCs w:val="21"/>
                    </w:rPr>
                  </m:ctrlPr>
                </m:sSubPr>
                <m:e>
                  <m:r>
                    <m:rPr>
                      <m:sty m:val="p"/>
                    </m:rPr>
                    <w:rPr>
                      <w:rFonts w:ascii="Cambria Math" w:eastAsia="楷体" w:hAnsi="Cambria Math"/>
                      <w:szCs w:val="21"/>
                    </w:rPr>
                    <m:t>R</m:t>
                  </m:r>
                </m:e>
                <m:sub>
                  <m:r>
                    <m:rPr>
                      <m:sty m:val="p"/>
                    </m:rPr>
                    <w:rPr>
                      <w:rFonts w:ascii="Cambria Math" w:eastAsia="楷体" w:hAnsi="Cambria Math"/>
                      <w:szCs w:val="21"/>
                    </w:rPr>
                    <m:t>p</m:t>
                  </m:r>
                </m:sub>
              </m:sSub>
            </m:oMath>
            <w:r w:rsidR="00502CD5" w:rsidRPr="000D6B63">
              <w:rPr>
                <w:rFonts w:ascii="楷体" w:eastAsia="楷体" w:hAnsi="楷体" w:cs="宋体"/>
                <w:color w:val="000000"/>
                <w:kern w:val="0"/>
                <w:sz w:val="18"/>
                <w:szCs w:val="18"/>
              </w:rPr>
              <w:t xml:space="preserve"> = </w:t>
            </w:r>
            <w:r w:rsidR="00502CD5" w:rsidRPr="000D6B63">
              <w:rPr>
                <w:rFonts w:ascii="楷体" w:eastAsia="楷体" w:hAnsi="楷体" w:cs="宋体" w:hint="eastAsia"/>
                <w:color w:val="000000"/>
                <w:kern w:val="0"/>
                <w:sz w:val="18"/>
                <w:szCs w:val="18"/>
              </w:rPr>
              <w:t>基金实际收益率</w:t>
            </w:r>
          </w:p>
        </w:tc>
      </w:tr>
    </w:tbl>
    <w:p w:rsidR="00E95E51" w:rsidRDefault="00E95E51">
      <w:pPr>
        <w:pStyle w:val="2"/>
        <w:numPr>
          <w:ilvl w:val="0"/>
          <w:numId w:val="0"/>
        </w:numPr>
        <w:rPr>
          <w:rFonts w:ascii="楷体" w:eastAsia="楷体" w:hAnsi="楷体"/>
          <w:b w:val="0"/>
        </w:rPr>
      </w:pPr>
    </w:p>
    <w:p w:rsidR="00E95E51" w:rsidRDefault="00502CD5">
      <w:pPr>
        <w:pStyle w:val="2"/>
        <w:numPr>
          <w:ilvl w:val="0"/>
          <w:numId w:val="0"/>
        </w:numPr>
        <w:ind w:left="426"/>
        <w:rPr>
          <w:rFonts w:ascii="楷体" w:eastAsia="楷体" w:hAnsi="楷体"/>
          <w:b w:val="0"/>
        </w:rPr>
      </w:pPr>
      <w:r>
        <w:rPr>
          <w:rFonts w:ascii="楷体" w:eastAsia="楷体" w:hAnsi="楷体" w:hint="eastAsia"/>
          <w:b w:val="0"/>
        </w:rPr>
        <w:t>超额收益：1-</w:t>
      </w:r>
      <w:r>
        <w:rPr>
          <w:rFonts w:ascii="楷体" w:eastAsia="楷体" w:hAnsi="楷体"/>
          <w:b w:val="0"/>
        </w:rPr>
        <w:t>4</w:t>
      </w:r>
      <w:r>
        <w:rPr>
          <w:rFonts w:ascii="楷体" w:eastAsia="楷体" w:hAnsi="楷体" w:hint="eastAsia"/>
          <w:b w:val="0"/>
        </w:rPr>
        <w:t>，即组合相对于基准指数的超额收益</w:t>
      </w:r>
    </w:p>
    <w:p w:rsidR="00E95E51" w:rsidRDefault="00502CD5">
      <w:pPr>
        <w:pStyle w:val="2"/>
        <w:numPr>
          <w:ilvl w:val="0"/>
          <w:numId w:val="0"/>
        </w:numPr>
        <w:ind w:left="426"/>
        <w:rPr>
          <w:rFonts w:ascii="楷体" w:eastAsia="楷体" w:hAnsi="楷体"/>
          <w:b w:val="0"/>
        </w:rPr>
      </w:pPr>
      <w:r>
        <w:rPr>
          <w:rFonts w:ascii="楷体" w:eastAsia="楷体" w:hAnsi="楷体" w:hint="eastAsia"/>
          <w:b w:val="0"/>
        </w:rPr>
        <w:t>配置收益：2-4，即组合可转债、股票</w:t>
      </w:r>
      <w:proofErr w:type="gramStart"/>
      <w:r>
        <w:rPr>
          <w:rFonts w:ascii="楷体" w:eastAsia="楷体" w:hAnsi="楷体" w:hint="eastAsia"/>
          <w:b w:val="0"/>
        </w:rPr>
        <w:t>仓位</w:t>
      </w:r>
      <w:proofErr w:type="gramEnd"/>
      <w:r>
        <w:rPr>
          <w:rFonts w:ascii="楷体" w:eastAsia="楷体" w:hAnsi="楷体" w:hint="eastAsia"/>
          <w:b w:val="0"/>
        </w:rPr>
        <w:t>相较基准</w:t>
      </w:r>
      <w:proofErr w:type="gramStart"/>
      <w:r>
        <w:rPr>
          <w:rFonts w:ascii="楷体" w:eastAsia="楷体" w:hAnsi="楷体" w:hint="eastAsia"/>
          <w:b w:val="0"/>
        </w:rPr>
        <w:t>暴露度所带来</w:t>
      </w:r>
      <w:proofErr w:type="gramEnd"/>
      <w:r>
        <w:rPr>
          <w:rFonts w:ascii="楷体" w:eastAsia="楷体" w:hAnsi="楷体" w:hint="eastAsia"/>
          <w:b w:val="0"/>
        </w:rPr>
        <w:t>的收益</w:t>
      </w:r>
    </w:p>
    <w:p w:rsidR="00E95E51" w:rsidRDefault="00502CD5">
      <w:pPr>
        <w:pStyle w:val="2"/>
        <w:numPr>
          <w:ilvl w:val="0"/>
          <w:numId w:val="0"/>
        </w:numPr>
        <w:ind w:left="426"/>
        <w:rPr>
          <w:rFonts w:ascii="楷体" w:eastAsia="楷体" w:hAnsi="楷体"/>
          <w:b w:val="0"/>
        </w:rPr>
      </w:pPr>
      <w:r>
        <w:rPr>
          <w:rFonts w:ascii="楷体" w:eastAsia="楷体" w:hAnsi="楷体" w:hint="eastAsia"/>
          <w:b w:val="0"/>
        </w:rPr>
        <w:t>选</w:t>
      </w:r>
      <w:proofErr w:type="gramStart"/>
      <w:r>
        <w:rPr>
          <w:rFonts w:ascii="楷体" w:eastAsia="楷体" w:hAnsi="楷体" w:hint="eastAsia"/>
          <w:b w:val="0"/>
        </w:rPr>
        <w:t>券</w:t>
      </w:r>
      <w:proofErr w:type="gramEnd"/>
      <w:r>
        <w:rPr>
          <w:rFonts w:ascii="楷体" w:eastAsia="楷体" w:hAnsi="楷体" w:hint="eastAsia"/>
          <w:b w:val="0"/>
        </w:rPr>
        <w:t>收益：3-4，即在给定大类权重的情况下，实际择</w:t>
      </w:r>
      <w:proofErr w:type="gramStart"/>
      <w:r>
        <w:rPr>
          <w:rFonts w:ascii="楷体" w:eastAsia="楷体" w:hAnsi="楷体" w:hint="eastAsia"/>
          <w:b w:val="0"/>
        </w:rPr>
        <w:t>券</w:t>
      </w:r>
      <w:proofErr w:type="gramEnd"/>
      <w:r>
        <w:rPr>
          <w:rFonts w:ascii="楷体" w:eastAsia="楷体" w:hAnsi="楷体" w:hint="eastAsia"/>
          <w:b w:val="0"/>
        </w:rPr>
        <w:t>相较基准的超额收益</w:t>
      </w:r>
    </w:p>
    <w:p w:rsidR="00E95E51" w:rsidRDefault="00502CD5">
      <w:pPr>
        <w:pStyle w:val="2"/>
        <w:numPr>
          <w:ilvl w:val="0"/>
          <w:numId w:val="0"/>
        </w:numPr>
        <w:ind w:left="840" w:hanging="420"/>
        <w:rPr>
          <w:rFonts w:ascii="楷体" w:eastAsia="楷体" w:hAnsi="楷体"/>
          <w:b w:val="0"/>
        </w:rPr>
      </w:pPr>
      <w:r>
        <w:rPr>
          <w:rFonts w:ascii="楷体" w:eastAsia="楷体" w:hAnsi="楷体" w:hint="eastAsia"/>
          <w:b w:val="0"/>
        </w:rPr>
        <w:t>交易收益1-2-3+4：即残差，或为剔除配置、选</w:t>
      </w:r>
      <w:proofErr w:type="gramStart"/>
      <w:r>
        <w:rPr>
          <w:rFonts w:ascii="楷体" w:eastAsia="楷体" w:hAnsi="楷体" w:hint="eastAsia"/>
          <w:b w:val="0"/>
        </w:rPr>
        <w:t>券</w:t>
      </w:r>
      <w:proofErr w:type="gramEnd"/>
      <w:r>
        <w:rPr>
          <w:rFonts w:ascii="楷体" w:eastAsia="楷体" w:hAnsi="楷体" w:hint="eastAsia"/>
          <w:b w:val="0"/>
        </w:rPr>
        <w:t>及指数收益外的收益</w:t>
      </w:r>
    </w:p>
    <w:p w:rsidR="00E95E51" w:rsidRDefault="00E95E51">
      <w:pPr>
        <w:pStyle w:val="afd"/>
        <w:ind w:firstLine="420"/>
        <w:rPr>
          <w:rFonts w:ascii="楷体" w:eastAsia="楷体" w:hAnsi="楷体"/>
        </w:rPr>
      </w:pPr>
    </w:p>
    <w:p w:rsidR="00E95E51" w:rsidRDefault="00502CD5">
      <w:pPr>
        <w:pStyle w:val="afd"/>
        <w:ind w:firstLine="420"/>
        <w:rPr>
          <w:rFonts w:ascii="楷体" w:eastAsia="楷体" w:hAnsi="楷体"/>
        </w:rPr>
      </w:pPr>
      <w:r>
        <w:rPr>
          <w:rFonts w:ascii="楷体" w:eastAsia="楷体" w:hAnsi="楷体" w:hint="eastAsia"/>
        </w:rPr>
        <w:t>由于</w:t>
      </w:r>
      <w:proofErr w:type="gramStart"/>
      <w:r>
        <w:rPr>
          <w:rFonts w:ascii="楷体" w:eastAsia="楷体" w:hAnsi="楷体" w:hint="eastAsia"/>
        </w:rPr>
        <w:t>不同固收</w:t>
      </w:r>
      <w:proofErr w:type="gramEnd"/>
      <w:r>
        <w:rPr>
          <w:rFonts w:ascii="楷体" w:eastAsia="楷体" w:hAnsi="楷体" w:hint="eastAsia"/>
        </w:rPr>
        <w:t>+类型大类资产中枢不同，因此我们根据近四期不同</w:t>
      </w:r>
      <w:proofErr w:type="gramStart"/>
      <w:r>
        <w:rPr>
          <w:rFonts w:ascii="楷体" w:eastAsia="楷体" w:hAnsi="楷体" w:hint="eastAsia"/>
        </w:rPr>
        <w:t>类型固收</w:t>
      </w:r>
      <w:proofErr w:type="gramEnd"/>
      <w:r>
        <w:rPr>
          <w:rFonts w:ascii="楷体" w:eastAsia="楷体" w:hAnsi="楷体" w:hint="eastAsia"/>
        </w:rPr>
        <w:t>+基金的平均转债、股票、债券</w:t>
      </w:r>
      <w:proofErr w:type="gramStart"/>
      <w:r>
        <w:rPr>
          <w:rFonts w:ascii="楷体" w:eastAsia="楷体" w:hAnsi="楷体" w:hint="eastAsia"/>
        </w:rPr>
        <w:t>仓位</w:t>
      </w:r>
      <w:proofErr w:type="gramEnd"/>
      <w:r>
        <w:rPr>
          <w:rFonts w:ascii="楷体" w:eastAsia="楷体" w:hAnsi="楷体" w:hint="eastAsia"/>
        </w:rPr>
        <w:t>的平均值，</w:t>
      </w:r>
      <w:proofErr w:type="gramStart"/>
      <w:r>
        <w:rPr>
          <w:rFonts w:ascii="楷体" w:eastAsia="楷体" w:hAnsi="楷体" w:hint="eastAsia"/>
        </w:rPr>
        <w:t>近似取</w:t>
      </w:r>
      <w:proofErr w:type="gramEnd"/>
      <w:r>
        <w:rPr>
          <w:rFonts w:ascii="楷体" w:eastAsia="楷体" w:hAnsi="楷体" w:hint="eastAsia"/>
        </w:rPr>
        <w:t>整数，以获取不同</w:t>
      </w:r>
      <w:proofErr w:type="gramStart"/>
      <w:r>
        <w:rPr>
          <w:rFonts w:ascii="楷体" w:eastAsia="楷体" w:hAnsi="楷体" w:hint="eastAsia"/>
        </w:rPr>
        <w:t>类型固收</w:t>
      </w:r>
      <w:proofErr w:type="gramEnd"/>
      <w:r>
        <w:rPr>
          <w:rFonts w:ascii="楷体" w:eastAsia="楷体" w:hAnsi="楷体" w:hint="eastAsia"/>
        </w:rPr>
        <w:t>+基金的业绩基准。</w:t>
      </w:r>
    </w:p>
    <w:p w:rsidR="00E95E51" w:rsidRDefault="00E95E51">
      <w:pPr>
        <w:pStyle w:val="afd"/>
        <w:ind w:firstLine="420"/>
        <w:rPr>
          <w:rFonts w:ascii="楷体" w:eastAsia="楷体" w:hAnsi="楷体"/>
        </w:rPr>
      </w:pPr>
    </w:p>
    <w:p w:rsidR="00E95E51" w:rsidRDefault="00E95E51">
      <w:pPr>
        <w:pStyle w:val="afd"/>
        <w:ind w:firstLineChars="0" w:firstLine="0"/>
        <w:rPr>
          <w:rFonts w:ascii="楷体" w:eastAsia="楷体" w:hAnsi="楷体"/>
        </w:rPr>
      </w:pPr>
    </w:p>
    <w:tbl>
      <w:tblPr>
        <w:tblW w:w="10019" w:type="dxa"/>
        <w:jc w:val="center"/>
        <w:tblCellMar>
          <w:left w:w="0" w:type="dxa"/>
          <w:right w:w="0" w:type="dxa"/>
        </w:tblCellMar>
        <w:tblLook w:val="04A0" w:firstRow="1" w:lastRow="0" w:firstColumn="1" w:lastColumn="0" w:noHBand="0" w:noVBand="1"/>
      </w:tblPr>
      <w:tblGrid>
        <w:gridCol w:w="10019"/>
      </w:tblGrid>
      <w:tr w:rsidR="00E95E51">
        <w:trPr>
          <w:trHeight w:val="304"/>
          <w:jc w:val="center"/>
        </w:trPr>
        <w:tc>
          <w:tcPr>
            <w:tcW w:w="10019"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lastRenderedPageBreak/>
              <w:t>图表11：不同</w:t>
            </w:r>
            <w:proofErr w:type="gramStart"/>
            <w:r>
              <w:rPr>
                <w:rFonts w:ascii="楷体" w:eastAsia="楷体" w:hAnsi="楷体" w:hint="eastAsia"/>
                <w:b/>
                <w:bCs/>
                <w:color w:val="000000" w:themeColor="text1"/>
              </w:rPr>
              <w:t>类型固收</w:t>
            </w:r>
            <w:proofErr w:type="gramEnd"/>
            <w:r>
              <w:rPr>
                <w:rFonts w:ascii="楷体" w:eastAsia="楷体" w:hAnsi="楷体" w:hint="eastAsia"/>
                <w:b/>
                <w:bCs/>
                <w:color w:val="000000" w:themeColor="text1"/>
              </w:rPr>
              <w:t>+基金平均</w:t>
            </w:r>
            <w:proofErr w:type="gramStart"/>
            <w:r>
              <w:rPr>
                <w:rFonts w:ascii="楷体" w:eastAsia="楷体" w:hAnsi="楷体" w:hint="eastAsia"/>
                <w:b/>
                <w:bCs/>
                <w:color w:val="000000" w:themeColor="text1"/>
              </w:rPr>
              <w:t>仓位</w:t>
            </w:r>
            <w:proofErr w:type="gramEnd"/>
            <w:r>
              <w:rPr>
                <w:rFonts w:ascii="楷体" w:eastAsia="楷体" w:hAnsi="楷体" w:hint="eastAsia"/>
                <w:b/>
                <w:bCs/>
                <w:color w:val="000000" w:themeColor="text1"/>
              </w:rPr>
              <w:t>及基准设定</w:t>
            </w:r>
          </w:p>
        </w:tc>
      </w:tr>
      <w:tr w:rsidR="00E95E51">
        <w:tblPrEx>
          <w:tblCellMar>
            <w:left w:w="108" w:type="dxa"/>
            <w:right w:w="108" w:type="dxa"/>
          </w:tblCellMar>
        </w:tblPrEx>
        <w:trPr>
          <w:trHeight w:val="1263"/>
          <w:jc w:val="center"/>
        </w:trPr>
        <w:tc>
          <w:tcPr>
            <w:tcW w:w="10019" w:type="dxa"/>
            <w:tcBorders>
              <w:top w:val="single" w:sz="12" w:space="0" w:color="767171" w:themeColor="background2" w:themeShade="80"/>
              <w:bottom w:val="single" w:sz="12" w:space="0" w:color="767171" w:themeColor="background2" w:themeShade="80"/>
            </w:tcBorders>
            <w:vAlign w:val="center"/>
          </w:tcPr>
          <w:tbl>
            <w:tblPr>
              <w:tblW w:w="9783" w:type="dxa"/>
              <w:tblLook w:val="04A0" w:firstRow="1" w:lastRow="0" w:firstColumn="1" w:lastColumn="0" w:noHBand="0" w:noVBand="1"/>
            </w:tblPr>
            <w:tblGrid>
              <w:gridCol w:w="1421"/>
              <w:gridCol w:w="1196"/>
              <w:gridCol w:w="1195"/>
              <w:gridCol w:w="1195"/>
              <w:gridCol w:w="1191"/>
              <w:gridCol w:w="1195"/>
              <w:gridCol w:w="1195"/>
              <w:gridCol w:w="1195"/>
            </w:tblGrid>
            <w:tr w:rsidR="00E95E51">
              <w:trPr>
                <w:trHeight w:val="262"/>
              </w:trPr>
              <w:tc>
                <w:tcPr>
                  <w:tcW w:w="0" w:type="auto"/>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E95E51">
                  <w:pPr>
                    <w:widowControl/>
                    <w:jc w:val="center"/>
                    <w:rPr>
                      <w:rFonts w:ascii="楷体" w:eastAsia="楷体" w:hAnsi="楷体" w:cs="宋体"/>
                      <w:b/>
                      <w:bCs/>
                      <w:color w:val="FFFFFF"/>
                      <w:kern w:val="0"/>
                      <w:sz w:val="18"/>
                      <w:szCs w:val="18"/>
                    </w:rPr>
                  </w:pPr>
                </w:p>
              </w:tc>
              <w:tc>
                <w:tcPr>
                  <w:tcW w:w="0" w:type="auto"/>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转债</w:t>
                  </w:r>
                  <w:proofErr w:type="gramStart"/>
                  <w:r>
                    <w:rPr>
                      <w:rFonts w:ascii="楷体" w:eastAsia="楷体" w:hAnsi="楷体" w:cs="宋体" w:hint="eastAsia"/>
                      <w:b/>
                      <w:bCs/>
                      <w:color w:val="FFFFFF"/>
                      <w:kern w:val="0"/>
                      <w:sz w:val="18"/>
                      <w:szCs w:val="18"/>
                    </w:rPr>
                    <w:t>仓位</w:t>
                  </w:r>
                  <w:proofErr w:type="gramEnd"/>
                </w:p>
              </w:tc>
              <w:tc>
                <w:tcPr>
                  <w:tcW w:w="0" w:type="auto"/>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股票</w:t>
                  </w:r>
                  <w:proofErr w:type="gramStart"/>
                  <w:r>
                    <w:rPr>
                      <w:rFonts w:ascii="楷体" w:eastAsia="楷体" w:hAnsi="楷体" w:cs="宋体" w:hint="eastAsia"/>
                      <w:b/>
                      <w:bCs/>
                      <w:color w:val="FFFFFF"/>
                      <w:kern w:val="0"/>
                      <w:sz w:val="18"/>
                      <w:szCs w:val="18"/>
                    </w:rPr>
                    <w:t>仓位</w:t>
                  </w:r>
                  <w:proofErr w:type="gramEnd"/>
                </w:p>
              </w:tc>
              <w:tc>
                <w:tcPr>
                  <w:tcW w:w="0" w:type="auto"/>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债券</w:t>
                  </w:r>
                  <w:proofErr w:type="gramStart"/>
                  <w:r>
                    <w:rPr>
                      <w:rFonts w:ascii="楷体" w:eastAsia="楷体" w:hAnsi="楷体" w:cs="宋体" w:hint="eastAsia"/>
                      <w:b/>
                      <w:bCs/>
                      <w:color w:val="FFFFFF"/>
                      <w:kern w:val="0"/>
                      <w:sz w:val="18"/>
                      <w:szCs w:val="18"/>
                    </w:rPr>
                    <w:t>仓位</w:t>
                  </w:r>
                  <w:proofErr w:type="gramEnd"/>
                </w:p>
              </w:tc>
              <w:tc>
                <w:tcPr>
                  <w:tcW w:w="0" w:type="auto"/>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E95E51">
                  <w:pPr>
                    <w:widowControl/>
                    <w:jc w:val="center"/>
                    <w:rPr>
                      <w:rFonts w:ascii="楷体" w:eastAsia="楷体" w:hAnsi="楷体" w:cs="宋体"/>
                      <w:b/>
                      <w:bCs/>
                      <w:color w:val="FFFFFF"/>
                      <w:kern w:val="0"/>
                      <w:sz w:val="18"/>
                      <w:szCs w:val="18"/>
                    </w:rPr>
                  </w:pPr>
                </w:p>
              </w:tc>
              <w:tc>
                <w:tcPr>
                  <w:tcW w:w="0" w:type="auto"/>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转债</w:t>
                  </w:r>
                  <w:proofErr w:type="gramStart"/>
                  <w:r>
                    <w:rPr>
                      <w:rFonts w:ascii="楷体" w:eastAsia="楷体" w:hAnsi="楷体" w:cs="宋体" w:hint="eastAsia"/>
                      <w:b/>
                      <w:bCs/>
                      <w:color w:val="FFFFFF"/>
                      <w:kern w:val="0"/>
                      <w:sz w:val="18"/>
                      <w:szCs w:val="18"/>
                    </w:rPr>
                    <w:t>仓位</w:t>
                  </w:r>
                  <w:proofErr w:type="gramEnd"/>
                </w:p>
              </w:tc>
              <w:tc>
                <w:tcPr>
                  <w:tcW w:w="0" w:type="auto"/>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股票</w:t>
                  </w:r>
                  <w:proofErr w:type="gramStart"/>
                  <w:r>
                    <w:rPr>
                      <w:rFonts w:ascii="楷体" w:eastAsia="楷体" w:hAnsi="楷体" w:cs="宋体" w:hint="eastAsia"/>
                      <w:b/>
                      <w:bCs/>
                      <w:color w:val="FFFFFF"/>
                      <w:kern w:val="0"/>
                      <w:sz w:val="18"/>
                      <w:szCs w:val="18"/>
                    </w:rPr>
                    <w:t>仓位</w:t>
                  </w:r>
                  <w:proofErr w:type="gramEnd"/>
                </w:p>
              </w:tc>
              <w:tc>
                <w:tcPr>
                  <w:tcW w:w="0" w:type="auto"/>
                  <w:tcBorders>
                    <w:top w:val="single" w:sz="8" w:space="0" w:color="A6A6A6"/>
                    <w:left w:val="single" w:sz="8" w:space="0" w:color="ED7D31"/>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债券</w:t>
                  </w:r>
                  <w:proofErr w:type="gramStart"/>
                  <w:r>
                    <w:rPr>
                      <w:rFonts w:ascii="楷体" w:eastAsia="楷体" w:hAnsi="楷体" w:cs="宋体" w:hint="eastAsia"/>
                      <w:b/>
                      <w:bCs/>
                      <w:color w:val="FFFFFF"/>
                      <w:kern w:val="0"/>
                      <w:sz w:val="18"/>
                      <w:szCs w:val="18"/>
                    </w:rPr>
                    <w:t>仓位</w:t>
                  </w:r>
                  <w:proofErr w:type="gramEnd"/>
                </w:p>
              </w:tc>
            </w:tr>
            <w:tr w:rsidR="00E95E51">
              <w:trPr>
                <w:trHeight w:val="253"/>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偏股型平均</w:t>
                  </w:r>
                  <w:proofErr w:type="gramEnd"/>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11.7%</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22.5%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65.8%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偏股基准</w:t>
                  </w:r>
                  <w:proofErr w:type="gramEnd"/>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65%</w:t>
                  </w:r>
                </w:p>
              </w:tc>
            </w:tr>
            <w:tr w:rsidR="00E95E51">
              <w:trPr>
                <w:trHeight w:val="253"/>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型平均</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18.8%</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75.1%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均衡基准</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75%</w:t>
                  </w:r>
                </w:p>
              </w:tc>
            </w:tr>
            <w:tr w:rsidR="00E95E51">
              <w:trPr>
                <w:trHeight w:val="253"/>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偏债型平均</w:t>
                  </w:r>
                  <w:proofErr w:type="gramEnd"/>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13.1%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81.6%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偏债基准</w:t>
                  </w:r>
                  <w:proofErr w:type="gramEnd"/>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80%</w:t>
                  </w:r>
                </w:p>
              </w:tc>
            </w:tr>
          </w:tbl>
          <w:p w:rsidR="00E95E51" w:rsidRDefault="00E95E51">
            <w:pPr>
              <w:tabs>
                <w:tab w:val="left" w:pos="600"/>
              </w:tabs>
              <w:adjustRightInd w:val="0"/>
              <w:snapToGrid w:val="0"/>
              <w:spacing w:line="24" w:lineRule="atLeast"/>
              <w:rPr>
                <w:rFonts w:ascii="楷体" w:eastAsia="楷体" w:hAnsi="楷体"/>
                <w:color w:val="000000" w:themeColor="text1"/>
                <w:sz w:val="18"/>
                <w:szCs w:val="18"/>
              </w:rPr>
            </w:pPr>
          </w:p>
        </w:tc>
      </w:tr>
    </w:tbl>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研究；数据区间：</w:t>
      </w:r>
      <w:r>
        <w:rPr>
          <w:rFonts w:ascii="楷体" w:eastAsia="楷体" w:hAnsi="楷体"/>
          <w:color w:val="000000" w:themeColor="text1"/>
          <w:sz w:val="18"/>
          <w:szCs w:val="18"/>
        </w:rPr>
        <w:t>2020.06.30–2021.03.31</w:t>
      </w:r>
    </w:p>
    <w:p w:rsidR="00E95E51" w:rsidRDefault="00E95E51">
      <w:pPr>
        <w:pStyle w:val="afd"/>
        <w:ind w:firstLine="420"/>
        <w:rPr>
          <w:rFonts w:ascii="楷体" w:eastAsia="楷体" w:hAnsi="楷体"/>
        </w:rPr>
      </w:pPr>
    </w:p>
    <w:p w:rsidR="00E95E51" w:rsidRDefault="00502CD5">
      <w:pPr>
        <w:pStyle w:val="afd"/>
        <w:ind w:firstLineChars="0" w:firstLine="0"/>
        <w:rPr>
          <w:rFonts w:ascii="楷体" w:eastAsia="楷体" w:hAnsi="楷体"/>
        </w:rPr>
      </w:pPr>
      <w:r>
        <w:rPr>
          <w:rFonts w:ascii="楷体" w:eastAsia="楷体" w:hAnsi="楷体" w:hint="eastAsia"/>
        </w:rPr>
        <w:t xml:space="preserve"> </w:t>
      </w:r>
      <w:r>
        <w:rPr>
          <w:rFonts w:ascii="楷体" w:eastAsia="楷体" w:hAnsi="楷体"/>
        </w:rPr>
        <w:t xml:space="preserve">  </w:t>
      </w:r>
      <w:r>
        <w:rPr>
          <w:rFonts w:ascii="楷体" w:eastAsia="楷体" w:hAnsi="楷体" w:hint="eastAsia"/>
        </w:rPr>
        <w:t>根据我们</w:t>
      </w:r>
      <w:proofErr w:type="gramStart"/>
      <w:r>
        <w:rPr>
          <w:rFonts w:ascii="楷体" w:eastAsia="楷体" w:hAnsi="楷体" w:hint="eastAsia"/>
        </w:rPr>
        <w:t>在固收</w:t>
      </w:r>
      <w:proofErr w:type="gramEnd"/>
      <w:r>
        <w:rPr>
          <w:rFonts w:ascii="楷体" w:eastAsia="楷体" w:hAnsi="楷体" w:hint="eastAsia"/>
        </w:rPr>
        <w:t>+、可转</w:t>
      </w:r>
      <w:proofErr w:type="gramStart"/>
      <w:r>
        <w:rPr>
          <w:rFonts w:ascii="楷体" w:eastAsia="楷体" w:hAnsi="楷体" w:hint="eastAsia"/>
        </w:rPr>
        <w:t>债基金</w:t>
      </w:r>
      <w:proofErr w:type="gramEnd"/>
      <w:r>
        <w:rPr>
          <w:rFonts w:ascii="楷体" w:eastAsia="楷体" w:hAnsi="楷体" w:hint="eastAsia"/>
        </w:rPr>
        <w:t>的归因分析数据来看，超额收益较高的基金主要的超额收益来源为选</w:t>
      </w:r>
      <w:proofErr w:type="gramStart"/>
      <w:r>
        <w:rPr>
          <w:rFonts w:ascii="楷体" w:eastAsia="楷体" w:hAnsi="楷体" w:hint="eastAsia"/>
        </w:rPr>
        <w:t>券</w:t>
      </w:r>
      <w:proofErr w:type="gramEnd"/>
      <w:r>
        <w:rPr>
          <w:rFonts w:ascii="楷体" w:eastAsia="楷体" w:hAnsi="楷体" w:hint="eastAsia"/>
        </w:rPr>
        <w:t>收益。因此，对于追求收益的</w:t>
      </w:r>
      <w:proofErr w:type="gramStart"/>
      <w:r>
        <w:rPr>
          <w:rFonts w:ascii="楷体" w:eastAsia="楷体" w:hAnsi="楷体" w:hint="eastAsia"/>
        </w:rPr>
        <w:t>偏股型固收</w:t>
      </w:r>
      <w:proofErr w:type="gramEnd"/>
      <w:r>
        <w:rPr>
          <w:rFonts w:ascii="楷体" w:eastAsia="楷体" w:hAnsi="楷体" w:hint="eastAsia"/>
        </w:rPr>
        <w:t>+基金来说，选</w:t>
      </w:r>
      <w:proofErr w:type="gramStart"/>
      <w:r>
        <w:rPr>
          <w:rFonts w:ascii="楷体" w:eastAsia="楷体" w:hAnsi="楷体" w:hint="eastAsia"/>
        </w:rPr>
        <w:t>券</w:t>
      </w:r>
      <w:proofErr w:type="gramEnd"/>
      <w:r>
        <w:rPr>
          <w:rFonts w:ascii="楷体" w:eastAsia="楷体" w:hAnsi="楷体" w:hint="eastAsia"/>
        </w:rPr>
        <w:t>收益是衡量基金超额收益能力的重要指标。由于均衡</w:t>
      </w:r>
      <w:proofErr w:type="gramStart"/>
      <w:r>
        <w:rPr>
          <w:rFonts w:ascii="楷体" w:eastAsia="楷体" w:hAnsi="楷体" w:hint="eastAsia"/>
        </w:rPr>
        <w:t>型固收</w:t>
      </w:r>
      <w:proofErr w:type="gramEnd"/>
      <w:r>
        <w:rPr>
          <w:rFonts w:ascii="楷体" w:eastAsia="楷体" w:hAnsi="楷体" w:hint="eastAsia"/>
        </w:rPr>
        <w:t>+基金的风格整体不如</w:t>
      </w:r>
      <w:proofErr w:type="gramStart"/>
      <w:r>
        <w:rPr>
          <w:rFonts w:ascii="楷体" w:eastAsia="楷体" w:hAnsi="楷体" w:hint="eastAsia"/>
        </w:rPr>
        <w:t>偏股型或偏债型固收</w:t>
      </w:r>
      <w:proofErr w:type="gramEnd"/>
      <w:r>
        <w:rPr>
          <w:rFonts w:ascii="楷体" w:eastAsia="楷体" w:hAnsi="楷体" w:hint="eastAsia"/>
        </w:rPr>
        <w:t>+一般鲜明，因此在筛选的过程中，可以选择有一定择时能力，即配置收益为正的基金。</w:t>
      </w:r>
      <w:proofErr w:type="gramStart"/>
      <w:r>
        <w:rPr>
          <w:rFonts w:ascii="楷体" w:eastAsia="楷体" w:hAnsi="楷体" w:hint="eastAsia"/>
        </w:rPr>
        <w:t>偏债型固收</w:t>
      </w:r>
      <w:proofErr w:type="gramEnd"/>
      <w:r>
        <w:rPr>
          <w:rFonts w:ascii="楷体" w:eastAsia="楷体" w:hAnsi="楷体" w:hint="eastAsia"/>
        </w:rPr>
        <w:t>+更需关注风险收益比、持有体验等指标。</w:t>
      </w:r>
    </w:p>
    <w:p w:rsidR="00E95E51" w:rsidRDefault="00E95E51">
      <w:pPr>
        <w:pStyle w:val="afd"/>
        <w:ind w:firstLineChars="0" w:firstLine="0"/>
        <w:rPr>
          <w:rFonts w:ascii="楷体" w:eastAsia="楷体" w:hAnsi="楷体"/>
        </w:rPr>
      </w:pPr>
    </w:p>
    <w:tbl>
      <w:tblPr>
        <w:tblW w:w="10019" w:type="dxa"/>
        <w:jc w:val="center"/>
        <w:tblCellMar>
          <w:left w:w="0" w:type="dxa"/>
          <w:right w:w="0" w:type="dxa"/>
        </w:tblCellMar>
        <w:tblLook w:val="04A0" w:firstRow="1" w:lastRow="0" w:firstColumn="1" w:lastColumn="0" w:noHBand="0" w:noVBand="1"/>
      </w:tblPr>
      <w:tblGrid>
        <w:gridCol w:w="10195"/>
      </w:tblGrid>
      <w:tr w:rsidR="00E95E51">
        <w:trPr>
          <w:trHeight w:val="304"/>
          <w:jc w:val="center"/>
        </w:trPr>
        <w:tc>
          <w:tcPr>
            <w:tcW w:w="10019"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图表12：</w:t>
            </w:r>
            <w:proofErr w:type="gramStart"/>
            <w:r>
              <w:rPr>
                <w:rFonts w:ascii="楷体" w:eastAsia="楷体" w:hAnsi="楷体" w:hint="eastAsia"/>
                <w:b/>
                <w:bCs/>
                <w:color w:val="000000" w:themeColor="text1"/>
              </w:rPr>
              <w:t>固收</w:t>
            </w:r>
            <w:proofErr w:type="gramEnd"/>
            <w:r>
              <w:rPr>
                <w:rFonts w:ascii="楷体" w:eastAsia="楷体" w:hAnsi="楷体" w:hint="eastAsia"/>
                <w:b/>
                <w:bCs/>
                <w:color w:val="000000" w:themeColor="text1"/>
              </w:rPr>
              <w:t>+基金归因分析示例</w:t>
            </w:r>
          </w:p>
        </w:tc>
      </w:tr>
      <w:tr w:rsidR="00E95E51">
        <w:tblPrEx>
          <w:tblCellMar>
            <w:left w:w="108" w:type="dxa"/>
            <w:right w:w="108" w:type="dxa"/>
          </w:tblCellMar>
        </w:tblPrEx>
        <w:trPr>
          <w:trHeight w:val="1263"/>
          <w:jc w:val="center"/>
        </w:trPr>
        <w:tc>
          <w:tcPr>
            <w:tcW w:w="10019" w:type="dxa"/>
            <w:tcBorders>
              <w:top w:val="single" w:sz="12" w:space="0" w:color="767171" w:themeColor="background2" w:themeShade="80"/>
              <w:bottom w:val="single" w:sz="12" w:space="0" w:color="767171" w:themeColor="background2" w:themeShade="80"/>
            </w:tcBorders>
            <w:vAlign w:val="center"/>
          </w:tcPr>
          <w:tbl>
            <w:tblPr>
              <w:tblW w:w="0" w:type="auto"/>
              <w:tblLook w:val="04A0" w:firstRow="1" w:lastRow="0" w:firstColumn="1" w:lastColumn="0" w:noHBand="0" w:noVBand="1"/>
            </w:tblPr>
            <w:tblGrid>
              <w:gridCol w:w="1026"/>
              <w:gridCol w:w="1656"/>
              <w:gridCol w:w="1386"/>
              <w:gridCol w:w="1206"/>
              <w:gridCol w:w="939"/>
              <w:gridCol w:w="939"/>
              <w:gridCol w:w="939"/>
              <w:gridCol w:w="939"/>
              <w:gridCol w:w="939"/>
            </w:tblGrid>
            <w:tr w:rsidR="00E95E51">
              <w:trPr>
                <w:trHeight w:val="290"/>
              </w:trPr>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证券代码</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基金简称</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基金经理</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w:t>
                  </w:r>
                  <w:proofErr w:type="gramStart"/>
                  <w:r>
                    <w:rPr>
                      <w:rFonts w:ascii="楷体" w:eastAsia="楷体" w:hAnsi="楷体" w:cs="宋体" w:hint="eastAsia"/>
                      <w:b/>
                      <w:bCs/>
                      <w:color w:val="FFFFFF"/>
                      <w:kern w:val="0"/>
                      <w:sz w:val="18"/>
                      <w:szCs w:val="18"/>
                    </w:rPr>
                    <w:t>煜</w:t>
                  </w:r>
                  <w:proofErr w:type="gramEnd"/>
                  <w:r>
                    <w:rPr>
                      <w:rFonts w:ascii="楷体" w:eastAsia="楷体" w:hAnsi="楷体" w:cs="宋体" w:hint="eastAsia"/>
                      <w:b/>
                      <w:bCs/>
                      <w:color w:val="FFFFFF"/>
                      <w:kern w:val="0"/>
                      <w:sz w:val="18"/>
                      <w:szCs w:val="18"/>
                    </w:rPr>
                    <w:t>分类</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绝对收益</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超额收益</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配置收益</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选</w:t>
                  </w:r>
                  <w:proofErr w:type="gramStart"/>
                  <w:r>
                    <w:rPr>
                      <w:rFonts w:ascii="楷体" w:eastAsia="楷体" w:hAnsi="楷体" w:cs="宋体" w:hint="eastAsia"/>
                      <w:b/>
                      <w:bCs/>
                      <w:color w:val="FFFFFF"/>
                      <w:kern w:val="0"/>
                      <w:sz w:val="18"/>
                      <w:szCs w:val="18"/>
                    </w:rPr>
                    <w:t>券</w:t>
                  </w:r>
                  <w:proofErr w:type="gramEnd"/>
                  <w:r>
                    <w:rPr>
                      <w:rFonts w:ascii="楷体" w:eastAsia="楷体" w:hAnsi="楷体" w:cs="宋体" w:hint="eastAsia"/>
                      <w:b/>
                      <w:bCs/>
                      <w:color w:val="FFFFFF"/>
                      <w:kern w:val="0"/>
                      <w:sz w:val="18"/>
                      <w:szCs w:val="18"/>
                    </w:rPr>
                    <w:t>收益</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交易收益</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001182.OF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易方达安心回馈</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张清华,林森</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偏股型固收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46.73%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30.84%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5.96%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18.10%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6.78%</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006013.OF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易方达鑫转招利A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韩阅川,杨康</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偏股型固收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43.79%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27.91%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10.48%</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10.28%</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7.15%</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162717.OF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广发再融资</w:t>
                  </w:r>
                  <w:proofErr w:type="gramEnd"/>
                  <w:r>
                    <w:rPr>
                      <w:rFonts w:ascii="楷体" w:eastAsia="楷体" w:hAnsi="楷体" w:cs="宋体" w:hint="eastAsia"/>
                      <w:color w:val="000000"/>
                      <w:kern w:val="0"/>
                      <w:sz w:val="18"/>
                      <w:szCs w:val="18"/>
                    </w:rPr>
                    <w:t>主题</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田文舟</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偏股型固收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40.72%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24.84%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1.68%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8.35%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14.80%</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003900.OF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交银瑞</w:t>
                  </w:r>
                  <w:proofErr w:type="gramStart"/>
                  <w:r>
                    <w:rPr>
                      <w:rFonts w:ascii="楷体" w:eastAsia="楷体" w:hAnsi="楷体" w:cs="宋体" w:hint="eastAsia"/>
                      <w:color w:val="000000"/>
                      <w:kern w:val="0"/>
                      <w:sz w:val="18"/>
                      <w:szCs w:val="18"/>
                    </w:rPr>
                    <w:t>鑫</w:t>
                  </w:r>
                  <w:proofErr w:type="gramEnd"/>
                  <w:r>
                    <w:rPr>
                      <w:rFonts w:ascii="楷体" w:eastAsia="楷体" w:hAnsi="楷体" w:cs="宋体" w:hint="eastAsia"/>
                      <w:color w:val="000000"/>
                      <w:kern w:val="0"/>
                      <w:sz w:val="18"/>
                      <w:szCs w:val="18"/>
                    </w:rPr>
                    <w:t>定期开放</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王艺伟</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29.62%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15.61%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5.41%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1.71%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8.49%</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003379.OF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信</w:t>
                  </w:r>
                  <w:proofErr w:type="gramStart"/>
                  <w:r>
                    <w:rPr>
                      <w:rFonts w:ascii="楷体" w:eastAsia="楷体" w:hAnsi="楷体" w:cs="宋体" w:hint="eastAsia"/>
                      <w:color w:val="000000"/>
                      <w:kern w:val="0"/>
                      <w:sz w:val="18"/>
                      <w:szCs w:val="18"/>
                    </w:rPr>
                    <w:t>诚至选</w:t>
                  </w:r>
                  <w:proofErr w:type="gramEnd"/>
                  <w:r>
                    <w:rPr>
                      <w:rFonts w:ascii="楷体" w:eastAsia="楷体" w:hAnsi="楷体" w:cs="宋体" w:hint="eastAsia"/>
                      <w:color w:val="000000"/>
                      <w:kern w:val="0"/>
                      <w:sz w:val="18"/>
                      <w:szCs w:val="18"/>
                    </w:rPr>
                    <w:t>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提云涛,杨立春</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23.92%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9.91%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0.31%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1.54%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8.05%</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001547.OF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兴业聚惠</w:t>
                  </w:r>
                  <w:proofErr w:type="gramEnd"/>
                  <w:r>
                    <w:rPr>
                      <w:rFonts w:ascii="楷体" w:eastAsia="楷体" w:hAnsi="楷体" w:cs="宋体" w:hint="eastAsia"/>
                      <w:color w:val="000000"/>
                      <w:kern w:val="0"/>
                      <w:sz w:val="18"/>
                      <w:szCs w:val="18"/>
                    </w:rPr>
                    <w:t>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徐青</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30.10%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16.09%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7.93%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7.35%</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001309.OF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东方红</w:t>
                  </w:r>
                  <w:proofErr w:type="gramStart"/>
                  <w:r>
                    <w:rPr>
                      <w:rFonts w:ascii="楷体" w:eastAsia="楷体" w:hAnsi="楷体" w:cs="宋体" w:hint="eastAsia"/>
                      <w:color w:val="000000"/>
                      <w:kern w:val="0"/>
                      <w:sz w:val="18"/>
                      <w:szCs w:val="18"/>
                    </w:rPr>
                    <w:t>睿</w:t>
                  </w:r>
                  <w:proofErr w:type="gramEnd"/>
                  <w:r>
                    <w:rPr>
                      <w:rFonts w:ascii="楷体" w:eastAsia="楷体" w:hAnsi="楷体" w:cs="宋体" w:hint="eastAsia"/>
                      <w:color w:val="000000"/>
                      <w:kern w:val="0"/>
                      <w:sz w:val="18"/>
                      <w:szCs w:val="18"/>
                    </w:rPr>
                    <w:t>逸</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纪文静,孔令超</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25.69%</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11.68%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2.59%</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6.32%</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2.77%</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519768.OF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交银优选回报A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王艺伟</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22.27%</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9.70%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3.52%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5.15%</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001067.OF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鹏</w:t>
                  </w:r>
                  <w:proofErr w:type="gramStart"/>
                  <w:r>
                    <w:rPr>
                      <w:rFonts w:ascii="楷体" w:eastAsia="楷体" w:hAnsi="楷体" w:cs="宋体" w:hint="eastAsia"/>
                      <w:color w:val="000000"/>
                      <w:kern w:val="0"/>
                      <w:sz w:val="18"/>
                      <w:szCs w:val="18"/>
                    </w:rPr>
                    <w:t>华弘盛</w:t>
                  </w:r>
                  <w:proofErr w:type="gramEnd"/>
                  <w:r>
                    <w:rPr>
                      <w:rFonts w:ascii="楷体" w:eastAsia="楷体" w:hAnsi="楷体" w:cs="宋体" w:hint="eastAsia"/>
                      <w:color w:val="000000"/>
                      <w:kern w:val="0"/>
                      <w:sz w:val="18"/>
                      <w:szCs w:val="18"/>
                    </w:rPr>
                    <w:t>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王石千</w:t>
                  </w:r>
                  <w:proofErr w:type="gramEnd"/>
                  <w:r>
                    <w:rPr>
                      <w:rFonts w:ascii="楷体" w:eastAsia="楷体" w:hAnsi="楷体" w:cs="宋体" w:hint="eastAsia"/>
                      <w:color w:val="000000"/>
                      <w:kern w:val="0"/>
                      <w:sz w:val="18"/>
                      <w:szCs w:val="18"/>
                    </w:rPr>
                    <w:t>,方昶</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17.33%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4.76%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0.78%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0.86%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3.11%</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003432.OF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信</w:t>
                  </w:r>
                  <w:proofErr w:type="gramStart"/>
                  <w:r>
                    <w:rPr>
                      <w:rFonts w:ascii="楷体" w:eastAsia="楷体" w:hAnsi="楷体" w:cs="宋体" w:hint="eastAsia"/>
                      <w:color w:val="000000"/>
                      <w:kern w:val="0"/>
                      <w:sz w:val="18"/>
                      <w:szCs w:val="18"/>
                    </w:rPr>
                    <w:t>诚至瑞</w:t>
                  </w:r>
                  <w:proofErr w:type="gramEnd"/>
                  <w:r>
                    <w:rPr>
                      <w:rFonts w:ascii="楷体" w:eastAsia="楷体" w:hAnsi="楷体" w:cs="宋体" w:hint="eastAsia"/>
                      <w:color w:val="000000"/>
                      <w:kern w:val="0"/>
                      <w:sz w:val="18"/>
                      <w:szCs w:val="18"/>
                    </w:rPr>
                    <w:t>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提云涛,杨立春</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24.24%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11.67%</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0.32%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1.13%</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10.22%</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519770.OF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交</w:t>
                  </w:r>
                  <w:proofErr w:type="gramStart"/>
                  <w:r>
                    <w:rPr>
                      <w:rFonts w:ascii="楷体" w:eastAsia="楷体" w:hAnsi="楷体" w:cs="宋体" w:hint="eastAsia"/>
                      <w:color w:val="000000"/>
                      <w:kern w:val="0"/>
                      <w:sz w:val="18"/>
                      <w:szCs w:val="18"/>
                    </w:rPr>
                    <w:t>银优择</w:t>
                  </w:r>
                  <w:proofErr w:type="gramEnd"/>
                  <w:r>
                    <w:rPr>
                      <w:rFonts w:ascii="楷体" w:eastAsia="楷体" w:hAnsi="楷体" w:cs="宋体" w:hint="eastAsia"/>
                      <w:color w:val="000000"/>
                      <w:kern w:val="0"/>
                      <w:sz w:val="18"/>
                      <w:szCs w:val="18"/>
                    </w:rPr>
                    <w:t>回报A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王艺伟</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21.91%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9.34%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0.47%</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3.44%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5.43%</w:t>
                  </w:r>
                </w:p>
              </w:tc>
            </w:tr>
          </w:tbl>
          <w:p w:rsidR="00E95E51" w:rsidRDefault="00E95E51">
            <w:pPr>
              <w:tabs>
                <w:tab w:val="left" w:pos="600"/>
              </w:tabs>
              <w:adjustRightInd w:val="0"/>
              <w:snapToGrid w:val="0"/>
              <w:spacing w:line="24" w:lineRule="atLeast"/>
              <w:rPr>
                <w:rFonts w:ascii="楷体" w:eastAsia="楷体" w:hAnsi="楷体"/>
                <w:color w:val="000000" w:themeColor="text1"/>
                <w:sz w:val="18"/>
                <w:szCs w:val="18"/>
              </w:rPr>
            </w:pPr>
          </w:p>
        </w:tc>
      </w:tr>
    </w:tbl>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研究；数据区间：</w:t>
      </w:r>
      <w:r>
        <w:rPr>
          <w:rFonts w:ascii="楷体" w:eastAsia="楷体" w:hAnsi="楷体"/>
          <w:color w:val="000000" w:themeColor="text1"/>
          <w:sz w:val="18"/>
          <w:szCs w:val="18"/>
        </w:rPr>
        <w:t>2020.06.30–2021.03.31</w:t>
      </w:r>
    </w:p>
    <w:p w:rsidR="00E95E51" w:rsidRDefault="00502CD5">
      <w:pPr>
        <w:pStyle w:val="afd"/>
        <w:ind w:firstLineChars="0" w:firstLine="0"/>
        <w:rPr>
          <w:rFonts w:ascii="楷体" w:eastAsia="楷体" w:hAnsi="楷体"/>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p w:rsidR="00E95E51" w:rsidRDefault="00E95E51">
      <w:pPr>
        <w:pStyle w:val="afd"/>
        <w:ind w:firstLineChars="0" w:firstLine="0"/>
        <w:rPr>
          <w:rFonts w:ascii="楷体" w:eastAsia="楷体" w:hAnsi="楷体"/>
        </w:rPr>
      </w:pPr>
    </w:p>
    <w:p w:rsidR="00E95E51" w:rsidRDefault="00502CD5">
      <w:pPr>
        <w:pStyle w:val="a"/>
        <w:numPr>
          <w:ilvl w:val="1"/>
          <w:numId w:val="7"/>
        </w:numPr>
        <w:adjustRightInd w:val="0"/>
        <w:snapToGrid w:val="0"/>
        <w:spacing w:before="0" w:after="0" w:line="24" w:lineRule="atLeast"/>
        <w:ind w:rightChars="0" w:right="0"/>
        <w:rPr>
          <w:rFonts w:ascii="楷体" w:eastAsia="楷体" w:hAnsi="楷体"/>
          <w:sz w:val="24"/>
          <w:szCs w:val="28"/>
        </w:rPr>
      </w:pPr>
      <w:r>
        <w:rPr>
          <w:rFonts w:ascii="楷体" w:eastAsia="楷体" w:hAnsi="楷体" w:hint="eastAsia"/>
          <w:sz w:val="24"/>
          <w:szCs w:val="28"/>
        </w:rPr>
        <w:t>多维绩效评分</w:t>
      </w:r>
    </w:p>
    <w:p w:rsidR="00E95E51" w:rsidRDefault="00E95E51">
      <w:pPr>
        <w:pStyle w:val="afd"/>
        <w:ind w:firstLine="420"/>
        <w:rPr>
          <w:rFonts w:ascii="楷体" w:eastAsia="楷体" w:hAnsi="楷体"/>
        </w:rPr>
      </w:pPr>
    </w:p>
    <w:p w:rsidR="00E95E51" w:rsidRDefault="00502CD5">
      <w:pPr>
        <w:pStyle w:val="afd"/>
        <w:ind w:firstLine="420"/>
        <w:rPr>
          <w:rFonts w:ascii="楷体" w:eastAsia="楷体" w:hAnsi="楷体"/>
        </w:rPr>
      </w:pPr>
      <w:r>
        <w:rPr>
          <w:rFonts w:ascii="楷体" w:eastAsia="楷体" w:hAnsi="楷体" w:hint="eastAsia"/>
        </w:rPr>
        <w:t>我们认为，根据简单的净值指标，通过计算其收益、风险控制、收益风险比等对基金进行综合评估是较为有效且直观的方法，目的是能够较好的筛选出在各方面综合表现较好的基金。但缺点是一些表现有特色的基金其综合评分可能并不高，如一些基金获取收益能力较强但回撤控制的表现则偏弱、或一些基金以绝对收益为目标，并不追求过高的收益等，因此在考察具体基金时还需要观察其分类评分而不能仅使用综合评分。</w:t>
      </w:r>
    </w:p>
    <w:p w:rsidR="00E95E51" w:rsidRDefault="00E95E51">
      <w:pPr>
        <w:pStyle w:val="afd"/>
        <w:ind w:firstLine="420"/>
        <w:rPr>
          <w:rFonts w:ascii="楷体" w:eastAsia="楷体" w:hAnsi="楷体"/>
        </w:rPr>
      </w:pPr>
    </w:p>
    <w:p w:rsidR="00E95E51" w:rsidRDefault="00502CD5">
      <w:pPr>
        <w:pStyle w:val="afd"/>
        <w:ind w:firstLine="420"/>
        <w:rPr>
          <w:rFonts w:ascii="楷体" w:eastAsia="楷体" w:hAnsi="楷体"/>
        </w:rPr>
      </w:pPr>
      <w:r>
        <w:rPr>
          <w:rFonts w:ascii="楷体" w:eastAsia="楷体" w:hAnsi="楷体" w:hint="eastAsia"/>
        </w:rPr>
        <w:t>多维绩效评分指标及方法：</w:t>
      </w:r>
    </w:p>
    <w:p w:rsidR="00E95E51" w:rsidRDefault="00502CD5">
      <w:pPr>
        <w:pStyle w:val="afd"/>
        <w:numPr>
          <w:ilvl w:val="0"/>
          <w:numId w:val="9"/>
        </w:numPr>
        <w:ind w:firstLineChars="0"/>
        <w:rPr>
          <w:rFonts w:ascii="楷体" w:eastAsia="楷体" w:hAnsi="楷体"/>
        </w:rPr>
      </w:pPr>
      <w:r>
        <w:rPr>
          <w:rFonts w:ascii="楷体" w:eastAsia="楷体" w:hAnsi="楷体" w:hint="eastAsia"/>
        </w:rPr>
        <w:t>风险收益评分：夏普、卡</w:t>
      </w:r>
      <w:proofErr w:type="gramStart"/>
      <w:r>
        <w:rPr>
          <w:rFonts w:ascii="楷体" w:eastAsia="楷体" w:hAnsi="楷体" w:hint="eastAsia"/>
        </w:rPr>
        <w:t>玛</w:t>
      </w:r>
      <w:proofErr w:type="gramEnd"/>
      <w:r>
        <w:rPr>
          <w:rFonts w:ascii="楷体" w:eastAsia="楷体" w:hAnsi="楷体" w:hint="eastAsia"/>
        </w:rPr>
        <w:t>比率近1、2年的平均排名；</w:t>
      </w:r>
    </w:p>
    <w:p w:rsidR="00E95E51" w:rsidRDefault="00502CD5">
      <w:pPr>
        <w:pStyle w:val="afd"/>
        <w:numPr>
          <w:ilvl w:val="0"/>
          <w:numId w:val="9"/>
        </w:numPr>
        <w:ind w:firstLineChars="0"/>
        <w:rPr>
          <w:rFonts w:ascii="楷体" w:eastAsia="楷体" w:hAnsi="楷体"/>
        </w:rPr>
      </w:pPr>
      <w:r>
        <w:rPr>
          <w:rFonts w:ascii="楷体" w:eastAsia="楷体" w:hAnsi="楷体" w:hint="eastAsia"/>
        </w:rPr>
        <w:t>收益评分：近1、2年收益率排名均值；</w:t>
      </w:r>
    </w:p>
    <w:p w:rsidR="00E95E51" w:rsidRDefault="00502CD5">
      <w:pPr>
        <w:pStyle w:val="afd"/>
        <w:numPr>
          <w:ilvl w:val="0"/>
          <w:numId w:val="9"/>
        </w:numPr>
        <w:ind w:firstLineChars="0"/>
        <w:rPr>
          <w:rFonts w:ascii="楷体" w:eastAsia="楷体" w:hAnsi="楷体"/>
        </w:rPr>
      </w:pPr>
      <w:r>
        <w:rPr>
          <w:rFonts w:ascii="楷体" w:eastAsia="楷体" w:hAnsi="楷体" w:hint="eastAsia"/>
        </w:rPr>
        <w:t>收益稳定性：近2年，每季度收益率排名均值；</w:t>
      </w:r>
    </w:p>
    <w:p w:rsidR="00E95E51" w:rsidRDefault="00502CD5">
      <w:pPr>
        <w:pStyle w:val="afd"/>
        <w:numPr>
          <w:ilvl w:val="0"/>
          <w:numId w:val="9"/>
        </w:numPr>
        <w:ind w:firstLineChars="0"/>
        <w:rPr>
          <w:rFonts w:ascii="楷体" w:eastAsia="楷体" w:hAnsi="楷体"/>
        </w:rPr>
      </w:pPr>
      <w:r>
        <w:rPr>
          <w:rFonts w:ascii="楷体" w:eastAsia="楷体" w:hAnsi="楷体" w:hint="eastAsia"/>
        </w:rPr>
        <w:t>回撤评分：近1、2年最大回撤排名均值；</w:t>
      </w:r>
    </w:p>
    <w:p w:rsidR="00E95E51" w:rsidRDefault="00502CD5">
      <w:pPr>
        <w:pStyle w:val="afd"/>
        <w:numPr>
          <w:ilvl w:val="0"/>
          <w:numId w:val="9"/>
        </w:numPr>
        <w:ind w:firstLineChars="0"/>
        <w:rPr>
          <w:rFonts w:ascii="楷体" w:eastAsia="楷体" w:hAnsi="楷体"/>
        </w:rPr>
      </w:pPr>
      <w:r>
        <w:rPr>
          <w:rFonts w:ascii="楷体" w:eastAsia="楷体" w:hAnsi="楷体" w:hint="eastAsia"/>
        </w:rPr>
        <w:t>回撤稳定性：近2年，每季度最大回撤排名均值</w:t>
      </w:r>
    </w:p>
    <w:p w:rsidR="00E95E51" w:rsidRDefault="00502CD5">
      <w:pPr>
        <w:pStyle w:val="afd"/>
        <w:ind w:left="420" w:firstLineChars="0" w:firstLine="0"/>
        <w:rPr>
          <w:rFonts w:ascii="楷体" w:eastAsia="楷体" w:hAnsi="楷体"/>
        </w:rPr>
      </w:pPr>
      <w:r>
        <w:rPr>
          <w:rFonts w:ascii="楷体" w:eastAsia="楷体" w:hAnsi="楷体" w:hint="eastAsia"/>
        </w:rPr>
        <w:lastRenderedPageBreak/>
        <w:t>以上5项均以全样本排名的方式进行打分，分值区间为0-</w:t>
      </w:r>
      <w:r>
        <w:rPr>
          <w:rFonts w:ascii="楷体" w:eastAsia="楷体" w:hAnsi="楷体"/>
        </w:rPr>
        <w:t>10</w:t>
      </w:r>
      <w:r>
        <w:rPr>
          <w:rFonts w:ascii="楷体" w:eastAsia="楷体" w:hAnsi="楷体" w:hint="eastAsia"/>
        </w:rPr>
        <w:t>分。将5项所得分算术平均后，再排名再打分，分值区间仍为0-</w:t>
      </w:r>
      <w:r>
        <w:rPr>
          <w:rFonts w:ascii="楷体" w:eastAsia="楷体" w:hAnsi="楷体"/>
        </w:rPr>
        <w:t>10</w:t>
      </w:r>
      <w:r>
        <w:rPr>
          <w:rFonts w:ascii="楷体" w:eastAsia="楷体" w:hAnsi="楷体" w:hint="eastAsia"/>
        </w:rPr>
        <w:t>分。</w:t>
      </w:r>
    </w:p>
    <w:p w:rsidR="00E95E51" w:rsidRDefault="00E95E51">
      <w:pPr>
        <w:pStyle w:val="afd"/>
        <w:ind w:left="420" w:firstLineChars="0" w:firstLine="0"/>
        <w:rPr>
          <w:rFonts w:ascii="楷体" w:eastAsia="楷体" w:hAnsi="楷体"/>
        </w:rPr>
      </w:pPr>
    </w:p>
    <w:p w:rsidR="00E95E51" w:rsidRDefault="00502CD5">
      <w:pPr>
        <w:pStyle w:val="afd"/>
        <w:ind w:firstLineChars="202" w:firstLine="424"/>
        <w:rPr>
          <w:rFonts w:ascii="楷体" w:eastAsia="楷体" w:hAnsi="楷体"/>
        </w:rPr>
      </w:pPr>
      <w:r>
        <w:rPr>
          <w:rFonts w:ascii="楷体" w:eastAsia="楷体" w:hAnsi="楷体" w:hint="eastAsia"/>
        </w:rPr>
        <w:t>多维绩效评分使用方面，我们建议对于注重进攻的</w:t>
      </w:r>
      <w:proofErr w:type="gramStart"/>
      <w:r>
        <w:rPr>
          <w:rFonts w:ascii="楷体" w:eastAsia="楷体" w:hAnsi="楷体" w:hint="eastAsia"/>
        </w:rPr>
        <w:t>偏股型固收</w:t>
      </w:r>
      <w:proofErr w:type="gramEnd"/>
      <w:r>
        <w:rPr>
          <w:rFonts w:ascii="楷体" w:eastAsia="楷体" w:hAnsi="楷体" w:hint="eastAsia"/>
        </w:rPr>
        <w:t>+基金，主要关注收益类指标；对于偏防御型的</w:t>
      </w:r>
      <w:proofErr w:type="gramStart"/>
      <w:r>
        <w:rPr>
          <w:rFonts w:ascii="楷体" w:eastAsia="楷体" w:hAnsi="楷体" w:hint="eastAsia"/>
        </w:rPr>
        <w:t>偏债型固收</w:t>
      </w:r>
      <w:proofErr w:type="gramEnd"/>
      <w:r>
        <w:rPr>
          <w:rFonts w:ascii="楷体" w:eastAsia="楷体" w:hAnsi="楷体" w:hint="eastAsia"/>
        </w:rPr>
        <w:t>+基金，建议重点考察风险及收益风险类指标。</w:t>
      </w:r>
    </w:p>
    <w:p w:rsidR="00E95E51" w:rsidRDefault="00E95E51">
      <w:pPr>
        <w:pStyle w:val="afd"/>
        <w:ind w:left="420" w:firstLineChars="0" w:firstLine="0"/>
        <w:rPr>
          <w:rFonts w:ascii="楷体" w:eastAsia="楷体" w:hAnsi="楷体"/>
        </w:rPr>
      </w:pPr>
    </w:p>
    <w:tbl>
      <w:tblPr>
        <w:tblW w:w="10019" w:type="dxa"/>
        <w:jc w:val="center"/>
        <w:tblCellMar>
          <w:left w:w="0" w:type="dxa"/>
          <w:right w:w="0" w:type="dxa"/>
        </w:tblCellMar>
        <w:tblLook w:val="04A0" w:firstRow="1" w:lastRow="0" w:firstColumn="1" w:lastColumn="0" w:noHBand="0" w:noVBand="1"/>
      </w:tblPr>
      <w:tblGrid>
        <w:gridCol w:w="10019"/>
      </w:tblGrid>
      <w:tr w:rsidR="00E95E51">
        <w:trPr>
          <w:trHeight w:val="304"/>
          <w:jc w:val="center"/>
        </w:trPr>
        <w:tc>
          <w:tcPr>
            <w:tcW w:w="10019"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图表13：</w:t>
            </w:r>
            <w:proofErr w:type="gramStart"/>
            <w:r>
              <w:rPr>
                <w:rFonts w:ascii="楷体" w:eastAsia="楷体" w:hAnsi="楷体" w:hint="eastAsia"/>
                <w:b/>
                <w:bCs/>
                <w:color w:val="000000" w:themeColor="text1"/>
              </w:rPr>
              <w:t>固收</w:t>
            </w:r>
            <w:proofErr w:type="gramEnd"/>
            <w:r>
              <w:rPr>
                <w:rFonts w:ascii="楷体" w:eastAsia="楷体" w:hAnsi="楷体" w:hint="eastAsia"/>
                <w:b/>
                <w:bCs/>
                <w:color w:val="000000" w:themeColor="text1"/>
              </w:rPr>
              <w:t>+基金多维绩效评分示例</w:t>
            </w:r>
          </w:p>
        </w:tc>
      </w:tr>
      <w:tr w:rsidR="00E95E51">
        <w:tblPrEx>
          <w:tblCellMar>
            <w:left w:w="108" w:type="dxa"/>
            <w:right w:w="108" w:type="dxa"/>
          </w:tblCellMar>
        </w:tblPrEx>
        <w:trPr>
          <w:trHeight w:val="1263"/>
          <w:jc w:val="center"/>
        </w:trPr>
        <w:tc>
          <w:tcPr>
            <w:tcW w:w="10019" w:type="dxa"/>
            <w:tcBorders>
              <w:top w:val="single" w:sz="12" w:space="0" w:color="767171" w:themeColor="background2" w:themeShade="80"/>
              <w:bottom w:val="single" w:sz="12" w:space="0" w:color="767171" w:themeColor="background2" w:themeShade="80"/>
            </w:tcBorders>
            <w:vAlign w:val="center"/>
          </w:tcPr>
          <w:tbl>
            <w:tblPr>
              <w:tblW w:w="0" w:type="auto"/>
              <w:tblLook w:val="04A0" w:firstRow="1" w:lastRow="0" w:firstColumn="1" w:lastColumn="0" w:noHBand="0" w:noVBand="1"/>
            </w:tblPr>
            <w:tblGrid>
              <w:gridCol w:w="1616"/>
              <w:gridCol w:w="1256"/>
              <w:gridCol w:w="1096"/>
              <w:gridCol w:w="1180"/>
              <w:gridCol w:w="859"/>
              <w:gridCol w:w="859"/>
              <w:gridCol w:w="1020"/>
              <w:gridCol w:w="1020"/>
              <w:gridCol w:w="859"/>
            </w:tblGrid>
            <w:tr w:rsidR="00E95E51">
              <w:trPr>
                <w:trHeight w:val="290"/>
              </w:trPr>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基金简称</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基金经理</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基</w:t>
                  </w:r>
                  <w:proofErr w:type="gramStart"/>
                  <w:r>
                    <w:rPr>
                      <w:rFonts w:ascii="楷体" w:eastAsia="楷体" w:hAnsi="楷体" w:cs="宋体" w:hint="eastAsia"/>
                      <w:b/>
                      <w:bCs/>
                      <w:color w:val="FFFFFF"/>
                      <w:kern w:val="0"/>
                      <w:sz w:val="16"/>
                      <w:szCs w:val="18"/>
                    </w:rPr>
                    <w:t>煜</w:t>
                  </w:r>
                  <w:proofErr w:type="gramEnd"/>
                  <w:r>
                    <w:rPr>
                      <w:rFonts w:ascii="楷体" w:eastAsia="楷体" w:hAnsi="楷体" w:cs="宋体" w:hint="eastAsia"/>
                      <w:b/>
                      <w:bCs/>
                      <w:color w:val="FFFFFF"/>
                      <w:kern w:val="0"/>
                      <w:sz w:val="16"/>
                      <w:szCs w:val="18"/>
                    </w:rPr>
                    <w:t>分类</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收益风险评分</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收益评分</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回撤评分</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收益稳定性</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回撤稳定性</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综合评分</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交银优选回报A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王艺伟</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偏债型固收</w:t>
                  </w:r>
                  <w:proofErr w:type="gramEnd"/>
                  <w:r>
                    <w:rPr>
                      <w:rFonts w:ascii="楷体" w:eastAsia="楷体" w:hAnsi="楷体" w:cs="宋体" w:hint="eastAsia"/>
                      <w:color w:val="000000"/>
                      <w:kern w:val="0"/>
                      <w:sz w:val="16"/>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9.67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6.82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8.57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7.45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9.36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8.37 </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信</w:t>
                  </w:r>
                  <w:proofErr w:type="gramStart"/>
                  <w:r>
                    <w:rPr>
                      <w:rFonts w:ascii="楷体" w:eastAsia="楷体" w:hAnsi="楷体" w:cs="宋体" w:hint="eastAsia"/>
                      <w:color w:val="000000"/>
                      <w:kern w:val="0"/>
                      <w:sz w:val="16"/>
                      <w:szCs w:val="18"/>
                    </w:rPr>
                    <w:t>诚至选</w:t>
                  </w:r>
                  <w:proofErr w:type="gramEnd"/>
                  <w:r>
                    <w:rPr>
                      <w:rFonts w:ascii="楷体" w:eastAsia="楷体" w:hAnsi="楷体" w:cs="宋体" w:hint="eastAsia"/>
                      <w:color w:val="000000"/>
                      <w:kern w:val="0"/>
                      <w:sz w:val="16"/>
                      <w:szCs w:val="18"/>
                    </w:rPr>
                    <w:t>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提云涛,杨立春</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均衡</w:t>
                  </w:r>
                  <w:proofErr w:type="gramStart"/>
                  <w:r>
                    <w:rPr>
                      <w:rFonts w:ascii="楷体" w:eastAsia="楷体" w:hAnsi="楷体" w:cs="宋体" w:hint="eastAsia"/>
                      <w:color w:val="000000"/>
                      <w:kern w:val="0"/>
                      <w:sz w:val="16"/>
                      <w:szCs w:val="18"/>
                    </w:rPr>
                    <w:t>型固收</w:t>
                  </w:r>
                  <w:proofErr w:type="gramEnd"/>
                  <w:r>
                    <w:rPr>
                      <w:rFonts w:ascii="楷体" w:eastAsia="楷体" w:hAnsi="楷体" w:cs="宋体" w:hint="eastAsia"/>
                      <w:color w:val="000000"/>
                      <w:kern w:val="0"/>
                      <w:sz w:val="16"/>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9.65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7.08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8.03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7.81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8.92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8.30 </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兴业聚惠</w:t>
                  </w:r>
                  <w:proofErr w:type="gramEnd"/>
                  <w:r>
                    <w:rPr>
                      <w:rFonts w:ascii="楷体" w:eastAsia="楷体" w:hAnsi="楷体" w:cs="宋体" w:hint="eastAsia"/>
                      <w:color w:val="000000"/>
                      <w:kern w:val="0"/>
                      <w:sz w:val="16"/>
                      <w:szCs w:val="18"/>
                    </w:rPr>
                    <w:t>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徐青</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均衡</w:t>
                  </w:r>
                  <w:proofErr w:type="gramStart"/>
                  <w:r>
                    <w:rPr>
                      <w:rFonts w:ascii="楷体" w:eastAsia="楷体" w:hAnsi="楷体" w:cs="宋体" w:hint="eastAsia"/>
                      <w:color w:val="000000"/>
                      <w:kern w:val="0"/>
                      <w:sz w:val="16"/>
                      <w:szCs w:val="18"/>
                    </w:rPr>
                    <w:t>型固收</w:t>
                  </w:r>
                  <w:proofErr w:type="gramEnd"/>
                  <w:r>
                    <w:rPr>
                      <w:rFonts w:ascii="楷体" w:eastAsia="楷体" w:hAnsi="楷体" w:cs="宋体" w:hint="eastAsia"/>
                      <w:color w:val="000000"/>
                      <w:kern w:val="0"/>
                      <w:sz w:val="16"/>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9.09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8.10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6.32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9.32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7.57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8.08 </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东方红</w:t>
                  </w:r>
                  <w:proofErr w:type="gramStart"/>
                  <w:r>
                    <w:rPr>
                      <w:rFonts w:ascii="楷体" w:eastAsia="楷体" w:hAnsi="楷体" w:cs="宋体" w:hint="eastAsia"/>
                      <w:color w:val="000000"/>
                      <w:kern w:val="0"/>
                      <w:sz w:val="16"/>
                      <w:szCs w:val="18"/>
                    </w:rPr>
                    <w:t>睿</w:t>
                  </w:r>
                  <w:proofErr w:type="gramEnd"/>
                  <w:r>
                    <w:rPr>
                      <w:rFonts w:ascii="楷体" w:eastAsia="楷体" w:hAnsi="楷体" w:cs="宋体" w:hint="eastAsia"/>
                      <w:color w:val="000000"/>
                      <w:kern w:val="0"/>
                      <w:sz w:val="16"/>
                      <w:szCs w:val="18"/>
                    </w:rPr>
                    <w:t>逸</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纪文静,孔令超</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均衡</w:t>
                  </w:r>
                  <w:proofErr w:type="gramStart"/>
                  <w:r>
                    <w:rPr>
                      <w:rFonts w:ascii="楷体" w:eastAsia="楷体" w:hAnsi="楷体" w:cs="宋体" w:hint="eastAsia"/>
                      <w:color w:val="000000"/>
                      <w:kern w:val="0"/>
                      <w:sz w:val="16"/>
                      <w:szCs w:val="18"/>
                    </w:rPr>
                    <w:t>型固收</w:t>
                  </w:r>
                  <w:proofErr w:type="gramEnd"/>
                  <w:r>
                    <w:rPr>
                      <w:rFonts w:ascii="楷体" w:eastAsia="楷体" w:hAnsi="楷体" w:cs="宋体" w:hint="eastAsia"/>
                      <w:color w:val="000000"/>
                      <w:kern w:val="0"/>
                      <w:sz w:val="16"/>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9.29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7.76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6.64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8.56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7.17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7.88 </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国寿安保稳</w:t>
                  </w:r>
                  <w:proofErr w:type="gramEnd"/>
                  <w:r>
                    <w:rPr>
                      <w:rFonts w:ascii="楷体" w:eastAsia="楷体" w:hAnsi="楷体" w:cs="宋体" w:hint="eastAsia"/>
                      <w:color w:val="000000"/>
                      <w:kern w:val="0"/>
                      <w:sz w:val="16"/>
                      <w:szCs w:val="18"/>
                    </w:rPr>
                    <w:t>泰A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吴闻</w:t>
                  </w:r>
                  <w:proofErr w:type="gramEnd"/>
                  <w:r>
                    <w:rPr>
                      <w:rFonts w:ascii="楷体" w:eastAsia="楷体" w:hAnsi="楷体" w:cs="宋体" w:hint="eastAsia"/>
                      <w:color w:val="000000"/>
                      <w:kern w:val="0"/>
                      <w:sz w:val="16"/>
                      <w:szCs w:val="18"/>
                    </w:rPr>
                    <w:t>,吴</w:t>
                  </w:r>
                  <w:proofErr w:type="gramStart"/>
                  <w:r>
                    <w:rPr>
                      <w:rFonts w:ascii="楷体" w:eastAsia="楷体" w:hAnsi="楷体" w:cs="宋体" w:hint="eastAsia"/>
                      <w:color w:val="000000"/>
                      <w:kern w:val="0"/>
                      <w:sz w:val="16"/>
                      <w:szCs w:val="18"/>
                    </w:rPr>
                    <w:t>坚</w:t>
                  </w:r>
                  <w:proofErr w:type="gramEnd"/>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均衡</w:t>
                  </w:r>
                  <w:proofErr w:type="gramStart"/>
                  <w:r>
                    <w:rPr>
                      <w:rFonts w:ascii="楷体" w:eastAsia="楷体" w:hAnsi="楷体" w:cs="宋体" w:hint="eastAsia"/>
                      <w:color w:val="000000"/>
                      <w:kern w:val="0"/>
                      <w:sz w:val="16"/>
                      <w:szCs w:val="18"/>
                    </w:rPr>
                    <w:t>型固收</w:t>
                  </w:r>
                  <w:proofErr w:type="gramEnd"/>
                  <w:r>
                    <w:rPr>
                      <w:rFonts w:ascii="楷体" w:eastAsia="楷体" w:hAnsi="楷体" w:cs="宋体" w:hint="eastAsia"/>
                      <w:color w:val="000000"/>
                      <w:kern w:val="0"/>
                      <w:sz w:val="16"/>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9.13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7.73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6.34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8.61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7.23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7.81 </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万家瑞</w:t>
                  </w:r>
                  <w:proofErr w:type="gramStart"/>
                  <w:r>
                    <w:rPr>
                      <w:rFonts w:ascii="楷体" w:eastAsia="楷体" w:hAnsi="楷体" w:cs="宋体" w:hint="eastAsia"/>
                      <w:color w:val="000000"/>
                      <w:kern w:val="0"/>
                      <w:sz w:val="16"/>
                      <w:szCs w:val="18"/>
                    </w:rPr>
                    <w:t>祥</w:t>
                  </w:r>
                  <w:proofErr w:type="gramEnd"/>
                  <w:r>
                    <w:rPr>
                      <w:rFonts w:ascii="楷体" w:eastAsia="楷体" w:hAnsi="楷体" w:cs="宋体" w:hint="eastAsia"/>
                      <w:color w:val="000000"/>
                      <w:kern w:val="0"/>
                      <w:sz w:val="16"/>
                      <w:szCs w:val="18"/>
                    </w:rPr>
                    <w:t>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苏谋东</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偏债型固收</w:t>
                  </w:r>
                  <w:proofErr w:type="gramEnd"/>
                  <w:r>
                    <w:rPr>
                      <w:rFonts w:ascii="楷体" w:eastAsia="楷体" w:hAnsi="楷体" w:cs="宋体" w:hint="eastAsia"/>
                      <w:color w:val="000000"/>
                      <w:kern w:val="0"/>
                      <w:sz w:val="16"/>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9.44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5.41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8.34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5.39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8.65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7.45 </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信诚新悦回报A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吴昊,孙</w:t>
                  </w:r>
                  <w:proofErr w:type="gramStart"/>
                  <w:r>
                    <w:rPr>
                      <w:rFonts w:ascii="楷体" w:eastAsia="楷体" w:hAnsi="楷体" w:cs="宋体" w:hint="eastAsia"/>
                      <w:color w:val="000000"/>
                      <w:kern w:val="0"/>
                      <w:sz w:val="16"/>
                      <w:szCs w:val="18"/>
                    </w:rPr>
                    <w:t>浩</w:t>
                  </w:r>
                  <w:proofErr w:type="gramEnd"/>
                  <w:r>
                    <w:rPr>
                      <w:rFonts w:ascii="楷体" w:eastAsia="楷体" w:hAnsi="楷体" w:cs="宋体" w:hint="eastAsia"/>
                      <w:color w:val="000000"/>
                      <w:kern w:val="0"/>
                      <w:sz w:val="16"/>
                      <w:szCs w:val="18"/>
                    </w:rPr>
                    <w:t>中</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偏股型固收</w:t>
                  </w:r>
                  <w:proofErr w:type="gramEnd"/>
                  <w:r>
                    <w:rPr>
                      <w:rFonts w:ascii="楷体" w:eastAsia="楷体" w:hAnsi="楷体" w:cs="宋体" w:hint="eastAsia"/>
                      <w:color w:val="000000"/>
                      <w:kern w:val="0"/>
                      <w:sz w:val="16"/>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9.15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9.12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2.97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9.93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2.70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6.77 </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华商丰利增强定开A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厉骞</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偏股型固收</w:t>
                  </w:r>
                  <w:proofErr w:type="gramEnd"/>
                  <w:r>
                    <w:rPr>
                      <w:rFonts w:ascii="楷体" w:eastAsia="楷体" w:hAnsi="楷体" w:cs="宋体" w:hint="eastAsia"/>
                      <w:color w:val="000000"/>
                      <w:kern w:val="0"/>
                      <w:sz w:val="16"/>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6.80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7.59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3.61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9.51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5.36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6.57 </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易方达瑞通A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林森</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偏股型固收</w:t>
                  </w:r>
                  <w:proofErr w:type="gramEnd"/>
                  <w:r>
                    <w:rPr>
                      <w:rFonts w:ascii="楷体" w:eastAsia="楷体" w:hAnsi="楷体" w:cs="宋体" w:hint="eastAsia"/>
                      <w:color w:val="000000"/>
                      <w:kern w:val="0"/>
                      <w:sz w:val="16"/>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7.93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8.45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2.67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9.70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2.25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6.20 </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泰康颐年A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桂跃强</w:t>
                  </w:r>
                  <w:proofErr w:type="gramEnd"/>
                  <w:r>
                    <w:rPr>
                      <w:rFonts w:ascii="楷体" w:eastAsia="楷体" w:hAnsi="楷体" w:cs="宋体" w:hint="eastAsia"/>
                      <w:color w:val="000000"/>
                      <w:kern w:val="0"/>
                      <w:sz w:val="16"/>
                      <w:szCs w:val="18"/>
                    </w:rPr>
                    <w:t>,蒋利娟</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偏债型固收</w:t>
                  </w:r>
                  <w:proofErr w:type="gramEnd"/>
                  <w:r>
                    <w:rPr>
                      <w:rFonts w:ascii="楷体" w:eastAsia="楷体" w:hAnsi="楷体" w:cs="宋体" w:hint="eastAsia"/>
                      <w:color w:val="000000"/>
                      <w:kern w:val="0"/>
                      <w:sz w:val="16"/>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6.20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3.86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8.10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3.38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8.93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6.10 </w:t>
                  </w:r>
                </w:p>
              </w:tc>
            </w:tr>
          </w:tbl>
          <w:p w:rsidR="00E95E51" w:rsidRDefault="00E95E51">
            <w:pPr>
              <w:tabs>
                <w:tab w:val="left" w:pos="600"/>
              </w:tabs>
              <w:adjustRightInd w:val="0"/>
              <w:snapToGrid w:val="0"/>
              <w:spacing w:line="24" w:lineRule="atLeast"/>
              <w:rPr>
                <w:rFonts w:ascii="楷体" w:eastAsia="楷体" w:hAnsi="楷体"/>
                <w:color w:val="000000" w:themeColor="text1"/>
                <w:sz w:val="18"/>
                <w:szCs w:val="18"/>
              </w:rPr>
            </w:pPr>
          </w:p>
        </w:tc>
      </w:tr>
    </w:tbl>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研究；数据区间：</w:t>
      </w:r>
      <w:r>
        <w:rPr>
          <w:rFonts w:ascii="楷体" w:eastAsia="楷体" w:hAnsi="楷体"/>
          <w:color w:val="000000" w:themeColor="text1"/>
          <w:sz w:val="18"/>
          <w:szCs w:val="18"/>
        </w:rPr>
        <w:t>2019.03.31–2021.03.31</w:t>
      </w:r>
    </w:p>
    <w:p w:rsidR="00E95E51" w:rsidRDefault="00502CD5">
      <w:pPr>
        <w:pStyle w:val="afd"/>
        <w:ind w:firstLineChars="0" w:firstLine="0"/>
        <w:rPr>
          <w:rFonts w:ascii="楷体" w:eastAsia="楷体" w:hAnsi="楷体"/>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p w:rsidR="00E95E51" w:rsidRDefault="00E95E51">
      <w:pPr>
        <w:pStyle w:val="a"/>
        <w:numPr>
          <w:ilvl w:val="0"/>
          <w:numId w:val="0"/>
        </w:numPr>
        <w:adjustRightInd w:val="0"/>
        <w:snapToGrid w:val="0"/>
        <w:spacing w:before="0" w:after="0" w:line="24" w:lineRule="atLeast"/>
        <w:ind w:rightChars="0" w:right="0"/>
        <w:rPr>
          <w:rFonts w:ascii="楷体" w:eastAsia="楷体" w:hAnsi="楷体"/>
          <w:sz w:val="24"/>
          <w:szCs w:val="28"/>
        </w:rPr>
      </w:pPr>
    </w:p>
    <w:p w:rsidR="00E95E51" w:rsidRDefault="00502CD5">
      <w:pPr>
        <w:pStyle w:val="a"/>
        <w:numPr>
          <w:ilvl w:val="1"/>
          <w:numId w:val="7"/>
        </w:numPr>
        <w:adjustRightInd w:val="0"/>
        <w:snapToGrid w:val="0"/>
        <w:spacing w:before="0" w:after="0" w:line="24" w:lineRule="atLeast"/>
        <w:ind w:rightChars="0" w:right="0"/>
        <w:rPr>
          <w:rFonts w:ascii="楷体" w:eastAsia="楷体" w:hAnsi="楷体"/>
          <w:sz w:val="24"/>
          <w:szCs w:val="28"/>
        </w:rPr>
      </w:pPr>
      <w:r>
        <w:rPr>
          <w:rFonts w:ascii="楷体" w:eastAsia="楷体" w:hAnsi="楷体" w:hint="eastAsia"/>
          <w:sz w:val="24"/>
          <w:szCs w:val="28"/>
        </w:rPr>
        <w:t>持有体验</w:t>
      </w:r>
    </w:p>
    <w:p w:rsidR="00E95E51" w:rsidRDefault="00E95E51">
      <w:pPr>
        <w:pStyle w:val="afd"/>
        <w:ind w:firstLine="420"/>
        <w:rPr>
          <w:rFonts w:ascii="楷体" w:eastAsia="楷体" w:hAnsi="楷体"/>
        </w:rPr>
      </w:pPr>
    </w:p>
    <w:p w:rsidR="00E95E51" w:rsidRDefault="00502CD5">
      <w:pPr>
        <w:pStyle w:val="afd"/>
        <w:ind w:firstLine="420"/>
        <w:rPr>
          <w:rFonts w:ascii="楷体" w:eastAsia="楷体" w:hAnsi="楷体"/>
        </w:rPr>
      </w:pPr>
      <w:r>
        <w:rPr>
          <w:rFonts w:ascii="楷体" w:eastAsia="楷体" w:hAnsi="楷体" w:hint="eastAsia"/>
        </w:rPr>
        <w:t>从绝对收益的角度出发，我们</w:t>
      </w:r>
      <w:proofErr w:type="gramStart"/>
      <w:r>
        <w:rPr>
          <w:rFonts w:ascii="楷体" w:eastAsia="楷体" w:hAnsi="楷体" w:hint="eastAsia"/>
        </w:rPr>
        <w:t>认为固收</w:t>
      </w:r>
      <w:proofErr w:type="gramEnd"/>
      <w:r>
        <w:rPr>
          <w:rFonts w:ascii="楷体" w:eastAsia="楷体" w:hAnsi="楷体" w:hint="eastAsia"/>
        </w:rPr>
        <w:t>+基金持有6个月、1</w:t>
      </w:r>
      <w:r>
        <w:rPr>
          <w:rFonts w:ascii="楷体" w:eastAsia="楷体" w:hAnsi="楷体"/>
        </w:rPr>
        <w:t>2</w:t>
      </w:r>
      <w:r>
        <w:rPr>
          <w:rFonts w:ascii="楷体" w:eastAsia="楷体" w:hAnsi="楷体" w:hint="eastAsia"/>
        </w:rPr>
        <w:t>个月大概率获得正收益能够较好衡量持有的体验。因此，我们测算了基金近3年来，在任一时点持有6、1</w:t>
      </w:r>
      <w:r>
        <w:rPr>
          <w:rFonts w:ascii="楷体" w:eastAsia="楷体" w:hAnsi="楷体"/>
        </w:rPr>
        <w:t>2</w:t>
      </w:r>
      <w:r>
        <w:rPr>
          <w:rFonts w:ascii="楷体" w:eastAsia="楷体" w:hAnsi="楷体" w:hint="eastAsia"/>
        </w:rPr>
        <w:t>个月正收益的概率。我们建议，对于均衡型、</w:t>
      </w:r>
      <w:proofErr w:type="gramStart"/>
      <w:r>
        <w:rPr>
          <w:rFonts w:ascii="楷体" w:eastAsia="楷体" w:hAnsi="楷体" w:hint="eastAsia"/>
        </w:rPr>
        <w:t>偏债型固收</w:t>
      </w:r>
      <w:proofErr w:type="gramEnd"/>
      <w:r>
        <w:rPr>
          <w:rFonts w:ascii="楷体" w:eastAsia="楷体" w:hAnsi="楷体" w:hint="eastAsia"/>
        </w:rPr>
        <w:t>+基金，可优先选择近3年来，持有1</w:t>
      </w:r>
      <w:r>
        <w:rPr>
          <w:rFonts w:ascii="楷体" w:eastAsia="楷体" w:hAnsi="楷体"/>
        </w:rPr>
        <w:t>2</w:t>
      </w:r>
      <w:r>
        <w:rPr>
          <w:rFonts w:ascii="楷体" w:eastAsia="楷体" w:hAnsi="楷体" w:hint="eastAsia"/>
        </w:rPr>
        <w:t>个月正收益概率1</w:t>
      </w:r>
      <w:r>
        <w:rPr>
          <w:rFonts w:ascii="楷体" w:eastAsia="楷体" w:hAnsi="楷体"/>
        </w:rPr>
        <w:t>00</w:t>
      </w:r>
      <w:r>
        <w:rPr>
          <w:rFonts w:ascii="楷体" w:eastAsia="楷体" w:hAnsi="楷体" w:hint="eastAsia"/>
        </w:rPr>
        <w:t>%，持有6个月正收益概率大于9</w:t>
      </w:r>
      <w:r>
        <w:rPr>
          <w:rFonts w:ascii="楷体" w:eastAsia="楷体" w:hAnsi="楷体"/>
        </w:rPr>
        <w:t>0</w:t>
      </w:r>
      <w:r>
        <w:rPr>
          <w:rFonts w:ascii="楷体" w:eastAsia="楷体" w:hAnsi="楷体" w:hint="eastAsia"/>
        </w:rPr>
        <w:t>%的基金。</w:t>
      </w:r>
    </w:p>
    <w:tbl>
      <w:tblPr>
        <w:tblW w:w="10019" w:type="dxa"/>
        <w:jc w:val="center"/>
        <w:tblCellMar>
          <w:left w:w="0" w:type="dxa"/>
          <w:right w:w="0" w:type="dxa"/>
        </w:tblCellMar>
        <w:tblLook w:val="04A0" w:firstRow="1" w:lastRow="0" w:firstColumn="1" w:lastColumn="0" w:noHBand="0" w:noVBand="1"/>
      </w:tblPr>
      <w:tblGrid>
        <w:gridCol w:w="10019"/>
      </w:tblGrid>
      <w:tr w:rsidR="00E95E51">
        <w:trPr>
          <w:trHeight w:val="304"/>
          <w:jc w:val="center"/>
        </w:trPr>
        <w:tc>
          <w:tcPr>
            <w:tcW w:w="10019"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图表1</w:t>
            </w:r>
            <w:r>
              <w:rPr>
                <w:rFonts w:ascii="楷体" w:eastAsia="楷体" w:hAnsi="楷体"/>
                <w:b/>
                <w:bCs/>
                <w:color w:val="000000" w:themeColor="text1"/>
              </w:rPr>
              <w:t>4</w:t>
            </w:r>
            <w:r>
              <w:rPr>
                <w:rFonts w:ascii="楷体" w:eastAsia="楷体" w:hAnsi="楷体" w:hint="eastAsia"/>
                <w:b/>
                <w:bCs/>
                <w:color w:val="000000" w:themeColor="text1"/>
              </w:rPr>
              <w:t>：</w:t>
            </w:r>
            <w:proofErr w:type="gramStart"/>
            <w:r>
              <w:rPr>
                <w:rFonts w:ascii="楷体" w:eastAsia="楷体" w:hAnsi="楷体" w:hint="eastAsia"/>
                <w:b/>
                <w:bCs/>
                <w:color w:val="000000" w:themeColor="text1"/>
              </w:rPr>
              <w:t>固收</w:t>
            </w:r>
            <w:proofErr w:type="gramEnd"/>
            <w:r>
              <w:rPr>
                <w:rFonts w:ascii="楷体" w:eastAsia="楷体" w:hAnsi="楷体" w:hint="eastAsia"/>
                <w:b/>
                <w:bCs/>
                <w:color w:val="000000" w:themeColor="text1"/>
              </w:rPr>
              <w:t>+基金持有体验示例</w:t>
            </w:r>
          </w:p>
        </w:tc>
      </w:tr>
      <w:tr w:rsidR="00E95E51">
        <w:tblPrEx>
          <w:tblCellMar>
            <w:left w:w="108" w:type="dxa"/>
            <w:right w:w="108" w:type="dxa"/>
          </w:tblCellMar>
        </w:tblPrEx>
        <w:trPr>
          <w:trHeight w:val="30"/>
          <w:jc w:val="center"/>
        </w:trPr>
        <w:tc>
          <w:tcPr>
            <w:tcW w:w="10019" w:type="dxa"/>
            <w:tcBorders>
              <w:top w:val="single" w:sz="12" w:space="0" w:color="767171" w:themeColor="background2" w:themeShade="80"/>
              <w:bottom w:val="single" w:sz="12" w:space="0" w:color="767171" w:themeColor="background2" w:themeShade="80"/>
            </w:tcBorders>
            <w:vAlign w:val="center"/>
          </w:tcPr>
          <w:tbl>
            <w:tblPr>
              <w:tblW w:w="0" w:type="auto"/>
              <w:tblLook w:val="04A0" w:firstRow="1" w:lastRow="0" w:firstColumn="1" w:lastColumn="0" w:noHBand="0" w:noVBand="1"/>
            </w:tblPr>
            <w:tblGrid>
              <w:gridCol w:w="1026"/>
              <w:gridCol w:w="1611"/>
              <w:gridCol w:w="1206"/>
              <w:gridCol w:w="1206"/>
              <w:gridCol w:w="939"/>
              <w:gridCol w:w="1843"/>
              <w:gridCol w:w="1662"/>
            </w:tblGrid>
            <w:tr w:rsidR="00E95E51">
              <w:trPr>
                <w:trHeight w:val="290"/>
              </w:trPr>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证券代码</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基金简称</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基金经理</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w:t>
                  </w:r>
                  <w:proofErr w:type="gramStart"/>
                  <w:r>
                    <w:rPr>
                      <w:rFonts w:ascii="楷体" w:eastAsia="楷体" w:hAnsi="楷体" w:cs="宋体" w:hint="eastAsia"/>
                      <w:b/>
                      <w:bCs/>
                      <w:color w:val="FFFFFF"/>
                      <w:kern w:val="0"/>
                      <w:sz w:val="18"/>
                      <w:szCs w:val="18"/>
                    </w:rPr>
                    <w:t>煜</w:t>
                  </w:r>
                  <w:proofErr w:type="gramEnd"/>
                  <w:r>
                    <w:rPr>
                      <w:rFonts w:ascii="楷体" w:eastAsia="楷体" w:hAnsi="楷体" w:cs="宋体" w:hint="eastAsia"/>
                      <w:b/>
                      <w:bCs/>
                      <w:color w:val="FFFFFF"/>
                      <w:kern w:val="0"/>
                      <w:sz w:val="18"/>
                      <w:szCs w:val="18"/>
                    </w:rPr>
                    <w:t>分类</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基金规模</w:t>
                  </w:r>
                </w:p>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（亿元）</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任意时点持有6个月</w:t>
                  </w:r>
                </w:p>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正收益比例</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任意时点持有1年</w:t>
                  </w:r>
                </w:p>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正收益</w:t>
                  </w:r>
                  <w:r>
                    <w:rPr>
                      <w:rFonts w:ascii="楷体" w:eastAsia="楷体" w:hAnsi="楷体" w:cs="宋体"/>
                      <w:b/>
                      <w:bCs/>
                      <w:color w:val="FFFFFF"/>
                      <w:kern w:val="0"/>
                      <w:sz w:val="18"/>
                      <w:szCs w:val="18"/>
                    </w:rPr>
                    <w:t>比例</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002351.OF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易方达裕祥回报</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张清华,林森</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341.29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485111.OF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工</w:t>
                  </w:r>
                  <w:proofErr w:type="gramStart"/>
                  <w:r>
                    <w:rPr>
                      <w:rFonts w:ascii="楷体" w:eastAsia="楷体" w:hAnsi="楷体" w:cs="宋体" w:hint="eastAsia"/>
                      <w:color w:val="000000"/>
                      <w:kern w:val="0"/>
                      <w:sz w:val="18"/>
                      <w:szCs w:val="18"/>
                    </w:rPr>
                    <w:t>银瑞信双</w:t>
                  </w:r>
                  <w:proofErr w:type="gramEnd"/>
                  <w:r>
                    <w:rPr>
                      <w:rFonts w:ascii="楷体" w:eastAsia="楷体" w:hAnsi="楷体" w:cs="宋体" w:hint="eastAsia"/>
                      <w:color w:val="000000"/>
                      <w:kern w:val="0"/>
                      <w:sz w:val="18"/>
                      <w:szCs w:val="18"/>
                    </w:rPr>
                    <w:t>利A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欧阳凯,</w:t>
                  </w:r>
                  <w:proofErr w:type="gramStart"/>
                  <w:r>
                    <w:rPr>
                      <w:rFonts w:ascii="楷体" w:eastAsia="楷体" w:hAnsi="楷体" w:cs="宋体" w:hint="eastAsia"/>
                      <w:color w:val="000000"/>
                      <w:kern w:val="0"/>
                      <w:sz w:val="18"/>
                      <w:szCs w:val="18"/>
                    </w:rPr>
                    <w:t>魏欣</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239.34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110007.OF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易方达稳健收益A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胡剑</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209.91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99.84%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470018.OF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汇添富双</w:t>
                  </w:r>
                  <w:proofErr w:type="gramEnd"/>
                  <w:r>
                    <w:rPr>
                      <w:rFonts w:ascii="楷体" w:eastAsia="楷体" w:hAnsi="楷体" w:cs="宋体" w:hint="eastAsia"/>
                      <w:color w:val="000000"/>
                      <w:kern w:val="0"/>
                      <w:sz w:val="18"/>
                      <w:szCs w:val="18"/>
                    </w:rPr>
                    <w:t>利A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吴江宏</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204.20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92.94%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202101.OF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南方宝元债券A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林乐峰</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190.57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92.28%</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000045.OF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工</w:t>
                  </w:r>
                  <w:proofErr w:type="gramStart"/>
                  <w:r>
                    <w:rPr>
                      <w:rFonts w:ascii="楷体" w:eastAsia="楷体" w:hAnsi="楷体" w:cs="宋体" w:hint="eastAsia"/>
                      <w:color w:val="000000"/>
                      <w:kern w:val="0"/>
                      <w:sz w:val="18"/>
                      <w:szCs w:val="18"/>
                    </w:rPr>
                    <w:t>银瑞信产业债</w:t>
                  </w:r>
                  <w:proofErr w:type="gramEnd"/>
                  <w:r>
                    <w:rPr>
                      <w:rFonts w:ascii="楷体" w:eastAsia="楷体" w:hAnsi="楷体" w:cs="宋体" w:hint="eastAsia"/>
                      <w:color w:val="000000"/>
                      <w:kern w:val="0"/>
                      <w:sz w:val="18"/>
                      <w:szCs w:val="18"/>
                    </w:rPr>
                    <w:t>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何秀红</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168.30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002961.OF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中欧双</w:t>
                  </w:r>
                  <w:proofErr w:type="gramEnd"/>
                  <w:r>
                    <w:rPr>
                      <w:rFonts w:ascii="楷体" w:eastAsia="楷体" w:hAnsi="楷体" w:cs="宋体" w:hint="eastAsia"/>
                      <w:color w:val="000000"/>
                      <w:kern w:val="0"/>
                      <w:sz w:val="18"/>
                      <w:szCs w:val="18"/>
                    </w:rPr>
                    <w:t>利A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黄华,蒋雯文</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124.03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000215.OF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广</w:t>
                  </w:r>
                  <w:proofErr w:type="gramStart"/>
                  <w:r>
                    <w:rPr>
                      <w:rFonts w:ascii="楷体" w:eastAsia="楷体" w:hAnsi="楷体" w:cs="宋体" w:hint="eastAsia"/>
                      <w:color w:val="000000"/>
                      <w:kern w:val="0"/>
                      <w:sz w:val="18"/>
                      <w:szCs w:val="18"/>
                    </w:rPr>
                    <w:t>发趋势</w:t>
                  </w:r>
                  <w:proofErr w:type="gramEnd"/>
                  <w:r>
                    <w:rPr>
                      <w:rFonts w:ascii="楷体" w:eastAsia="楷体" w:hAnsi="楷体" w:cs="宋体" w:hint="eastAsia"/>
                      <w:color w:val="000000"/>
                      <w:kern w:val="0"/>
                      <w:sz w:val="18"/>
                      <w:szCs w:val="18"/>
                    </w:rPr>
                    <w:t>优选A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谭昌杰</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120.41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98.52%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002738.OF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泓德裕</w:t>
                  </w:r>
                  <w:proofErr w:type="gramEnd"/>
                  <w:r>
                    <w:rPr>
                      <w:rFonts w:ascii="楷体" w:eastAsia="楷体" w:hAnsi="楷体" w:cs="宋体" w:hint="eastAsia"/>
                      <w:color w:val="000000"/>
                      <w:kern w:val="0"/>
                      <w:sz w:val="18"/>
                      <w:szCs w:val="18"/>
                    </w:rPr>
                    <w:t>康A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毛静平</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94.52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000338.OF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鹏</w:t>
                  </w:r>
                  <w:proofErr w:type="gramStart"/>
                  <w:r>
                    <w:rPr>
                      <w:rFonts w:ascii="楷体" w:eastAsia="楷体" w:hAnsi="楷体" w:cs="宋体" w:hint="eastAsia"/>
                      <w:color w:val="000000"/>
                      <w:kern w:val="0"/>
                      <w:sz w:val="18"/>
                      <w:szCs w:val="18"/>
                    </w:rPr>
                    <w:t>华双债保利</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王石千</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83.88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97.54%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070020.OF</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嘉实稳固收益C</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胡永青</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均衡</w:t>
                  </w:r>
                  <w:proofErr w:type="gramStart"/>
                  <w:r>
                    <w:rPr>
                      <w:rFonts w:ascii="楷体" w:eastAsia="楷体" w:hAnsi="楷体" w:cs="宋体" w:hint="eastAsia"/>
                      <w:color w:val="000000"/>
                      <w:kern w:val="0"/>
                      <w:sz w:val="18"/>
                      <w:szCs w:val="18"/>
                    </w:rPr>
                    <w:t>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62.17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98.03%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r w:rsidR="00E95E51">
              <w:trPr>
                <w:trHeight w:val="28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004585.OF</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鹏扬汇</w:t>
                  </w:r>
                  <w:proofErr w:type="gramEnd"/>
                  <w:r>
                    <w:rPr>
                      <w:rFonts w:ascii="楷体" w:eastAsia="楷体" w:hAnsi="楷体" w:cs="宋体" w:hint="eastAsia"/>
                      <w:color w:val="000000"/>
                      <w:kern w:val="0"/>
                      <w:sz w:val="18"/>
                      <w:szCs w:val="18"/>
                    </w:rPr>
                    <w:t>利A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杨爱斌,</w:t>
                  </w:r>
                  <w:proofErr w:type="gramStart"/>
                  <w:r>
                    <w:rPr>
                      <w:rFonts w:ascii="楷体" w:eastAsia="楷体" w:hAnsi="楷体" w:cs="宋体" w:hint="eastAsia"/>
                      <w:color w:val="000000"/>
                      <w:kern w:val="0"/>
                      <w:sz w:val="18"/>
                      <w:szCs w:val="18"/>
                    </w:rPr>
                    <w:t>焦翠</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偏债型固收</w:t>
                  </w:r>
                  <w:proofErr w:type="gramEnd"/>
                  <w:r>
                    <w:rPr>
                      <w:rFonts w:ascii="楷体" w:eastAsia="楷体" w:hAnsi="楷体" w:cs="宋体" w:hint="eastAsia"/>
                      <w:color w:val="000000"/>
                      <w:kern w:val="0"/>
                      <w:sz w:val="18"/>
                      <w:szCs w:val="18"/>
                    </w:rPr>
                    <w:t>+</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61.45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100.00%</w:t>
                  </w:r>
                </w:p>
              </w:tc>
            </w:tr>
          </w:tbl>
          <w:p w:rsidR="00E95E51" w:rsidRDefault="00E95E51">
            <w:pPr>
              <w:rPr>
                <w:rFonts w:ascii="楷体" w:eastAsia="楷体" w:hAnsi="楷体"/>
                <w:sz w:val="18"/>
                <w:szCs w:val="18"/>
              </w:rPr>
            </w:pPr>
          </w:p>
        </w:tc>
      </w:tr>
    </w:tbl>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lastRenderedPageBreak/>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研究；数据区间：</w:t>
      </w:r>
      <w:r>
        <w:rPr>
          <w:rFonts w:ascii="楷体" w:eastAsia="楷体" w:hAnsi="楷体"/>
          <w:color w:val="000000" w:themeColor="text1"/>
          <w:sz w:val="18"/>
          <w:szCs w:val="18"/>
        </w:rPr>
        <w:t>2019.06.01–2021.06.01</w:t>
      </w:r>
    </w:p>
    <w:p w:rsidR="00E95E51" w:rsidRDefault="00502CD5">
      <w:pPr>
        <w:pStyle w:val="afd"/>
        <w:ind w:firstLineChars="0" w:firstLine="0"/>
        <w:rPr>
          <w:rFonts w:ascii="楷体" w:eastAsia="楷体" w:hAnsi="楷体"/>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p w:rsidR="00E95E51" w:rsidRDefault="00E95E51">
      <w:pPr>
        <w:widowControl/>
        <w:jc w:val="left"/>
        <w:rPr>
          <w:rFonts w:ascii="楷体" w:eastAsia="楷体" w:hAnsi="楷体"/>
        </w:rPr>
      </w:pPr>
    </w:p>
    <w:p w:rsidR="00E95E51" w:rsidRDefault="00502CD5">
      <w:pPr>
        <w:pStyle w:val="a"/>
        <w:numPr>
          <w:ilvl w:val="1"/>
          <w:numId w:val="7"/>
        </w:numPr>
        <w:adjustRightInd w:val="0"/>
        <w:snapToGrid w:val="0"/>
        <w:spacing w:before="0" w:after="0" w:line="24" w:lineRule="atLeast"/>
        <w:ind w:rightChars="0" w:right="0"/>
        <w:rPr>
          <w:rFonts w:ascii="楷体" w:eastAsia="楷体" w:hAnsi="楷体"/>
          <w:sz w:val="24"/>
          <w:szCs w:val="28"/>
        </w:rPr>
      </w:pPr>
      <w:r>
        <w:rPr>
          <w:rFonts w:ascii="楷体" w:eastAsia="楷体" w:hAnsi="楷体" w:hint="eastAsia"/>
          <w:sz w:val="24"/>
          <w:szCs w:val="28"/>
        </w:rPr>
        <w:t>不同</w:t>
      </w:r>
      <w:proofErr w:type="gramStart"/>
      <w:r>
        <w:rPr>
          <w:rFonts w:ascii="楷体" w:eastAsia="楷体" w:hAnsi="楷体" w:hint="eastAsia"/>
          <w:sz w:val="24"/>
          <w:szCs w:val="28"/>
        </w:rPr>
        <w:t>类型固收</w:t>
      </w:r>
      <w:proofErr w:type="gramEnd"/>
      <w:r>
        <w:rPr>
          <w:rFonts w:ascii="楷体" w:eastAsia="楷体" w:hAnsi="楷体" w:hint="eastAsia"/>
          <w:sz w:val="24"/>
          <w:szCs w:val="28"/>
        </w:rPr>
        <w:t>+基金优选</w:t>
      </w:r>
    </w:p>
    <w:p w:rsidR="00E95E51" w:rsidRDefault="00502CD5">
      <w:pPr>
        <w:pStyle w:val="a"/>
        <w:numPr>
          <w:ilvl w:val="0"/>
          <w:numId w:val="0"/>
        </w:numPr>
        <w:adjustRightInd w:val="0"/>
        <w:snapToGrid w:val="0"/>
        <w:spacing w:before="0" w:after="0" w:line="24" w:lineRule="atLeast"/>
        <w:ind w:rightChars="0" w:right="0" w:firstLineChars="202" w:firstLine="424"/>
        <w:rPr>
          <w:rFonts w:ascii="楷体" w:eastAsia="楷体" w:hAnsi="楷体"/>
          <w:b w:val="0"/>
        </w:rPr>
      </w:pPr>
      <w:r>
        <w:rPr>
          <w:rFonts w:ascii="楷体" w:eastAsia="楷体" w:hAnsi="楷体" w:hint="eastAsia"/>
          <w:b w:val="0"/>
        </w:rPr>
        <w:t>我们认为，</w:t>
      </w:r>
      <w:proofErr w:type="gramStart"/>
      <w:r>
        <w:rPr>
          <w:rFonts w:ascii="楷体" w:eastAsia="楷体" w:hAnsi="楷体" w:hint="eastAsia"/>
          <w:b w:val="0"/>
        </w:rPr>
        <w:t>对于固收</w:t>
      </w:r>
      <w:proofErr w:type="gramEnd"/>
      <w:r>
        <w:rPr>
          <w:rFonts w:ascii="楷体" w:eastAsia="楷体" w:hAnsi="楷体" w:hint="eastAsia"/>
          <w:b w:val="0"/>
        </w:rPr>
        <w:t>+基金，首先需要筛选规模大于</w:t>
      </w:r>
      <w:r>
        <w:rPr>
          <w:rFonts w:ascii="楷体" w:eastAsia="楷体" w:hAnsi="楷体"/>
          <w:b w:val="0"/>
        </w:rPr>
        <w:t>10</w:t>
      </w:r>
      <w:r>
        <w:rPr>
          <w:rFonts w:ascii="楷体" w:eastAsia="楷体" w:hAnsi="楷体" w:hint="eastAsia"/>
          <w:b w:val="0"/>
        </w:rPr>
        <w:t>亿、现任基金经理管理时间大于2年、多维绩效评分高于5分的非定期开放式基金。随后，对于不同类型</w:t>
      </w:r>
      <w:proofErr w:type="gramStart"/>
      <w:r>
        <w:rPr>
          <w:rFonts w:ascii="楷体" w:eastAsia="楷体" w:hAnsi="楷体" w:hint="eastAsia"/>
          <w:b w:val="0"/>
        </w:rPr>
        <w:t>的固收</w:t>
      </w:r>
      <w:proofErr w:type="gramEnd"/>
      <w:r>
        <w:rPr>
          <w:rFonts w:ascii="楷体" w:eastAsia="楷体" w:hAnsi="楷体" w:hint="eastAsia"/>
          <w:b w:val="0"/>
        </w:rPr>
        <w:t>+基金可采用不同的筛选维度：</w:t>
      </w:r>
    </w:p>
    <w:p w:rsidR="00E95E51" w:rsidRDefault="00E95E51">
      <w:pPr>
        <w:pStyle w:val="a"/>
        <w:numPr>
          <w:ilvl w:val="0"/>
          <w:numId w:val="0"/>
        </w:numPr>
        <w:adjustRightInd w:val="0"/>
        <w:snapToGrid w:val="0"/>
        <w:spacing w:before="0" w:after="0" w:line="24" w:lineRule="atLeast"/>
        <w:ind w:rightChars="0" w:right="0" w:firstLineChars="202" w:firstLine="424"/>
        <w:rPr>
          <w:rFonts w:ascii="楷体" w:eastAsia="楷体" w:hAnsi="楷体"/>
          <w:b w:val="0"/>
        </w:rPr>
      </w:pPr>
    </w:p>
    <w:p w:rsidR="00E95E51" w:rsidRDefault="00502CD5">
      <w:pPr>
        <w:pStyle w:val="a"/>
        <w:numPr>
          <w:ilvl w:val="0"/>
          <w:numId w:val="0"/>
        </w:numPr>
        <w:adjustRightInd w:val="0"/>
        <w:snapToGrid w:val="0"/>
        <w:spacing w:before="0" w:after="0" w:line="24" w:lineRule="atLeast"/>
        <w:ind w:rightChars="0" w:right="0" w:firstLineChars="202" w:firstLine="426"/>
        <w:rPr>
          <w:rFonts w:ascii="楷体" w:eastAsia="楷体" w:hAnsi="楷体"/>
          <w:b w:val="0"/>
        </w:rPr>
      </w:pPr>
      <w:proofErr w:type="gramStart"/>
      <w:r>
        <w:rPr>
          <w:rFonts w:ascii="楷体" w:eastAsia="楷体" w:hAnsi="楷体" w:hint="eastAsia"/>
        </w:rPr>
        <w:t>偏债型固收</w:t>
      </w:r>
      <w:proofErr w:type="gramEnd"/>
      <w:r>
        <w:rPr>
          <w:rFonts w:ascii="楷体" w:eastAsia="楷体" w:hAnsi="楷体" w:hint="eastAsia"/>
        </w:rPr>
        <w:t>+：</w:t>
      </w:r>
      <w:r>
        <w:rPr>
          <w:rFonts w:ascii="楷体" w:eastAsia="楷体" w:hAnsi="楷体" w:hint="eastAsia"/>
          <w:b w:val="0"/>
        </w:rPr>
        <w:t>偏绝对收益，收益风险较好：筛选多维绩效评分中风险收益评分、回撤评分、回撤控制均大于6分，近3年任意时点持有</w:t>
      </w:r>
      <w:r>
        <w:rPr>
          <w:rFonts w:ascii="楷体" w:eastAsia="楷体" w:hAnsi="楷体"/>
          <w:b w:val="0"/>
        </w:rPr>
        <w:t>12</w:t>
      </w:r>
      <w:r>
        <w:rPr>
          <w:rFonts w:ascii="楷体" w:eastAsia="楷体" w:hAnsi="楷体" w:hint="eastAsia"/>
          <w:b w:val="0"/>
        </w:rPr>
        <w:t>个月正收益概率100%，持有6个月正收益概率大于90%的基金。</w:t>
      </w:r>
    </w:p>
    <w:p w:rsidR="00E95E51" w:rsidRDefault="00E95E51">
      <w:pPr>
        <w:pStyle w:val="a"/>
        <w:numPr>
          <w:ilvl w:val="0"/>
          <w:numId w:val="0"/>
        </w:numPr>
        <w:adjustRightInd w:val="0"/>
        <w:snapToGrid w:val="0"/>
        <w:spacing w:before="0" w:after="0" w:line="24" w:lineRule="atLeast"/>
        <w:ind w:rightChars="0" w:right="0" w:firstLineChars="202" w:firstLine="424"/>
        <w:rPr>
          <w:rFonts w:ascii="楷体" w:eastAsia="楷体" w:hAnsi="楷体"/>
          <w:b w:val="0"/>
        </w:rPr>
      </w:pPr>
    </w:p>
    <w:tbl>
      <w:tblPr>
        <w:tblW w:w="10019" w:type="dxa"/>
        <w:jc w:val="center"/>
        <w:tblCellMar>
          <w:left w:w="0" w:type="dxa"/>
          <w:right w:w="0" w:type="dxa"/>
        </w:tblCellMar>
        <w:tblLook w:val="04A0" w:firstRow="1" w:lastRow="0" w:firstColumn="1" w:lastColumn="0" w:noHBand="0" w:noVBand="1"/>
      </w:tblPr>
      <w:tblGrid>
        <w:gridCol w:w="10256"/>
      </w:tblGrid>
      <w:tr w:rsidR="00E95E51">
        <w:trPr>
          <w:trHeight w:val="304"/>
          <w:jc w:val="center"/>
        </w:trPr>
        <w:tc>
          <w:tcPr>
            <w:tcW w:w="10019"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图表15：</w:t>
            </w:r>
            <w:proofErr w:type="gramStart"/>
            <w:r>
              <w:rPr>
                <w:rFonts w:ascii="楷体" w:eastAsia="楷体" w:hAnsi="楷体" w:hint="eastAsia"/>
                <w:b/>
                <w:bCs/>
                <w:color w:val="000000" w:themeColor="text1"/>
              </w:rPr>
              <w:t>偏债型固收</w:t>
            </w:r>
            <w:proofErr w:type="gramEnd"/>
            <w:r>
              <w:rPr>
                <w:rFonts w:ascii="楷体" w:eastAsia="楷体" w:hAnsi="楷体" w:hint="eastAsia"/>
                <w:b/>
                <w:bCs/>
                <w:color w:val="000000" w:themeColor="text1"/>
              </w:rPr>
              <w:t>+优选</w:t>
            </w:r>
          </w:p>
        </w:tc>
      </w:tr>
      <w:tr w:rsidR="00E95E51">
        <w:tblPrEx>
          <w:tblCellMar>
            <w:left w:w="108" w:type="dxa"/>
            <w:right w:w="108" w:type="dxa"/>
          </w:tblCellMar>
        </w:tblPrEx>
        <w:trPr>
          <w:trHeight w:val="1263"/>
          <w:jc w:val="center"/>
        </w:trPr>
        <w:tc>
          <w:tcPr>
            <w:tcW w:w="10019" w:type="dxa"/>
            <w:tcBorders>
              <w:top w:val="single" w:sz="12" w:space="0" w:color="767171" w:themeColor="background2" w:themeShade="80"/>
              <w:bottom w:val="single" w:sz="12" w:space="0" w:color="767171" w:themeColor="background2" w:themeShade="80"/>
            </w:tcBorders>
            <w:vAlign w:val="center"/>
          </w:tcPr>
          <w:tbl>
            <w:tblPr>
              <w:tblW w:w="10030" w:type="dxa"/>
              <w:tblLook w:val="04A0" w:firstRow="1" w:lastRow="0" w:firstColumn="1" w:lastColumn="0" w:noHBand="0" w:noVBand="1"/>
            </w:tblPr>
            <w:tblGrid>
              <w:gridCol w:w="1450"/>
              <w:gridCol w:w="1275"/>
              <w:gridCol w:w="851"/>
              <w:gridCol w:w="1134"/>
              <w:gridCol w:w="850"/>
              <w:gridCol w:w="567"/>
              <w:gridCol w:w="993"/>
              <w:gridCol w:w="992"/>
              <w:gridCol w:w="1049"/>
              <w:gridCol w:w="869"/>
            </w:tblGrid>
            <w:tr w:rsidR="00E95E51">
              <w:trPr>
                <w:trHeight w:val="284"/>
              </w:trPr>
              <w:tc>
                <w:tcPr>
                  <w:tcW w:w="1450"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5"/>
                      <w:szCs w:val="18"/>
                    </w:rPr>
                  </w:pPr>
                  <w:r>
                    <w:rPr>
                      <w:rFonts w:ascii="楷体" w:eastAsia="楷体" w:hAnsi="楷体" w:cs="宋体" w:hint="eastAsia"/>
                      <w:b/>
                      <w:bCs/>
                      <w:color w:val="FFFFFF"/>
                      <w:kern w:val="0"/>
                      <w:sz w:val="15"/>
                      <w:szCs w:val="18"/>
                    </w:rPr>
                    <w:t>基金简称</w:t>
                  </w:r>
                </w:p>
              </w:tc>
              <w:tc>
                <w:tcPr>
                  <w:tcW w:w="1275"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5"/>
                      <w:szCs w:val="18"/>
                    </w:rPr>
                  </w:pPr>
                  <w:r>
                    <w:rPr>
                      <w:rFonts w:ascii="楷体" w:eastAsia="楷体" w:hAnsi="楷体" w:cs="宋体" w:hint="eastAsia"/>
                      <w:b/>
                      <w:bCs/>
                      <w:color w:val="FFFFFF"/>
                      <w:kern w:val="0"/>
                      <w:sz w:val="15"/>
                      <w:szCs w:val="18"/>
                    </w:rPr>
                    <w:t>基金经理</w:t>
                  </w:r>
                </w:p>
              </w:tc>
              <w:tc>
                <w:tcPr>
                  <w:tcW w:w="851" w:type="dxa"/>
                  <w:tcBorders>
                    <w:top w:val="single" w:sz="8" w:space="0" w:color="A6A6A6"/>
                    <w:left w:val="nil"/>
                    <w:bottom w:val="single" w:sz="8" w:space="0" w:color="A6A6A6"/>
                    <w:right w:val="single" w:sz="8" w:space="0" w:color="A6A6A6"/>
                  </w:tcBorders>
                  <w:shd w:val="clear" w:color="000000" w:fill="BE9664"/>
                  <w:vAlign w:val="center"/>
                </w:tcPr>
                <w:p w:rsidR="00E95E51" w:rsidRDefault="00502CD5">
                  <w:pPr>
                    <w:widowControl/>
                    <w:jc w:val="center"/>
                    <w:rPr>
                      <w:rFonts w:ascii="楷体" w:eastAsia="楷体" w:hAnsi="楷体" w:cs="宋体"/>
                      <w:b/>
                      <w:bCs/>
                      <w:color w:val="FFFFFF"/>
                      <w:kern w:val="0"/>
                      <w:sz w:val="15"/>
                      <w:szCs w:val="18"/>
                    </w:rPr>
                  </w:pPr>
                  <w:r>
                    <w:rPr>
                      <w:rFonts w:ascii="楷体" w:eastAsia="楷体" w:hAnsi="楷体" w:cs="宋体" w:hint="eastAsia"/>
                      <w:b/>
                      <w:bCs/>
                      <w:color w:val="FFFFFF"/>
                      <w:kern w:val="0"/>
                      <w:sz w:val="15"/>
                      <w:szCs w:val="18"/>
                    </w:rPr>
                    <w:t>基金经理任职年限</w:t>
                  </w:r>
                </w:p>
              </w:tc>
              <w:tc>
                <w:tcPr>
                  <w:tcW w:w="1134"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5"/>
                      <w:szCs w:val="18"/>
                    </w:rPr>
                  </w:pPr>
                  <w:r>
                    <w:rPr>
                      <w:rFonts w:ascii="楷体" w:eastAsia="楷体" w:hAnsi="楷体" w:cs="宋体" w:hint="eastAsia"/>
                      <w:b/>
                      <w:bCs/>
                      <w:color w:val="FFFFFF"/>
                      <w:kern w:val="0"/>
                      <w:sz w:val="15"/>
                      <w:szCs w:val="18"/>
                    </w:rPr>
                    <w:t>基金规模</w:t>
                  </w:r>
                </w:p>
              </w:tc>
              <w:tc>
                <w:tcPr>
                  <w:tcW w:w="850" w:type="dxa"/>
                  <w:tcBorders>
                    <w:top w:val="single" w:sz="8" w:space="0" w:color="A6A6A6"/>
                    <w:left w:val="nil"/>
                    <w:bottom w:val="single" w:sz="8" w:space="0" w:color="A6A6A6"/>
                    <w:right w:val="single" w:sz="8" w:space="0" w:color="A6A6A6"/>
                  </w:tcBorders>
                  <w:shd w:val="clear" w:color="000000" w:fill="BE9664"/>
                  <w:vAlign w:val="center"/>
                </w:tcPr>
                <w:p w:rsidR="00E95E51" w:rsidRDefault="00502CD5">
                  <w:pPr>
                    <w:widowControl/>
                    <w:jc w:val="center"/>
                    <w:rPr>
                      <w:rFonts w:ascii="楷体" w:eastAsia="楷体" w:hAnsi="楷体" w:cs="宋体"/>
                      <w:b/>
                      <w:bCs/>
                      <w:color w:val="FFFFFF"/>
                      <w:kern w:val="0"/>
                      <w:sz w:val="15"/>
                      <w:szCs w:val="18"/>
                    </w:rPr>
                  </w:pPr>
                  <w:r>
                    <w:rPr>
                      <w:rFonts w:ascii="楷体" w:eastAsia="楷体" w:hAnsi="楷体" w:cs="宋体" w:hint="eastAsia"/>
                      <w:b/>
                      <w:bCs/>
                      <w:color w:val="FFFFFF"/>
                      <w:kern w:val="0"/>
                      <w:sz w:val="15"/>
                      <w:szCs w:val="18"/>
                    </w:rPr>
                    <w:t>收益风险评分</w:t>
                  </w:r>
                </w:p>
              </w:tc>
              <w:tc>
                <w:tcPr>
                  <w:tcW w:w="567"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5"/>
                      <w:szCs w:val="18"/>
                    </w:rPr>
                  </w:pPr>
                  <w:r>
                    <w:rPr>
                      <w:rFonts w:ascii="楷体" w:eastAsia="楷体" w:hAnsi="楷体" w:cs="宋体" w:hint="eastAsia"/>
                      <w:b/>
                      <w:bCs/>
                      <w:color w:val="FFFFFF"/>
                      <w:kern w:val="0"/>
                      <w:sz w:val="15"/>
                      <w:szCs w:val="18"/>
                    </w:rPr>
                    <w:t>回撤评分</w:t>
                  </w:r>
                </w:p>
              </w:tc>
              <w:tc>
                <w:tcPr>
                  <w:tcW w:w="993"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5"/>
                      <w:szCs w:val="18"/>
                    </w:rPr>
                  </w:pPr>
                  <w:r>
                    <w:rPr>
                      <w:rFonts w:ascii="楷体" w:eastAsia="楷体" w:hAnsi="楷体" w:cs="宋体" w:hint="eastAsia"/>
                      <w:b/>
                      <w:bCs/>
                      <w:color w:val="FFFFFF"/>
                      <w:kern w:val="0"/>
                      <w:sz w:val="15"/>
                      <w:szCs w:val="18"/>
                    </w:rPr>
                    <w:t>回撤稳定性</w:t>
                  </w:r>
                </w:p>
              </w:tc>
              <w:tc>
                <w:tcPr>
                  <w:tcW w:w="992"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5"/>
                      <w:szCs w:val="18"/>
                    </w:rPr>
                  </w:pPr>
                  <w:r>
                    <w:rPr>
                      <w:rFonts w:ascii="楷体" w:eastAsia="楷体" w:hAnsi="楷体" w:cs="宋体" w:hint="eastAsia"/>
                      <w:b/>
                      <w:bCs/>
                      <w:color w:val="FFFFFF"/>
                      <w:kern w:val="0"/>
                      <w:sz w:val="15"/>
                      <w:szCs w:val="18"/>
                    </w:rPr>
                    <w:t>综合评分</w:t>
                  </w:r>
                </w:p>
              </w:tc>
              <w:tc>
                <w:tcPr>
                  <w:tcW w:w="1049" w:type="dxa"/>
                  <w:tcBorders>
                    <w:top w:val="single" w:sz="8" w:space="0" w:color="A6A6A6"/>
                    <w:left w:val="nil"/>
                    <w:bottom w:val="single" w:sz="8" w:space="0" w:color="A6A6A6"/>
                    <w:right w:val="single" w:sz="8" w:space="0" w:color="A6A6A6"/>
                  </w:tcBorders>
                  <w:shd w:val="clear" w:color="000000" w:fill="BE9664"/>
                  <w:vAlign w:val="center"/>
                </w:tcPr>
                <w:p w:rsidR="00E95E51" w:rsidRDefault="00502CD5">
                  <w:pPr>
                    <w:widowControl/>
                    <w:jc w:val="center"/>
                    <w:rPr>
                      <w:rFonts w:ascii="楷体" w:eastAsia="楷体" w:hAnsi="楷体" w:cs="宋体"/>
                      <w:b/>
                      <w:bCs/>
                      <w:color w:val="FFFFFF"/>
                      <w:kern w:val="0"/>
                      <w:sz w:val="15"/>
                      <w:szCs w:val="18"/>
                    </w:rPr>
                  </w:pPr>
                  <w:r>
                    <w:rPr>
                      <w:rFonts w:ascii="楷体" w:eastAsia="楷体" w:hAnsi="楷体" w:cs="宋体" w:hint="eastAsia"/>
                      <w:b/>
                      <w:bCs/>
                      <w:color w:val="FFFFFF"/>
                      <w:kern w:val="0"/>
                      <w:sz w:val="15"/>
                      <w:szCs w:val="18"/>
                    </w:rPr>
                    <w:t>任意时点持有6个月</w:t>
                  </w:r>
                </w:p>
              </w:tc>
              <w:tc>
                <w:tcPr>
                  <w:tcW w:w="869" w:type="dxa"/>
                  <w:tcBorders>
                    <w:top w:val="single" w:sz="8" w:space="0" w:color="A6A6A6"/>
                    <w:left w:val="nil"/>
                    <w:bottom w:val="single" w:sz="8" w:space="0" w:color="A6A6A6"/>
                    <w:right w:val="single" w:sz="8" w:space="0" w:color="A6A6A6"/>
                  </w:tcBorders>
                  <w:shd w:val="clear" w:color="000000" w:fill="BE9664"/>
                  <w:vAlign w:val="center"/>
                </w:tcPr>
                <w:p w:rsidR="00E95E51" w:rsidRDefault="00502CD5">
                  <w:pPr>
                    <w:widowControl/>
                    <w:jc w:val="center"/>
                    <w:rPr>
                      <w:rFonts w:ascii="楷体" w:eastAsia="楷体" w:hAnsi="楷体" w:cs="宋体"/>
                      <w:b/>
                      <w:bCs/>
                      <w:color w:val="FFFFFF"/>
                      <w:kern w:val="0"/>
                      <w:sz w:val="15"/>
                      <w:szCs w:val="18"/>
                    </w:rPr>
                  </w:pPr>
                  <w:r>
                    <w:rPr>
                      <w:rFonts w:ascii="楷体" w:eastAsia="楷体" w:hAnsi="楷体" w:cs="宋体" w:hint="eastAsia"/>
                      <w:b/>
                      <w:bCs/>
                      <w:color w:val="FFFFFF"/>
                      <w:kern w:val="0"/>
                      <w:sz w:val="15"/>
                      <w:szCs w:val="18"/>
                    </w:rPr>
                    <w:t>任意时点持有1年</w:t>
                  </w:r>
                </w:p>
              </w:tc>
            </w:tr>
            <w:tr w:rsidR="00E95E51">
              <w:trPr>
                <w:trHeight w:val="162"/>
              </w:trPr>
              <w:tc>
                <w:tcPr>
                  <w:tcW w:w="1450"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proofErr w:type="gramStart"/>
                  <w:r>
                    <w:rPr>
                      <w:rFonts w:ascii="楷体" w:eastAsia="楷体" w:hAnsi="楷体" w:cs="宋体" w:hint="eastAsia"/>
                      <w:color w:val="000000"/>
                      <w:kern w:val="0"/>
                      <w:sz w:val="15"/>
                      <w:szCs w:val="18"/>
                    </w:rPr>
                    <w:t>中欧瑾通</w:t>
                  </w:r>
                  <w:proofErr w:type="gramEnd"/>
                  <w:r>
                    <w:rPr>
                      <w:rFonts w:ascii="楷体" w:eastAsia="楷体" w:hAnsi="楷体" w:cs="宋体" w:hint="eastAsia"/>
                      <w:color w:val="000000"/>
                      <w:kern w:val="0"/>
                      <w:sz w:val="15"/>
                      <w:szCs w:val="18"/>
                    </w:rPr>
                    <w:t>A</w:t>
                  </w:r>
                </w:p>
              </w:tc>
              <w:tc>
                <w:tcPr>
                  <w:tcW w:w="1275"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华李成</w:t>
                  </w:r>
                </w:p>
              </w:tc>
              <w:tc>
                <w:tcPr>
                  <w:tcW w:w="851"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3.20 </w:t>
                  </w:r>
                </w:p>
              </w:tc>
              <w:tc>
                <w:tcPr>
                  <w:tcW w:w="1134"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20.81 </w:t>
                  </w:r>
                </w:p>
              </w:tc>
              <w:tc>
                <w:tcPr>
                  <w:tcW w:w="850"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9.48 </w:t>
                  </w:r>
                </w:p>
              </w:tc>
              <w:tc>
                <w:tcPr>
                  <w:tcW w:w="567"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8.40 </w:t>
                  </w:r>
                </w:p>
              </w:tc>
              <w:tc>
                <w:tcPr>
                  <w:tcW w:w="99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9.08 </w:t>
                  </w:r>
                </w:p>
              </w:tc>
              <w:tc>
                <w:tcPr>
                  <w:tcW w:w="992"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7.60 </w:t>
                  </w:r>
                </w:p>
              </w:tc>
              <w:tc>
                <w:tcPr>
                  <w:tcW w:w="104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100.00%</w:t>
                  </w:r>
                </w:p>
              </w:tc>
            </w:tr>
            <w:tr w:rsidR="00E95E51">
              <w:trPr>
                <w:trHeight w:val="162"/>
              </w:trPr>
              <w:tc>
                <w:tcPr>
                  <w:tcW w:w="1450"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万家瑞</w:t>
                  </w:r>
                  <w:proofErr w:type="gramStart"/>
                  <w:r>
                    <w:rPr>
                      <w:rFonts w:ascii="楷体" w:eastAsia="楷体" w:hAnsi="楷体" w:cs="宋体" w:hint="eastAsia"/>
                      <w:color w:val="000000"/>
                      <w:kern w:val="0"/>
                      <w:sz w:val="15"/>
                      <w:szCs w:val="18"/>
                    </w:rPr>
                    <w:t>祥</w:t>
                  </w:r>
                  <w:proofErr w:type="gramEnd"/>
                  <w:r>
                    <w:rPr>
                      <w:rFonts w:ascii="楷体" w:eastAsia="楷体" w:hAnsi="楷体" w:cs="宋体" w:hint="eastAsia"/>
                      <w:color w:val="000000"/>
                      <w:kern w:val="0"/>
                      <w:sz w:val="15"/>
                      <w:szCs w:val="18"/>
                    </w:rPr>
                    <w:t>A</w:t>
                  </w:r>
                </w:p>
              </w:tc>
              <w:tc>
                <w:tcPr>
                  <w:tcW w:w="1275"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proofErr w:type="gramStart"/>
                  <w:r>
                    <w:rPr>
                      <w:rFonts w:ascii="楷体" w:eastAsia="楷体" w:hAnsi="楷体" w:cs="宋体" w:hint="eastAsia"/>
                      <w:color w:val="000000"/>
                      <w:kern w:val="0"/>
                      <w:sz w:val="15"/>
                      <w:szCs w:val="18"/>
                    </w:rPr>
                    <w:t>苏谋东</w:t>
                  </w:r>
                  <w:proofErr w:type="gramEnd"/>
                </w:p>
              </w:tc>
              <w:tc>
                <w:tcPr>
                  <w:tcW w:w="851"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2.82 </w:t>
                  </w:r>
                </w:p>
              </w:tc>
              <w:tc>
                <w:tcPr>
                  <w:tcW w:w="1134"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18.45 </w:t>
                  </w:r>
                </w:p>
              </w:tc>
              <w:tc>
                <w:tcPr>
                  <w:tcW w:w="850"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9.44 </w:t>
                  </w:r>
                </w:p>
              </w:tc>
              <w:tc>
                <w:tcPr>
                  <w:tcW w:w="567"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8.34 </w:t>
                  </w:r>
                </w:p>
              </w:tc>
              <w:tc>
                <w:tcPr>
                  <w:tcW w:w="99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8.65 </w:t>
                  </w:r>
                </w:p>
              </w:tc>
              <w:tc>
                <w:tcPr>
                  <w:tcW w:w="992"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7.45 </w:t>
                  </w:r>
                </w:p>
              </w:tc>
              <w:tc>
                <w:tcPr>
                  <w:tcW w:w="104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100.00%</w:t>
                  </w:r>
                </w:p>
              </w:tc>
            </w:tr>
            <w:tr w:rsidR="00E95E51">
              <w:trPr>
                <w:trHeight w:val="162"/>
              </w:trPr>
              <w:tc>
                <w:tcPr>
                  <w:tcW w:w="1450"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proofErr w:type="gramStart"/>
                  <w:r>
                    <w:rPr>
                      <w:rFonts w:ascii="楷体" w:eastAsia="楷体" w:hAnsi="楷体" w:cs="宋体" w:hint="eastAsia"/>
                      <w:color w:val="000000"/>
                      <w:kern w:val="0"/>
                      <w:sz w:val="15"/>
                      <w:szCs w:val="18"/>
                    </w:rPr>
                    <w:t>南方安裕</w:t>
                  </w:r>
                  <w:proofErr w:type="gramEnd"/>
                  <w:r>
                    <w:rPr>
                      <w:rFonts w:ascii="楷体" w:eastAsia="楷体" w:hAnsi="楷体" w:cs="宋体" w:hint="eastAsia"/>
                      <w:color w:val="000000"/>
                      <w:kern w:val="0"/>
                      <w:sz w:val="15"/>
                      <w:szCs w:val="18"/>
                    </w:rPr>
                    <w:t>A</w:t>
                  </w:r>
                </w:p>
              </w:tc>
              <w:tc>
                <w:tcPr>
                  <w:tcW w:w="1275"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林乐峰</w:t>
                  </w:r>
                </w:p>
              </w:tc>
              <w:tc>
                <w:tcPr>
                  <w:tcW w:w="851"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2.37 </w:t>
                  </w:r>
                </w:p>
              </w:tc>
              <w:tc>
                <w:tcPr>
                  <w:tcW w:w="1134"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29.12 </w:t>
                  </w:r>
                </w:p>
              </w:tc>
              <w:tc>
                <w:tcPr>
                  <w:tcW w:w="850"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8.74 </w:t>
                  </w:r>
                </w:p>
              </w:tc>
              <w:tc>
                <w:tcPr>
                  <w:tcW w:w="567"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7.35 </w:t>
                  </w:r>
                </w:p>
              </w:tc>
              <w:tc>
                <w:tcPr>
                  <w:tcW w:w="99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7.59 </w:t>
                  </w:r>
                </w:p>
              </w:tc>
              <w:tc>
                <w:tcPr>
                  <w:tcW w:w="992"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7.44 </w:t>
                  </w:r>
                </w:p>
              </w:tc>
              <w:tc>
                <w:tcPr>
                  <w:tcW w:w="104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93%</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100.00%</w:t>
                  </w:r>
                </w:p>
              </w:tc>
            </w:tr>
            <w:tr w:rsidR="00E95E51">
              <w:trPr>
                <w:trHeight w:val="162"/>
              </w:trPr>
              <w:tc>
                <w:tcPr>
                  <w:tcW w:w="1450"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proofErr w:type="gramStart"/>
                  <w:r>
                    <w:rPr>
                      <w:rFonts w:ascii="楷体" w:eastAsia="楷体" w:hAnsi="楷体" w:cs="宋体" w:hint="eastAsia"/>
                      <w:color w:val="000000"/>
                      <w:kern w:val="0"/>
                      <w:sz w:val="15"/>
                      <w:szCs w:val="18"/>
                    </w:rPr>
                    <w:t>天弘安康</w:t>
                  </w:r>
                  <w:proofErr w:type="gramEnd"/>
                  <w:r>
                    <w:rPr>
                      <w:rFonts w:ascii="楷体" w:eastAsia="楷体" w:hAnsi="楷体" w:cs="宋体" w:hint="eastAsia"/>
                      <w:color w:val="000000"/>
                      <w:kern w:val="0"/>
                      <w:sz w:val="15"/>
                      <w:szCs w:val="18"/>
                    </w:rPr>
                    <w:t>颐养A</w:t>
                  </w:r>
                </w:p>
              </w:tc>
              <w:tc>
                <w:tcPr>
                  <w:tcW w:w="1275"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姜晓丽,于洋</w:t>
                  </w:r>
                </w:p>
              </w:tc>
              <w:tc>
                <w:tcPr>
                  <w:tcW w:w="851"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8.39 </w:t>
                  </w:r>
                </w:p>
              </w:tc>
              <w:tc>
                <w:tcPr>
                  <w:tcW w:w="1134"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13.71 </w:t>
                  </w:r>
                </w:p>
              </w:tc>
              <w:tc>
                <w:tcPr>
                  <w:tcW w:w="850"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8.51 </w:t>
                  </w:r>
                </w:p>
              </w:tc>
              <w:tc>
                <w:tcPr>
                  <w:tcW w:w="567"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7.25 </w:t>
                  </w:r>
                </w:p>
              </w:tc>
              <w:tc>
                <w:tcPr>
                  <w:tcW w:w="99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7.97 </w:t>
                  </w:r>
                </w:p>
              </w:tc>
              <w:tc>
                <w:tcPr>
                  <w:tcW w:w="992"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7.21 </w:t>
                  </w:r>
                </w:p>
              </w:tc>
              <w:tc>
                <w:tcPr>
                  <w:tcW w:w="104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100.00%</w:t>
                  </w:r>
                </w:p>
              </w:tc>
            </w:tr>
            <w:tr w:rsidR="00E95E51">
              <w:trPr>
                <w:trHeight w:val="162"/>
              </w:trPr>
              <w:tc>
                <w:tcPr>
                  <w:tcW w:w="1450"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上投摩根安隆回报</w:t>
                  </w:r>
                </w:p>
              </w:tc>
              <w:tc>
                <w:tcPr>
                  <w:tcW w:w="1275"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proofErr w:type="gramStart"/>
                  <w:r>
                    <w:rPr>
                      <w:rFonts w:ascii="楷体" w:eastAsia="楷体" w:hAnsi="楷体" w:cs="宋体" w:hint="eastAsia"/>
                      <w:color w:val="000000"/>
                      <w:kern w:val="0"/>
                      <w:sz w:val="15"/>
                      <w:szCs w:val="18"/>
                    </w:rPr>
                    <w:t>陈圆明</w:t>
                  </w:r>
                  <w:proofErr w:type="gramEnd"/>
                  <w:r>
                    <w:rPr>
                      <w:rFonts w:ascii="楷体" w:eastAsia="楷体" w:hAnsi="楷体" w:cs="宋体" w:hint="eastAsia"/>
                      <w:color w:val="000000"/>
                      <w:kern w:val="0"/>
                      <w:sz w:val="15"/>
                      <w:szCs w:val="18"/>
                    </w:rPr>
                    <w:t>,唐瑭</w:t>
                  </w:r>
                </w:p>
              </w:tc>
              <w:tc>
                <w:tcPr>
                  <w:tcW w:w="851"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2.16 </w:t>
                  </w:r>
                </w:p>
              </w:tc>
              <w:tc>
                <w:tcPr>
                  <w:tcW w:w="1134"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40.77 </w:t>
                  </w:r>
                </w:p>
              </w:tc>
              <w:tc>
                <w:tcPr>
                  <w:tcW w:w="850"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8.59 </w:t>
                  </w:r>
                </w:p>
              </w:tc>
              <w:tc>
                <w:tcPr>
                  <w:tcW w:w="567"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7.45 </w:t>
                  </w:r>
                </w:p>
              </w:tc>
              <w:tc>
                <w:tcPr>
                  <w:tcW w:w="99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7.50 </w:t>
                  </w:r>
                </w:p>
              </w:tc>
              <w:tc>
                <w:tcPr>
                  <w:tcW w:w="992"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6.94 </w:t>
                  </w:r>
                </w:p>
              </w:tc>
              <w:tc>
                <w:tcPr>
                  <w:tcW w:w="104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93%</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100.00%</w:t>
                  </w:r>
                </w:p>
              </w:tc>
            </w:tr>
            <w:tr w:rsidR="00E95E51">
              <w:trPr>
                <w:trHeight w:val="162"/>
              </w:trPr>
              <w:tc>
                <w:tcPr>
                  <w:tcW w:w="1450"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安信新趋势A</w:t>
                  </w:r>
                </w:p>
              </w:tc>
              <w:tc>
                <w:tcPr>
                  <w:tcW w:w="1275"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张翼飞,李君</w:t>
                  </w:r>
                </w:p>
              </w:tc>
              <w:tc>
                <w:tcPr>
                  <w:tcW w:w="851"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4.50 </w:t>
                  </w:r>
                </w:p>
              </w:tc>
              <w:tc>
                <w:tcPr>
                  <w:tcW w:w="1134"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20.83 </w:t>
                  </w:r>
                </w:p>
              </w:tc>
              <w:tc>
                <w:tcPr>
                  <w:tcW w:w="850"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8.47 </w:t>
                  </w:r>
                </w:p>
              </w:tc>
              <w:tc>
                <w:tcPr>
                  <w:tcW w:w="567"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8.51 </w:t>
                  </w:r>
                </w:p>
              </w:tc>
              <w:tc>
                <w:tcPr>
                  <w:tcW w:w="99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9.11 </w:t>
                  </w:r>
                </w:p>
              </w:tc>
              <w:tc>
                <w:tcPr>
                  <w:tcW w:w="992"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6.79 </w:t>
                  </w:r>
                </w:p>
              </w:tc>
              <w:tc>
                <w:tcPr>
                  <w:tcW w:w="104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100.00%</w:t>
                  </w:r>
                </w:p>
              </w:tc>
            </w:tr>
            <w:tr w:rsidR="00E95E51">
              <w:trPr>
                <w:trHeight w:val="162"/>
              </w:trPr>
              <w:tc>
                <w:tcPr>
                  <w:tcW w:w="1450"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东方红稳健精选A</w:t>
                  </w:r>
                </w:p>
              </w:tc>
              <w:tc>
                <w:tcPr>
                  <w:tcW w:w="1275"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纪文静,孔令超</w:t>
                  </w:r>
                </w:p>
              </w:tc>
              <w:tc>
                <w:tcPr>
                  <w:tcW w:w="851"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5.91 </w:t>
                  </w:r>
                </w:p>
              </w:tc>
              <w:tc>
                <w:tcPr>
                  <w:tcW w:w="1134"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23.33 </w:t>
                  </w:r>
                </w:p>
              </w:tc>
              <w:tc>
                <w:tcPr>
                  <w:tcW w:w="850"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8.21 </w:t>
                  </w:r>
                </w:p>
              </w:tc>
              <w:tc>
                <w:tcPr>
                  <w:tcW w:w="567"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6.03 </w:t>
                  </w:r>
                </w:p>
              </w:tc>
              <w:tc>
                <w:tcPr>
                  <w:tcW w:w="99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6.15 </w:t>
                  </w:r>
                </w:p>
              </w:tc>
              <w:tc>
                <w:tcPr>
                  <w:tcW w:w="992"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6.76 </w:t>
                  </w:r>
                </w:p>
              </w:tc>
              <w:tc>
                <w:tcPr>
                  <w:tcW w:w="104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95%</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100.00%</w:t>
                  </w:r>
                </w:p>
              </w:tc>
            </w:tr>
            <w:tr w:rsidR="00E95E51">
              <w:trPr>
                <w:trHeight w:val="162"/>
              </w:trPr>
              <w:tc>
                <w:tcPr>
                  <w:tcW w:w="1450"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中欧琪和A</w:t>
                  </w:r>
                </w:p>
              </w:tc>
              <w:tc>
                <w:tcPr>
                  <w:tcW w:w="1275"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黄华,蒋雯文</w:t>
                  </w:r>
                </w:p>
              </w:tc>
              <w:tc>
                <w:tcPr>
                  <w:tcW w:w="851"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2.40 </w:t>
                  </w:r>
                </w:p>
              </w:tc>
              <w:tc>
                <w:tcPr>
                  <w:tcW w:w="1134"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18.29 </w:t>
                  </w:r>
                </w:p>
              </w:tc>
              <w:tc>
                <w:tcPr>
                  <w:tcW w:w="850"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8.53 </w:t>
                  </w:r>
                </w:p>
              </w:tc>
              <w:tc>
                <w:tcPr>
                  <w:tcW w:w="567"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8.55 </w:t>
                  </w:r>
                </w:p>
              </w:tc>
              <w:tc>
                <w:tcPr>
                  <w:tcW w:w="99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9.19 </w:t>
                  </w:r>
                </w:p>
              </w:tc>
              <w:tc>
                <w:tcPr>
                  <w:tcW w:w="992"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6.73 </w:t>
                  </w:r>
                </w:p>
              </w:tc>
              <w:tc>
                <w:tcPr>
                  <w:tcW w:w="104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100.00%</w:t>
                  </w:r>
                </w:p>
              </w:tc>
            </w:tr>
            <w:tr w:rsidR="00E95E51">
              <w:trPr>
                <w:trHeight w:val="162"/>
              </w:trPr>
              <w:tc>
                <w:tcPr>
                  <w:tcW w:w="1450"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广</w:t>
                  </w:r>
                  <w:proofErr w:type="gramStart"/>
                  <w:r>
                    <w:rPr>
                      <w:rFonts w:ascii="楷体" w:eastAsia="楷体" w:hAnsi="楷体" w:cs="宋体" w:hint="eastAsia"/>
                      <w:color w:val="000000"/>
                      <w:kern w:val="0"/>
                      <w:sz w:val="15"/>
                      <w:szCs w:val="18"/>
                    </w:rPr>
                    <w:t>发趋势</w:t>
                  </w:r>
                  <w:proofErr w:type="gramEnd"/>
                  <w:r>
                    <w:rPr>
                      <w:rFonts w:ascii="楷体" w:eastAsia="楷体" w:hAnsi="楷体" w:cs="宋体" w:hint="eastAsia"/>
                      <w:color w:val="000000"/>
                      <w:kern w:val="0"/>
                      <w:sz w:val="15"/>
                      <w:szCs w:val="18"/>
                    </w:rPr>
                    <w:t>优选A</w:t>
                  </w:r>
                </w:p>
              </w:tc>
              <w:tc>
                <w:tcPr>
                  <w:tcW w:w="1275"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谭昌杰</w:t>
                  </w:r>
                </w:p>
              </w:tc>
              <w:tc>
                <w:tcPr>
                  <w:tcW w:w="851"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6.36 </w:t>
                  </w:r>
                </w:p>
              </w:tc>
              <w:tc>
                <w:tcPr>
                  <w:tcW w:w="1134"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120.41 </w:t>
                  </w:r>
                </w:p>
              </w:tc>
              <w:tc>
                <w:tcPr>
                  <w:tcW w:w="850"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7.09 </w:t>
                  </w:r>
                </w:p>
              </w:tc>
              <w:tc>
                <w:tcPr>
                  <w:tcW w:w="567"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8.22 </w:t>
                  </w:r>
                </w:p>
              </w:tc>
              <w:tc>
                <w:tcPr>
                  <w:tcW w:w="99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8.98 </w:t>
                  </w:r>
                </w:p>
              </w:tc>
              <w:tc>
                <w:tcPr>
                  <w:tcW w:w="992"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6.51 </w:t>
                  </w:r>
                </w:p>
              </w:tc>
              <w:tc>
                <w:tcPr>
                  <w:tcW w:w="104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99%</w:t>
                  </w:r>
                </w:p>
              </w:tc>
              <w:tc>
                <w:tcPr>
                  <w:tcW w:w="869"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100.00%</w:t>
                  </w:r>
                </w:p>
              </w:tc>
            </w:tr>
            <w:tr w:rsidR="00E95E51">
              <w:trPr>
                <w:trHeight w:val="162"/>
              </w:trPr>
              <w:tc>
                <w:tcPr>
                  <w:tcW w:w="1450"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南方卓元A</w:t>
                  </w:r>
                </w:p>
              </w:tc>
              <w:tc>
                <w:tcPr>
                  <w:tcW w:w="1275"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郑迎</w:t>
                  </w:r>
                  <w:proofErr w:type="gramStart"/>
                  <w:r>
                    <w:rPr>
                      <w:rFonts w:ascii="楷体" w:eastAsia="楷体" w:hAnsi="楷体" w:cs="宋体" w:hint="eastAsia"/>
                      <w:color w:val="000000"/>
                      <w:kern w:val="0"/>
                      <w:sz w:val="15"/>
                      <w:szCs w:val="18"/>
                    </w:rPr>
                    <w:t>迎</w:t>
                  </w:r>
                  <w:proofErr w:type="gramEnd"/>
                </w:p>
              </w:tc>
              <w:tc>
                <w:tcPr>
                  <w:tcW w:w="851"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3.33 </w:t>
                  </w:r>
                </w:p>
              </w:tc>
              <w:tc>
                <w:tcPr>
                  <w:tcW w:w="1134"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18.25 </w:t>
                  </w:r>
                </w:p>
              </w:tc>
              <w:tc>
                <w:tcPr>
                  <w:tcW w:w="850"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6.41 </w:t>
                  </w:r>
                </w:p>
              </w:tc>
              <w:tc>
                <w:tcPr>
                  <w:tcW w:w="567"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7.53 </w:t>
                  </w:r>
                </w:p>
              </w:tc>
              <w:tc>
                <w:tcPr>
                  <w:tcW w:w="99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8.25 </w:t>
                  </w:r>
                </w:p>
              </w:tc>
              <w:tc>
                <w:tcPr>
                  <w:tcW w:w="992"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 xml:space="preserve">5.70 </w:t>
                  </w:r>
                </w:p>
              </w:tc>
              <w:tc>
                <w:tcPr>
                  <w:tcW w:w="104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w:t>
                  </w:r>
                </w:p>
              </w:tc>
              <w:tc>
                <w:tcPr>
                  <w:tcW w:w="869"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5"/>
                      <w:szCs w:val="18"/>
                    </w:rPr>
                  </w:pPr>
                  <w:r>
                    <w:rPr>
                      <w:rFonts w:ascii="楷体" w:eastAsia="楷体" w:hAnsi="楷体" w:cs="宋体" w:hint="eastAsia"/>
                      <w:color w:val="000000"/>
                      <w:kern w:val="0"/>
                      <w:sz w:val="15"/>
                      <w:szCs w:val="18"/>
                    </w:rPr>
                    <w:t>100.00%</w:t>
                  </w:r>
                </w:p>
              </w:tc>
            </w:tr>
          </w:tbl>
          <w:p w:rsidR="00E95E51" w:rsidRDefault="00E95E51">
            <w:pPr>
              <w:tabs>
                <w:tab w:val="left" w:pos="600"/>
              </w:tabs>
              <w:adjustRightInd w:val="0"/>
              <w:snapToGrid w:val="0"/>
              <w:spacing w:line="24" w:lineRule="atLeast"/>
              <w:rPr>
                <w:rFonts w:ascii="楷体" w:eastAsia="楷体" w:hAnsi="楷体"/>
                <w:color w:val="000000" w:themeColor="text1"/>
                <w:sz w:val="18"/>
                <w:szCs w:val="18"/>
              </w:rPr>
            </w:pPr>
          </w:p>
        </w:tc>
      </w:tr>
    </w:tbl>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研究；数据区间：</w:t>
      </w:r>
      <w:r>
        <w:rPr>
          <w:rFonts w:ascii="楷体" w:eastAsia="楷体" w:hAnsi="楷体"/>
          <w:color w:val="000000" w:themeColor="text1"/>
          <w:sz w:val="18"/>
          <w:szCs w:val="18"/>
        </w:rPr>
        <w:t>2019.06.01–2021.06.01</w:t>
      </w:r>
    </w:p>
    <w:p w:rsidR="00E95E51" w:rsidRDefault="00E95E51">
      <w:pPr>
        <w:pStyle w:val="a"/>
        <w:numPr>
          <w:ilvl w:val="0"/>
          <w:numId w:val="0"/>
        </w:numPr>
        <w:adjustRightInd w:val="0"/>
        <w:snapToGrid w:val="0"/>
        <w:spacing w:before="0" w:after="0" w:line="24" w:lineRule="atLeast"/>
        <w:ind w:rightChars="0" w:right="0" w:firstLineChars="202" w:firstLine="424"/>
        <w:rPr>
          <w:rFonts w:ascii="楷体" w:eastAsia="楷体" w:hAnsi="楷体"/>
          <w:b w:val="0"/>
        </w:rPr>
      </w:pPr>
    </w:p>
    <w:p w:rsidR="00E95E51" w:rsidRDefault="00502CD5">
      <w:pPr>
        <w:pStyle w:val="a"/>
        <w:numPr>
          <w:ilvl w:val="0"/>
          <w:numId w:val="0"/>
        </w:numPr>
        <w:adjustRightInd w:val="0"/>
        <w:snapToGrid w:val="0"/>
        <w:spacing w:before="0" w:after="0" w:line="24" w:lineRule="atLeast"/>
        <w:ind w:rightChars="0" w:right="0" w:firstLineChars="202" w:firstLine="426"/>
        <w:rPr>
          <w:rFonts w:ascii="楷体" w:eastAsia="楷体" w:hAnsi="楷体"/>
        </w:rPr>
      </w:pPr>
      <w:r>
        <w:rPr>
          <w:rFonts w:ascii="楷体" w:eastAsia="楷体" w:hAnsi="楷体" w:hint="eastAsia"/>
        </w:rPr>
        <w:t>均衡</w:t>
      </w:r>
      <w:proofErr w:type="gramStart"/>
      <w:r>
        <w:rPr>
          <w:rFonts w:ascii="楷体" w:eastAsia="楷体" w:hAnsi="楷体" w:hint="eastAsia"/>
        </w:rPr>
        <w:t>型固收</w:t>
      </w:r>
      <w:proofErr w:type="gramEnd"/>
      <w:r>
        <w:rPr>
          <w:rFonts w:ascii="楷体" w:eastAsia="楷体" w:hAnsi="楷体" w:hint="eastAsia"/>
        </w:rPr>
        <w:t>+：</w:t>
      </w:r>
      <w:r>
        <w:rPr>
          <w:rFonts w:ascii="楷体" w:eastAsia="楷体" w:hAnsi="楷体" w:hint="eastAsia"/>
          <w:b w:val="0"/>
        </w:rPr>
        <w:t>风险收益比较高，相对灵活，且有一定择时能力：收益风险评分大于6分，配置收益为正，近3年任意时点持有</w:t>
      </w:r>
      <w:r>
        <w:rPr>
          <w:rFonts w:ascii="楷体" w:eastAsia="楷体" w:hAnsi="楷体"/>
          <w:b w:val="0"/>
        </w:rPr>
        <w:t>12</w:t>
      </w:r>
      <w:r>
        <w:rPr>
          <w:rFonts w:ascii="楷体" w:eastAsia="楷体" w:hAnsi="楷体" w:hint="eastAsia"/>
          <w:b w:val="0"/>
        </w:rPr>
        <w:t>个月正收益概率100%，持有6个月正收益概率大于90%的基金。</w:t>
      </w:r>
    </w:p>
    <w:p w:rsidR="00E95E51" w:rsidRDefault="00E95E51">
      <w:pPr>
        <w:pStyle w:val="a"/>
        <w:numPr>
          <w:ilvl w:val="0"/>
          <w:numId w:val="0"/>
        </w:numPr>
        <w:adjustRightInd w:val="0"/>
        <w:snapToGrid w:val="0"/>
        <w:spacing w:before="0" w:after="0" w:line="24" w:lineRule="atLeast"/>
        <w:ind w:rightChars="0" w:right="0" w:firstLineChars="202" w:firstLine="424"/>
        <w:rPr>
          <w:rFonts w:ascii="楷体" w:eastAsia="楷体" w:hAnsi="楷体"/>
          <w:b w:val="0"/>
        </w:rPr>
      </w:pPr>
    </w:p>
    <w:tbl>
      <w:tblPr>
        <w:tblW w:w="10019" w:type="dxa"/>
        <w:jc w:val="center"/>
        <w:tblCellMar>
          <w:left w:w="0" w:type="dxa"/>
          <w:right w:w="0" w:type="dxa"/>
        </w:tblCellMar>
        <w:tblLook w:val="04A0" w:firstRow="1" w:lastRow="0" w:firstColumn="1" w:lastColumn="0" w:noHBand="0" w:noVBand="1"/>
      </w:tblPr>
      <w:tblGrid>
        <w:gridCol w:w="10153"/>
      </w:tblGrid>
      <w:tr w:rsidR="00E95E51">
        <w:trPr>
          <w:trHeight w:val="304"/>
          <w:jc w:val="center"/>
        </w:trPr>
        <w:tc>
          <w:tcPr>
            <w:tcW w:w="10019"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图表1</w:t>
            </w:r>
            <w:r>
              <w:rPr>
                <w:rFonts w:ascii="楷体" w:eastAsia="楷体" w:hAnsi="楷体"/>
                <w:b/>
                <w:bCs/>
                <w:color w:val="000000" w:themeColor="text1"/>
              </w:rPr>
              <w:t>6</w:t>
            </w:r>
            <w:r>
              <w:rPr>
                <w:rFonts w:ascii="楷体" w:eastAsia="楷体" w:hAnsi="楷体" w:hint="eastAsia"/>
                <w:b/>
                <w:bCs/>
                <w:color w:val="000000" w:themeColor="text1"/>
              </w:rPr>
              <w:t>：均衡</w:t>
            </w:r>
            <w:proofErr w:type="gramStart"/>
            <w:r>
              <w:rPr>
                <w:rFonts w:ascii="楷体" w:eastAsia="楷体" w:hAnsi="楷体" w:hint="eastAsia"/>
                <w:b/>
                <w:bCs/>
                <w:color w:val="000000" w:themeColor="text1"/>
              </w:rPr>
              <w:t>型固收</w:t>
            </w:r>
            <w:proofErr w:type="gramEnd"/>
            <w:r>
              <w:rPr>
                <w:rFonts w:ascii="楷体" w:eastAsia="楷体" w:hAnsi="楷体" w:hint="eastAsia"/>
                <w:b/>
                <w:bCs/>
                <w:color w:val="000000" w:themeColor="text1"/>
              </w:rPr>
              <w:t>+优选</w:t>
            </w:r>
          </w:p>
        </w:tc>
      </w:tr>
      <w:tr w:rsidR="00E95E51">
        <w:tblPrEx>
          <w:tblCellMar>
            <w:left w:w="108" w:type="dxa"/>
            <w:right w:w="108" w:type="dxa"/>
          </w:tblCellMar>
        </w:tblPrEx>
        <w:trPr>
          <w:trHeight w:val="396"/>
          <w:jc w:val="center"/>
        </w:trPr>
        <w:tc>
          <w:tcPr>
            <w:tcW w:w="10019" w:type="dxa"/>
            <w:tcBorders>
              <w:top w:val="single" w:sz="12" w:space="0" w:color="767171" w:themeColor="background2" w:themeShade="80"/>
              <w:bottom w:val="single" w:sz="12" w:space="0" w:color="767171" w:themeColor="background2" w:themeShade="80"/>
            </w:tcBorders>
            <w:vAlign w:val="center"/>
          </w:tcPr>
          <w:tbl>
            <w:tblPr>
              <w:tblW w:w="9927" w:type="dxa"/>
              <w:tblLook w:val="04A0" w:firstRow="1" w:lastRow="0" w:firstColumn="1" w:lastColumn="0" w:noHBand="0" w:noVBand="1"/>
            </w:tblPr>
            <w:tblGrid>
              <w:gridCol w:w="1592"/>
              <w:gridCol w:w="1134"/>
              <w:gridCol w:w="851"/>
              <w:gridCol w:w="835"/>
              <w:gridCol w:w="1103"/>
              <w:gridCol w:w="1103"/>
              <w:gridCol w:w="1103"/>
              <w:gridCol w:w="1103"/>
              <w:gridCol w:w="1103"/>
            </w:tblGrid>
            <w:tr w:rsidR="00E95E51">
              <w:trPr>
                <w:trHeight w:val="402"/>
              </w:trPr>
              <w:tc>
                <w:tcPr>
                  <w:tcW w:w="1592"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基金简称</w:t>
                  </w:r>
                </w:p>
              </w:tc>
              <w:tc>
                <w:tcPr>
                  <w:tcW w:w="1134"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基金经理</w:t>
                  </w:r>
                </w:p>
              </w:tc>
              <w:tc>
                <w:tcPr>
                  <w:tcW w:w="851" w:type="dxa"/>
                  <w:tcBorders>
                    <w:top w:val="single" w:sz="8" w:space="0" w:color="A6A6A6"/>
                    <w:left w:val="nil"/>
                    <w:bottom w:val="single" w:sz="8" w:space="0" w:color="A6A6A6"/>
                    <w:right w:val="single" w:sz="8" w:space="0" w:color="A6A6A6"/>
                  </w:tcBorders>
                  <w:shd w:val="clear" w:color="000000" w:fill="BE9664"/>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基金经理任职年限</w:t>
                  </w:r>
                </w:p>
              </w:tc>
              <w:tc>
                <w:tcPr>
                  <w:tcW w:w="835" w:type="dxa"/>
                  <w:tcBorders>
                    <w:top w:val="single" w:sz="8" w:space="0" w:color="A6A6A6"/>
                    <w:left w:val="nil"/>
                    <w:bottom w:val="single" w:sz="8" w:space="0" w:color="A6A6A6"/>
                    <w:right w:val="single" w:sz="8" w:space="0" w:color="A6A6A6"/>
                  </w:tcBorders>
                  <w:shd w:val="clear" w:color="000000" w:fill="BE9664"/>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基金规模</w:t>
                  </w:r>
                </w:p>
              </w:tc>
              <w:tc>
                <w:tcPr>
                  <w:tcW w:w="1103"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收益风险评分</w:t>
                  </w:r>
                </w:p>
              </w:tc>
              <w:tc>
                <w:tcPr>
                  <w:tcW w:w="1103"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综合评分</w:t>
                  </w:r>
                </w:p>
              </w:tc>
              <w:tc>
                <w:tcPr>
                  <w:tcW w:w="1103"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配置收益</w:t>
                  </w:r>
                </w:p>
              </w:tc>
              <w:tc>
                <w:tcPr>
                  <w:tcW w:w="1103" w:type="dxa"/>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任意时点持有6个月</w:t>
                  </w:r>
                </w:p>
              </w:tc>
              <w:tc>
                <w:tcPr>
                  <w:tcW w:w="1103" w:type="dxa"/>
                  <w:tcBorders>
                    <w:top w:val="single" w:sz="8" w:space="0" w:color="A6A6A6"/>
                    <w:left w:val="nil"/>
                    <w:bottom w:val="single" w:sz="8" w:space="0" w:color="A6A6A6"/>
                    <w:right w:val="single" w:sz="8" w:space="0" w:color="A6A6A6"/>
                  </w:tcBorders>
                  <w:shd w:val="clear" w:color="000000" w:fill="BE9664"/>
                  <w:vAlign w:val="center"/>
                </w:tcPr>
                <w:p w:rsidR="00E95E51" w:rsidRDefault="00502CD5">
                  <w:pPr>
                    <w:widowControl/>
                    <w:jc w:val="center"/>
                    <w:rPr>
                      <w:rFonts w:ascii="楷体" w:eastAsia="楷体" w:hAnsi="楷体" w:cs="宋体"/>
                      <w:b/>
                      <w:bCs/>
                      <w:color w:val="FFFFFF"/>
                      <w:kern w:val="0"/>
                      <w:sz w:val="16"/>
                      <w:szCs w:val="18"/>
                    </w:rPr>
                  </w:pPr>
                  <w:r>
                    <w:rPr>
                      <w:rFonts w:ascii="楷体" w:eastAsia="楷体" w:hAnsi="楷体" w:cs="宋体" w:hint="eastAsia"/>
                      <w:b/>
                      <w:bCs/>
                      <w:color w:val="FFFFFF"/>
                      <w:kern w:val="0"/>
                      <w:sz w:val="16"/>
                      <w:szCs w:val="18"/>
                    </w:rPr>
                    <w:t>任意时点持有1年</w:t>
                  </w:r>
                </w:p>
              </w:tc>
            </w:tr>
            <w:tr w:rsidR="00E95E51">
              <w:trPr>
                <w:trHeight w:val="229"/>
              </w:trPr>
              <w:tc>
                <w:tcPr>
                  <w:tcW w:w="1592"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易方达裕祥回报</w:t>
                  </w:r>
                </w:p>
              </w:tc>
              <w:tc>
                <w:tcPr>
                  <w:tcW w:w="1134"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张清华,林森</w:t>
                  </w:r>
                </w:p>
              </w:tc>
              <w:tc>
                <w:tcPr>
                  <w:tcW w:w="851"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5.38 </w:t>
                  </w:r>
                </w:p>
              </w:tc>
              <w:tc>
                <w:tcPr>
                  <w:tcW w:w="835"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341.29 </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6.41 </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5.44</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2.41%</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r>
            <w:tr w:rsidR="00E95E51">
              <w:trPr>
                <w:trHeight w:val="229"/>
              </w:trPr>
              <w:tc>
                <w:tcPr>
                  <w:tcW w:w="1592"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汇添富双</w:t>
                  </w:r>
                  <w:proofErr w:type="gramEnd"/>
                  <w:r>
                    <w:rPr>
                      <w:rFonts w:ascii="楷体" w:eastAsia="楷体" w:hAnsi="楷体" w:cs="宋体" w:hint="eastAsia"/>
                      <w:color w:val="000000"/>
                      <w:kern w:val="0"/>
                      <w:sz w:val="16"/>
                      <w:szCs w:val="18"/>
                    </w:rPr>
                    <w:t>利A</w:t>
                  </w:r>
                </w:p>
              </w:tc>
              <w:tc>
                <w:tcPr>
                  <w:tcW w:w="1134"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吴江宏</w:t>
                  </w:r>
                </w:p>
              </w:tc>
              <w:tc>
                <w:tcPr>
                  <w:tcW w:w="851"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2.70 </w:t>
                  </w:r>
                </w:p>
              </w:tc>
              <w:tc>
                <w:tcPr>
                  <w:tcW w:w="835"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204.20 </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5.97 </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5.85</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1.44%</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93%</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r>
            <w:tr w:rsidR="00E95E51">
              <w:trPr>
                <w:trHeight w:val="229"/>
              </w:trPr>
              <w:tc>
                <w:tcPr>
                  <w:tcW w:w="1592"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南方宝元债券A</w:t>
                  </w:r>
                </w:p>
              </w:tc>
              <w:tc>
                <w:tcPr>
                  <w:tcW w:w="1134"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林乐峰</w:t>
                  </w:r>
                </w:p>
              </w:tc>
              <w:tc>
                <w:tcPr>
                  <w:tcW w:w="851"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5.20 </w:t>
                  </w:r>
                </w:p>
              </w:tc>
              <w:tc>
                <w:tcPr>
                  <w:tcW w:w="835"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190.57 </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6.51 </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5.80</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2.25%</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92%</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r>
            <w:tr w:rsidR="00E95E51">
              <w:trPr>
                <w:trHeight w:val="229"/>
              </w:trPr>
              <w:tc>
                <w:tcPr>
                  <w:tcW w:w="1592"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工</w:t>
                  </w:r>
                  <w:proofErr w:type="gramStart"/>
                  <w:r>
                    <w:rPr>
                      <w:rFonts w:ascii="楷体" w:eastAsia="楷体" w:hAnsi="楷体" w:cs="宋体" w:hint="eastAsia"/>
                      <w:color w:val="000000"/>
                      <w:kern w:val="0"/>
                      <w:sz w:val="16"/>
                      <w:szCs w:val="18"/>
                    </w:rPr>
                    <w:t>银瑞信产业债</w:t>
                  </w:r>
                  <w:proofErr w:type="gramEnd"/>
                  <w:r>
                    <w:rPr>
                      <w:rFonts w:ascii="楷体" w:eastAsia="楷体" w:hAnsi="楷体" w:cs="宋体" w:hint="eastAsia"/>
                      <w:color w:val="000000"/>
                      <w:kern w:val="0"/>
                      <w:sz w:val="16"/>
                      <w:szCs w:val="18"/>
                    </w:rPr>
                    <w:t>A</w:t>
                  </w:r>
                </w:p>
              </w:tc>
              <w:tc>
                <w:tcPr>
                  <w:tcW w:w="1134"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何秀红</w:t>
                  </w:r>
                </w:p>
              </w:tc>
              <w:tc>
                <w:tcPr>
                  <w:tcW w:w="851"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8.20 </w:t>
                  </w:r>
                </w:p>
              </w:tc>
              <w:tc>
                <w:tcPr>
                  <w:tcW w:w="835"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168.30 </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5.07 </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5.55</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0.02%</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r>
            <w:tr w:rsidR="00E95E51">
              <w:trPr>
                <w:trHeight w:val="229"/>
              </w:trPr>
              <w:tc>
                <w:tcPr>
                  <w:tcW w:w="1592"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天弘永</w:t>
                  </w:r>
                  <w:proofErr w:type="gramEnd"/>
                  <w:r>
                    <w:rPr>
                      <w:rFonts w:ascii="楷体" w:eastAsia="楷体" w:hAnsi="楷体" w:cs="宋体" w:hint="eastAsia"/>
                      <w:color w:val="000000"/>
                      <w:kern w:val="0"/>
                      <w:sz w:val="16"/>
                      <w:szCs w:val="18"/>
                    </w:rPr>
                    <w:t>利债券A</w:t>
                  </w:r>
                </w:p>
              </w:tc>
              <w:tc>
                <w:tcPr>
                  <w:tcW w:w="1134"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姜晓丽,张寓,杜广</w:t>
                  </w:r>
                </w:p>
              </w:tc>
              <w:tc>
                <w:tcPr>
                  <w:tcW w:w="851"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8.85 </w:t>
                  </w:r>
                </w:p>
              </w:tc>
              <w:tc>
                <w:tcPr>
                  <w:tcW w:w="835"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52.72 </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6.20 </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5.52</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1.15%</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99%</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r>
            <w:tr w:rsidR="00E95E51">
              <w:trPr>
                <w:trHeight w:val="229"/>
              </w:trPr>
              <w:tc>
                <w:tcPr>
                  <w:tcW w:w="1592"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南方安泰A</w:t>
                  </w:r>
                </w:p>
              </w:tc>
              <w:tc>
                <w:tcPr>
                  <w:tcW w:w="1134"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孙鲁闽,杨旭</w:t>
                  </w:r>
                </w:p>
              </w:tc>
              <w:tc>
                <w:tcPr>
                  <w:tcW w:w="851"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4.72 </w:t>
                  </w:r>
                </w:p>
              </w:tc>
              <w:tc>
                <w:tcPr>
                  <w:tcW w:w="835"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34.32 </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9.21 </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7.58</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1.48%</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94%</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r>
            <w:tr w:rsidR="00E95E51">
              <w:trPr>
                <w:trHeight w:val="229"/>
              </w:trPr>
              <w:tc>
                <w:tcPr>
                  <w:tcW w:w="1592"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中银多策略A</w:t>
                  </w:r>
                </w:p>
              </w:tc>
              <w:tc>
                <w:tcPr>
                  <w:tcW w:w="1134"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李建</w:t>
                  </w:r>
                </w:p>
              </w:tc>
              <w:tc>
                <w:tcPr>
                  <w:tcW w:w="851"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7.20 </w:t>
                  </w:r>
                </w:p>
              </w:tc>
              <w:tc>
                <w:tcPr>
                  <w:tcW w:w="835"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30.94 </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8.87 </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7.58</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1.14%</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92%</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r>
            <w:tr w:rsidR="00E95E51">
              <w:trPr>
                <w:trHeight w:val="229"/>
              </w:trPr>
              <w:tc>
                <w:tcPr>
                  <w:tcW w:w="1592"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工银瑞信</w:t>
                  </w:r>
                  <w:proofErr w:type="gramEnd"/>
                  <w:r>
                    <w:rPr>
                      <w:rFonts w:ascii="楷体" w:eastAsia="楷体" w:hAnsi="楷体" w:cs="宋体" w:hint="eastAsia"/>
                      <w:color w:val="000000"/>
                      <w:kern w:val="0"/>
                      <w:sz w:val="16"/>
                      <w:szCs w:val="18"/>
                    </w:rPr>
                    <w:t>新得益</w:t>
                  </w:r>
                </w:p>
              </w:tc>
              <w:tc>
                <w:tcPr>
                  <w:tcW w:w="1134"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张洋</w:t>
                  </w:r>
                </w:p>
              </w:tc>
              <w:tc>
                <w:tcPr>
                  <w:tcW w:w="851"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4.55 </w:t>
                  </w:r>
                </w:p>
              </w:tc>
              <w:tc>
                <w:tcPr>
                  <w:tcW w:w="835"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18.07 </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6.98 </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5.87</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0.14%</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99%</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r>
            <w:tr w:rsidR="00E95E51">
              <w:trPr>
                <w:trHeight w:val="229"/>
              </w:trPr>
              <w:tc>
                <w:tcPr>
                  <w:tcW w:w="1592"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东方红价值精选A</w:t>
                  </w:r>
                </w:p>
              </w:tc>
              <w:tc>
                <w:tcPr>
                  <w:tcW w:w="1134"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纪文静</w:t>
                  </w:r>
                </w:p>
              </w:tc>
              <w:tc>
                <w:tcPr>
                  <w:tcW w:w="851"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4.71 </w:t>
                  </w:r>
                </w:p>
              </w:tc>
              <w:tc>
                <w:tcPr>
                  <w:tcW w:w="835"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12.82 </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7.15 </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5.92</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2.88%</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93%</w:t>
                  </w:r>
                </w:p>
              </w:tc>
              <w:tc>
                <w:tcPr>
                  <w:tcW w:w="1103" w:type="dxa"/>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r>
            <w:tr w:rsidR="00E95E51">
              <w:trPr>
                <w:trHeight w:val="229"/>
              </w:trPr>
              <w:tc>
                <w:tcPr>
                  <w:tcW w:w="1592"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兴业聚盈</w:t>
                  </w:r>
                  <w:proofErr w:type="gramEnd"/>
                </w:p>
              </w:tc>
              <w:tc>
                <w:tcPr>
                  <w:tcW w:w="1134"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proofErr w:type="gramStart"/>
                  <w:r>
                    <w:rPr>
                      <w:rFonts w:ascii="楷体" w:eastAsia="楷体" w:hAnsi="楷体" w:cs="宋体" w:hint="eastAsia"/>
                      <w:color w:val="000000"/>
                      <w:kern w:val="0"/>
                      <w:sz w:val="16"/>
                      <w:szCs w:val="18"/>
                    </w:rPr>
                    <w:t>腊博</w:t>
                  </w:r>
                  <w:proofErr w:type="gramEnd"/>
                </w:p>
              </w:tc>
              <w:tc>
                <w:tcPr>
                  <w:tcW w:w="851"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5.17 </w:t>
                  </w:r>
                </w:p>
              </w:tc>
              <w:tc>
                <w:tcPr>
                  <w:tcW w:w="835"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9.93 </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 xml:space="preserve">8.23 </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7.70</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1.25%</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97%</w:t>
                  </w:r>
                </w:p>
              </w:tc>
              <w:tc>
                <w:tcPr>
                  <w:tcW w:w="1103" w:type="dxa"/>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6"/>
                      <w:szCs w:val="18"/>
                    </w:rPr>
                  </w:pPr>
                  <w:r>
                    <w:rPr>
                      <w:rFonts w:ascii="楷体" w:eastAsia="楷体" w:hAnsi="楷体" w:cs="宋体" w:hint="eastAsia"/>
                      <w:color w:val="000000"/>
                      <w:kern w:val="0"/>
                      <w:sz w:val="16"/>
                      <w:szCs w:val="18"/>
                    </w:rPr>
                    <w:t>100%</w:t>
                  </w:r>
                </w:p>
              </w:tc>
            </w:tr>
          </w:tbl>
          <w:p w:rsidR="00E95E51" w:rsidRDefault="00E95E51">
            <w:pPr>
              <w:tabs>
                <w:tab w:val="left" w:pos="600"/>
              </w:tabs>
              <w:adjustRightInd w:val="0"/>
              <w:snapToGrid w:val="0"/>
              <w:spacing w:line="24" w:lineRule="atLeast"/>
              <w:rPr>
                <w:rFonts w:ascii="楷体" w:eastAsia="楷体" w:hAnsi="楷体"/>
                <w:color w:val="000000" w:themeColor="text1"/>
                <w:sz w:val="18"/>
                <w:szCs w:val="18"/>
              </w:rPr>
            </w:pPr>
          </w:p>
        </w:tc>
      </w:tr>
    </w:tbl>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lastRenderedPageBreak/>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研究；数据区间：</w:t>
      </w:r>
      <w:r>
        <w:rPr>
          <w:rFonts w:ascii="楷体" w:eastAsia="楷体" w:hAnsi="楷体"/>
          <w:color w:val="000000" w:themeColor="text1"/>
          <w:sz w:val="18"/>
          <w:szCs w:val="18"/>
        </w:rPr>
        <w:t>2019.06.01–2021.06.01</w:t>
      </w:r>
    </w:p>
    <w:p w:rsidR="00E95E51" w:rsidRDefault="00E95E51">
      <w:pPr>
        <w:pStyle w:val="afd"/>
        <w:ind w:firstLineChars="0" w:firstLine="0"/>
        <w:rPr>
          <w:rFonts w:ascii="楷体" w:eastAsia="楷体" w:hAnsi="楷体"/>
        </w:rPr>
      </w:pPr>
    </w:p>
    <w:p w:rsidR="00E95E51" w:rsidRDefault="00502CD5">
      <w:pPr>
        <w:pStyle w:val="a"/>
        <w:numPr>
          <w:ilvl w:val="0"/>
          <w:numId w:val="0"/>
        </w:numPr>
        <w:adjustRightInd w:val="0"/>
        <w:snapToGrid w:val="0"/>
        <w:spacing w:before="0" w:after="0" w:line="24" w:lineRule="atLeast"/>
        <w:ind w:rightChars="0" w:right="0" w:firstLineChars="202" w:firstLine="426"/>
        <w:rPr>
          <w:rFonts w:ascii="楷体" w:eastAsia="楷体" w:hAnsi="楷体"/>
        </w:rPr>
      </w:pPr>
      <w:proofErr w:type="gramStart"/>
      <w:r>
        <w:rPr>
          <w:rFonts w:ascii="楷体" w:eastAsia="楷体" w:hAnsi="楷体" w:hint="eastAsia"/>
        </w:rPr>
        <w:t>偏股型固收</w:t>
      </w:r>
      <w:proofErr w:type="gramEnd"/>
      <w:r>
        <w:rPr>
          <w:rFonts w:ascii="楷体" w:eastAsia="楷体" w:hAnsi="楷体" w:hint="eastAsia"/>
        </w:rPr>
        <w:t>+</w:t>
      </w:r>
      <w:r>
        <w:rPr>
          <w:rFonts w:ascii="楷体" w:eastAsia="楷体" w:hAnsi="楷体" w:hint="eastAsia"/>
          <w:b w:val="0"/>
        </w:rPr>
        <w:t>：进攻性强，择股能力突出：收益评分、收益稳定性大于6分，选</w:t>
      </w:r>
      <w:proofErr w:type="gramStart"/>
      <w:r>
        <w:rPr>
          <w:rFonts w:ascii="楷体" w:eastAsia="楷体" w:hAnsi="楷体" w:hint="eastAsia"/>
          <w:b w:val="0"/>
        </w:rPr>
        <w:t>券</w:t>
      </w:r>
      <w:proofErr w:type="gramEnd"/>
      <w:r>
        <w:rPr>
          <w:rFonts w:ascii="楷体" w:eastAsia="楷体" w:hAnsi="楷体" w:hint="eastAsia"/>
          <w:b w:val="0"/>
        </w:rPr>
        <w:t>收益大于5%的基金。</w:t>
      </w:r>
    </w:p>
    <w:p w:rsidR="00E95E51" w:rsidRDefault="00E95E51">
      <w:pPr>
        <w:pStyle w:val="afd"/>
        <w:ind w:firstLineChars="0" w:firstLine="0"/>
        <w:rPr>
          <w:rFonts w:ascii="楷体" w:eastAsia="楷体" w:hAnsi="楷体"/>
        </w:rPr>
      </w:pPr>
    </w:p>
    <w:tbl>
      <w:tblPr>
        <w:tblW w:w="10019" w:type="dxa"/>
        <w:jc w:val="center"/>
        <w:tblCellMar>
          <w:left w:w="0" w:type="dxa"/>
          <w:right w:w="0" w:type="dxa"/>
        </w:tblCellMar>
        <w:tblLook w:val="04A0" w:firstRow="1" w:lastRow="0" w:firstColumn="1" w:lastColumn="0" w:noHBand="0" w:noVBand="1"/>
      </w:tblPr>
      <w:tblGrid>
        <w:gridCol w:w="10104"/>
      </w:tblGrid>
      <w:tr w:rsidR="00E95E51">
        <w:trPr>
          <w:trHeight w:val="304"/>
          <w:jc w:val="center"/>
        </w:trPr>
        <w:tc>
          <w:tcPr>
            <w:tcW w:w="10019" w:type="dxa"/>
            <w:tcBorders>
              <w:top w:val="single" w:sz="12" w:space="0" w:color="767171" w:themeColor="background2" w:themeShade="80"/>
              <w:bottom w:val="single" w:sz="12" w:space="0" w:color="767171" w:themeColor="background2" w:themeShade="80"/>
            </w:tcBorders>
            <w:vAlign w:val="center"/>
          </w:tcPr>
          <w:p w:rsidR="00E95E51" w:rsidRDefault="00502CD5">
            <w:pPr>
              <w:tabs>
                <w:tab w:val="right" w:pos="4888"/>
              </w:tabs>
              <w:spacing w:line="24" w:lineRule="atLeast"/>
              <w:rPr>
                <w:rFonts w:ascii="楷体" w:eastAsia="楷体" w:hAnsi="楷体"/>
                <w:b/>
                <w:bCs/>
                <w:color w:val="000000" w:themeColor="text1"/>
              </w:rPr>
            </w:pPr>
            <w:r>
              <w:rPr>
                <w:rFonts w:ascii="楷体" w:eastAsia="楷体" w:hAnsi="楷体" w:hint="eastAsia"/>
                <w:b/>
                <w:bCs/>
                <w:color w:val="000000" w:themeColor="text1"/>
              </w:rPr>
              <w:t>图表1</w:t>
            </w:r>
            <w:r>
              <w:rPr>
                <w:rFonts w:ascii="楷体" w:eastAsia="楷体" w:hAnsi="楷体"/>
                <w:b/>
                <w:bCs/>
                <w:color w:val="000000" w:themeColor="text1"/>
              </w:rPr>
              <w:t>7</w:t>
            </w:r>
            <w:r>
              <w:rPr>
                <w:rFonts w:ascii="楷体" w:eastAsia="楷体" w:hAnsi="楷体" w:hint="eastAsia"/>
                <w:b/>
                <w:bCs/>
                <w:color w:val="000000" w:themeColor="text1"/>
              </w:rPr>
              <w:t>：</w:t>
            </w:r>
            <w:proofErr w:type="gramStart"/>
            <w:r>
              <w:rPr>
                <w:rFonts w:ascii="楷体" w:eastAsia="楷体" w:hAnsi="楷体" w:hint="eastAsia"/>
                <w:b/>
                <w:bCs/>
                <w:color w:val="000000" w:themeColor="text1"/>
              </w:rPr>
              <w:t>偏股型固收</w:t>
            </w:r>
            <w:proofErr w:type="gramEnd"/>
            <w:r>
              <w:rPr>
                <w:rFonts w:ascii="楷体" w:eastAsia="楷体" w:hAnsi="楷体" w:hint="eastAsia"/>
                <w:b/>
                <w:bCs/>
                <w:color w:val="000000" w:themeColor="text1"/>
              </w:rPr>
              <w:t>+优选</w:t>
            </w:r>
          </w:p>
        </w:tc>
      </w:tr>
      <w:tr w:rsidR="00E95E51">
        <w:tblPrEx>
          <w:tblCellMar>
            <w:left w:w="108" w:type="dxa"/>
            <w:right w:w="108" w:type="dxa"/>
          </w:tblCellMar>
        </w:tblPrEx>
        <w:trPr>
          <w:trHeight w:val="1263"/>
          <w:jc w:val="center"/>
        </w:trPr>
        <w:tc>
          <w:tcPr>
            <w:tcW w:w="10019" w:type="dxa"/>
            <w:tcBorders>
              <w:top w:val="single" w:sz="12" w:space="0" w:color="767171" w:themeColor="background2" w:themeShade="80"/>
              <w:bottom w:val="single" w:sz="12" w:space="0" w:color="767171" w:themeColor="background2" w:themeShade="80"/>
            </w:tcBorders>
            <w:vAlign w:val="center"/>
          </w:tcPr>
          <w:tbl>
            <w:tblPr>
              <w:tblW w:w="9878" w:type="dxa"/>
              <w:tblLook w:val="04A0" w:firstRow="1" w:lastRow="0" w:firstColumn="1" w:lastColumn="0" w:noHBand="0" w:noVBand="1"/>
            </w:tblPr>
            <w:tblGrid>
              <w:gridCol w:w="1663"/>
              <w:gridCol w:w="1245"/>
              <w:gridCol w:w="969"/>
              <w:gridCol w:w="969"/>
              <w:gridCol w:w="969"/>
              <w:gridCol w:w="1156"/>
              <w:gridCol w:w="969"/>
              <w:gridCol w:w="969"/>
              <w:gridCol w:w="969"/>
            </w:tblGrid>
            <w:tr w:rsidR="00E95E51">
              <w:trPr>
                <w:trHeight w:val="473"/>
              </w:trPr>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基金简称</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基金经理</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基金经理</w:t>
                  </w:r>
                </w:p>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任职年限</w:t>
                  </w:r>
                </w:p>
              </w:tc>
              <w:tc>
                <w:tcPr>
                  <w:tcW w:w="0" w:type="auto"/>
                  <w:tcBorders>
                    <w:top w:val="single" w:sz="8" w:space="0" w:color="A6A6A6"/>
                    <w:left w:val="nil"/>
                    <w:bottom w:val="single" w:sz="8" w:space="0" w:color="A6A6A6"/>
                    <w:right w:val="single" w:sz="8" w:space="0" w:color="A6A6A6"/>
                  </w:tcBorders>
                  <w:shd w:val="clear" w:color="000000" w:fill="BE9664"/>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基金规模</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收益评分</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收益稳定性</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综合评分</w:t>
                  </w:r>
                </w:p>
              </w:tc>
              <w:tc>
                <w:tcPr>
                  <w:tcW w:w="0" w:type="auto"/>
                  <w:tcBorders>
                    <w:top w:val="single" w:sz="8" w:space="0" w:color="A6A6A6"/>
                    <w:left w:val="nil"/>
                    <w:bottom w:val="single" w:sz="8" w:space="0" w:color="A6A6A6"/>
                    <w:right w:val="single" w:sz="8" w:space="0" w:color="A6A6A6"/>
                  </w:tcBorders>
                  <w:shd w:val="clear" w:color="000000" w:fill="BE9664"/>
                  <w:noWrap/>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超额收益</w:t>
                  </w:r>
                </w:p>
              </w:tc>
              <w:tc>
                <w:tcPr>
                  <w:tcW w:w="0" w:type="auto"/>
                  <w:tcBorders>
                    <w:top w:val="single" w:sz="8" w:space="0" w:color="A6A6A6"/>
                    <w:left w:val="nil"/>
                    <w:bottom w:val="single" w:sz="8" w:space="0" w:color="A6A6A6"/>
                    <w:right w:val="single" w:sz="8" w:space="0" w:color="A6A6A6"/>
                  </w:tcBorders>
                  <w:shd w:val="clear" w:color="000000" w:fill="BE9664"/>
                  <w:vAlign w:val="center"/>
                </w:tcPr>
                <w:p w:rsidR="00E95E51" w:rsidRDefault="00502CD5">
                  <w:pPr>
                    <w:widowControl/>
                    <w:jc w:val="center"/>
                    <w:rPr>
                      <w:rFonts w:ascii="楷体" w:eastAsia="楷体" w:hAnsi="楷体" w:cs="宋体"/>
                      <w:b/>
                      <w:bCs/>
                      <w:color w:val="FFFFFF"/>
                      <w:kern w:val="0"/>
                      <w:sz w:val="18"/>
                      <w:szCs w:val="18"/>
                    </w:rPr>
                  </w:pPr>
                  <w:r>
                    <w:rPr>
                      <w:rFonts w:ascii="楷体" w:eastAsia="楷体" w:hAnsi="楷体" w:cs="宋体" w:hint="eastAsia"/>
                      <w:b/>
                      <w:bCs/>
                      <w:color w:val="FFFFFF"/>
                      <w:kern w:val="0"/>
                      <w:sz w:val="18"/>
                      <w:szCs w:val="18"/>
                    </w:rPr>
                    <w:t>选</w:t>
                  </w:r>
                  <w:proofErr w:type="gramStart"/>
                  <w:r>
                    <w:rPr>
                      <w:rFonts w:ascii="楷体" w:eastAsia="楷体" w:hAnsi="楷体" w:cs="宋体" w:hint="eastAsia"/>
                      <w:b/>
                      <w:bCs/>
                      <w:color w:val="FFFFFF"/>
                      <w:kern w:val="0"/>
                      <w:sz w:val="18"/>
                      <w:szCs w:val="18"/>
                    </w:rPr>
                    <w:t>券</w:t>
                  </w:r>
                  <w:proofErr w:type="gramEnd"/>
                  <w:r>
                    <w:rPr>
                      <w:rFonts w:ascii="楷体" w:eastAsia="楷体" w:hAnsi="楷体" w:cs="宋体" w:hint="eastAsia"/>
                      <w:b/>
                      <w:bCs/>
                      <w:color w:val="FFFFFF"/>
                      <w:kern w:val="0"/>
                      <w:sz w:val="18"/>
                      <w:szCs w:val="18"/>
                    </w:rPr>
                    <w:t>收益</w:t>
                  </w:r>
                </w:p>
              </w:tc>
            </w:tr>
            <w:tr w:rsidR="00E95E51">
              <w:trPr>
                <w:trHeight w:val="27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易方达安心回馈</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张清华,林森</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6.04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40.35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8.87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10.00</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5.64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18%</w:t>
                  </w:r>
                </w:p>
              </w:tc>
            </w:tr>
            <w:tr w:rsidR="00E95E51">
              <w:trPr>
                <w:trHeight w:val="27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鹏扬景欣</w:t>
                  </w:r>
                  <w:proofErr w:type="gramEnd"/>
                  <w:r>
                    <w:rPr>
                      <w:rFonts w:ascii="楷体" w:eastAsia="楷体" w:hAnsi="楷体" w:cs="宋体" w:hint="eastAsia"/>
                      <w:color w:val="000000"/>
                      <w:kern w:val="0"/>
                      <w:sz w:val="18"/>
                      <w:szCs w:val="18"/>
                    </w:rPr>
                    <w:t>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赵</w:t>
                  </w:r>
                  <w:proofErr w:type="gramStart"/>
                  <w:r>
                    <w:rPr>
                      <w:rFonts w:ascii="楷体" w:eastAsia="楷体" w:hAnsi="楷体" w:cs="宋体" w:hint="eastAsia"/>
                      <w:color w:val="000000"/>
                      <w:kern w:val="0"/>
                      <w:sz w:val="18"/>
                      <w:szCs w:val="18"/>
                    </w:rPr>
                    <w:t>世</w:t>
                  </w:r>
                  <w:proofErr w:type="gramEnd"/>
                  <w:r>
                    <w:rPr>
                      <w:rFonts w:ascii="楷体" w:eastAsia="楷体" w:hAnsi="楷体" w:cs="宋体" w:hint="eastAsia"/>
                      <w:color w:val="000000"/>
                      <w:kern w:val="0"/>
                      <w:sz w:val="18"/>
                      <w:szCs w:val="18"/>
                    </w:rPr>
                    <w:t>宏,</w:t>
                  </w:r>
                  <w:proofErr w:type="gramStart"/>
                  <w:r>
                    <w:rPr>
                      <w:rFonts w:ascii="楷体" w:eastAsia="楷体" w:hAnsi="楷体" w:cs="宋体" w:hint="eastAsia"/>
                      <w:color w:val="000000"/>
                      <w:kern w:val="0"/>
                      <w:sz w:val="18"/>
                      <w:szCs w:val="18"/>
                    </w:rPr>
                    <w:t>焦翠</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2.05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11.78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8.79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9.84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5.81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15%</w:t>
                  </w:r>
                </w:p>
              </w:tc>
            </w:tr>
            <w:tr w:rsidR="00E95E51">
              <w:trPr>
                <w:trHeight w:val="27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易方达瑞弘A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林森</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4.26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11.24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8.99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9.91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6.22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21%</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17%</w:t>
                  </w:r>
                </w:p>
              </w:tc>
            </w:tr>
            <w:tr w:rsidR="00E95E51">
              <w:trPr>
                <w:trHeight w:val="27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国投瑞银</w:t>
                  </w:r>
                  <w:proofErr w:type="gramEnd"/>
                  <w:r>
                    <w:rPr>
                      <w:rFonts w:ascii="楷体" w:eastAsia="楷体" w:hAnsi="楷体" w:cs="宋体" w:hint="eastAsia"/>
                      <w:color w:val="000000"/>
                      <w:kern w:val="0"/>
                      <w:sz w:val="18"/>
                      <w:szCs w:val="18"/>
                    </w:rPr>
                    <w:t>新增长A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桑俊</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5.02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5.78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8.66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9.72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7.54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18%</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7%</w:t>
                  </w:r>
                </w:p>
              </w:tc>
            </w:tr>
            <w:tr w:rsidR="00E95E51">
              <w:trPr>
                <w:trHeight w:val="27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国富新机遇A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刘晓,王莉</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2.65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9.26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8.74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9.44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7.78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w:t>
                  </w:r>
                </w:p>
              </w:tc>
            </w:tr>
            <w:tr w:rsidR="00E95E51">
              <w:trPr>
                <w:trHeight w:val="27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鹏扬景</w:t>
                  </w:r>
                  <w:proofErr w:type="gramEnd"/>
                  <w:r>
                    <w:rPr>
                      <w:rFonts w:ascii="楷体" w:eastAsia="楷体" w:hAnsi="楷体" w:cs="宋体" w:hint="eastAsia"/>
                      <w:color w:val="000000"/>
                      <w:kern w:val="0"/>
                      <w:sz w:val="18"/>
                      <w:szCs w:val="18"/>
                    </w:rPr>
                    <w:t>兴A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罗成,</w:t>
                  </w:r>
                  <w:proofErr w:type="gramStart"/>
                  <w:r>
                    <w:rPr>
                      <w:rFonts w:ascii="楷体" w:eastAsia="楷体" w:hAnsi="楷体" w:cs="宋体" w:hint="eastAsia"/>
                      <w:color w:val="000000"/>
                      <w:kern w:val="0"/>
                      <w:sz w:val="18"/>
                      <w:szCs w:val="18"/>
                    </w:rPr>
                    <w:t>焦翠</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3.24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7.01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7.69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9.01</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5.30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10%</w:t>
                  </w:r>
                </w:p>
              </w:tc>
            </w:tr>
            <w:tr w:rsidR="00E95E51">
              <w:trPr>
                <w:trHeight w:val="27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中银丰利A</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杨成</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4.83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9.77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7.78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9.16</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5.39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13%</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13%</w:t>
                  </w:r>
                </w:p>
              </w:tc>
            </w:tr>
            <w:tr w:rsidR="00E95E51">
              <w:trPr>
                <w:trHeight w:val="27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华安安康A</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石雨欣,</w:t>
                  </w:r>
                  <w:proofErr w:type="gramStart"/>
                  <w:r>
                    <w:rPr>
                      <w:rFonts w:ascii="楷体" w:eastAsia="楷体" w:hAnsi="楷体" w:cs="宋体" w:hint="eastAsia"/>
                      <w:color w:val="000000"/>
                      <w:kern w:val="0"/>
                      <w:sz w:val="18"/>
                      <w:szCs w:val="18"/>
                    </w:rPr>
                    <w:t>陆奔</w:t>
                  </w:r>
                  <w:proofErr w:type="gramEnd"/>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5.36</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13.92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7.77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9.05</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6.41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11%</w:t>
                  </w:r>
                </w:p>
              </w:tc>
            </w:tr>
            <w:tr w:rsidR="00E95E51">
              <w:trPr>
                <w:trHeight w:val="270"/>
              </w:trPr>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长信改革红利</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proofErr w:type="gramStart"/>
                  <w:r>
                    <w:rPr>
                      <w:rFonts w:ascii="楷体" w:eastAsia="楷体" w:hAnsi="楷体" w:cs="宋体" w:hint="eastAsia"/>
                      <w:color w:val="000000"/>
                      <w:kern w:val="0"/>
                      <w:sz w:val="18"/>
                      <w:szCs w:val="18"/>
                    </w:rPr>
                    <w:t>黄韵</w:t>
                  </w:r>
                  <w:proofErr w:type="gramEnd"/>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6.65</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9.64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8.00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9.04</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5.76 </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w:t>
                  </w:r>
                </w:p>
              </w:tc>
              <w:tc>
                <w:tcPr>
                  <w:tcW w:w="0" w:type="auto"/>
                  <w:tcBorders>
                    <w:top w:val="nil"/>
                    <w:left w:val="nil"/>
                    <w:bottom w:val="nil"/>
                    <w:right w:val="single" w:sz="8" w:space="0" w:color="A6A6A6"/>
                  </w:tcBorders>
                  <w:shd w:val="clear" w:color="000000" w:fill="F2F2F2"/>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11%</w:t>
                  </w:r>
                </w:p>
              </w:tc>
            </w:tr>
            <w:tr w:rsidR="00E95E51">
              <w:trPr>
                <w:trHeight w:val="270"/>
              </w:trPr>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泰康安泰回报</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陈怡,任翀</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5.22</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7.24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7.31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8.04</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 xml:space="preserve">5.64 </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9%</w:t>
                  </w:r>
                </w:p>
              </w:tc>
              <w:tc>
                <w:tcPr>
                  <w:tcW w:w="0" w:type="auto"/>
                  <w:tcBorders>
                    <w:top w:val="nil"/>
                    <w:left w:val="nil"/>
                    <w:bottom w:val="nil"/>
                    <w:right w:val="single" w:sz="8" w:space="0" w:color="A6A6A6"/>
                  </w:tcBorders>
                  <w:shd w:val="clear" w:color="auto" w:fill="auto"/>
                  <w:noWrap/>
                  <w:vAlign w:val="center"/>
                </w:tcPr>
                <w:p w:rsidR="00E95E51" w:rsidRDefault="00502CD5">
                  <w:pPr>
                    <w:widowControl/>
                    <w:jc w:val="center"/>
                    <w:rPr>
                      <w:rFonts w:ascii="楷体" w:eastAsia="楷体" w:hAnsi="楷体" w:cs="宋体"/>
                      <w:color w:val="000000"/>
                      <w:kern w:val="0"/>
                      <w:sz w:val="18"/>
                      <w:szCs w:val="18"/>
                    </w:rPr>
                  </w:pPr>
                  <w:r>
                    <w:rPr>
                      <w:rFonts w:ascii="楷体" w:eastAsia="楷体" w:hAnsi="楷体" w:cs="宋体" w:hint="eastAsia"/>
                      <w:color w:val="000000"/>
                      <w:kern w:val="0"/>
                      <w:sz w:val="18"/>
                      <w:szCs w:val="18"/>
                    </w:rPr>
                    <w:t>8%</w:t>
                  </w:r>
                </w:p>
              </w:tc>
            </w:tr>
          </w:tbl>
          <w:p w:rsidR="00E95E51" w:rsidRDefault="00E95E51">
            <w:pPr>
              <w:tabs>
                <w:tab w:val="left" w:pos="600"/>
              </w:tabs>
              <w:adjustRightInd w:val="0"/>
              <w:snapToGrid w:val="0"/>
              <w:spacing w:line="24" w:lineRule="atLeast"/>
              <w:rPr>
                <w:rFonts w:ascii="楷体" w:eastAsia="楷体" w:hAnsi="楷体"/>
                <w:color w:val="000000" w:themeColor="text1"/>
                <w:sz w:val="18"/>
                <w:szCs w:val="18"/>
              </w:rPr>
            </w:pPr>
          </w:p>
        </w:tc>
      </w:tr>
    </w:tbl>
    <w:p w:rsidR="00E95E51" w:rsidRDefault="00502CD5">
      <w:pPr>
        <w:spacing w:line="24" w:lineRule="atLeast"/>
        <w:rPr>
          <w:rFonts w:ascii="楷体" w:eastAsia="楷体" w:hAnsi="楷体"/>
          <w:color w:val="000000" w:themeColor="text1"/>
          <w:sz w:val="18"/>
          <w:szCs w:val="18"/>
        </w:rPr>
      </w:pPr>
      <w:r>
        <w:rPr>
          <w:rFonts w:ascii="楷体" w:eastAsia="楷体" w:hAnsi="楷体" w:hint="eastAsia"/>
          <w:color w:val="000000" w:themeColor="text1"/>
          <w:sz w:val="18"/>
          <w:szCs w:val="18"/>
        </w:rPr>
        <w:t>数据来源：Wind，基</w:t>
      </w:r>
      <w:proofErr w:type="gramStart"/>
      <w:r>
        <w:rPr>
          <w:rFonts w:ascii="楷体" w:eastAsia="楷体" w:hAnsi="楷体" w:hint="eastAsia"/>
          <w:color w:val="000000" w:themeColor="text1"/>
          <w:sz w:val="18"/>
          <w:szCs w:val="18"/>
        </w:rPr>
        <w:t>煜</w:t>
      </w:r>
      <w:proofErr w:type="gramEnd"/>
      <w:r>
        <w:rPr>
          <w:rFonts w:ascii="楷体" w:eastAsia="楷体" w:hAnsi="楷体" w:hint="eastAsia"/>
          <w:color w:val="000000" w:themeColor="text1"/>
          <w:sz w:val="18"/>
          <w:szCs w:val="18"/>
        </w:rPr>
        <w:t>研究；数据区间：</w:t>
      </w:r>
      <w:r>
        <w:rPr>
          <w:rFonts w:ascii="楷体" w:eastAsia="楷体" w:hAnsi="楷体"/>
          <w:color w:val="000000" w:themeColor="text1"/>
          <w:sz w:val="18"/>
          <w:szCs w:val="18"/>
        </w:rPr>
        <w:t>2019.06.01–2021.06.01</w:t>
      </w:r>
    </w:p>
    <w:p w:rsidR="00E95E51" w:rsidRDefault="00502CD5">
      <w:pPr>
        <w:widowControl/>
        <w:jc w:val="left"/>
        <w:rPr>
          <w:rFonts w:ascii="楷体" w:eastAsia="楷体" w:hAnsi="楷体"/>
          <w:szCs w:val="21"/>
        </w:rPr>
      </w:pPr>
      <w:r>
        <w:rPr>
          <w:rFonts w:ascii="楷体" w:eastAsia="楷体" w:hAnsi="楷体" w:hint="eastAsia"/>
          <w:color w:val="000000" w:themeColor="text1"/>
          <w:sz w:val="18"/>
          <w:szCs w:val="18"/>
        </w:rPr>
        <w:t>风险提示：以上数据及信息仅供参考，产品过往业绩及其净值高低并不预示其未来业绩表现，基金管理人管理的其他基金的业绩并不构成基金业绩表现的保证，投资者应自主做出投资决策并自行承担投资风险。</w:t>
      </w:r>
    </w:p>
    <w:p w:rsidR="00E95E51" w:rsidRDefault="00502CD5">
      <w:pPr>
        <w:widowControl/>
        <w:jc w:val="left"/>
        <w:rPr>
          <w:rFonts w:eastAsia="华文细黑"/>
          <w:b/>
          <w:szCs w:val="21"/>
        </w:rPr>
      </w:pPr>
      <w:r>
        <w:br w:type="page"/>
      </w:r>
    </w:p>
    <w:p w:rsidR="00E95E51" w:rsidRDefault="00E95E51">
      <w:pPr>
        <w:pStyle w:val="a"/>
        <w:numPr>
          <w:ilvl w:val="0"/>
          <w:numId w:val="0"/>
        </w:numPr>
        <w:ind w:right="210"/>
      </w:pPr>
    </w:p>
    <w:p w:rsidR="00E95E51" w:rsidRDefault="00502CD5">
      <w:pPr>
        <w:pStyle w:val="11"/>
        <w:numPr>
          <w:ilvl w:val="0"/>
          <w:numId w:val="0"/>
        </w:numPr>
        <w:spacing w:before="240" w:after="240" w:line="24" w:lineRule="atLeast"/>
        <w:rPr>
          <w:rFonts w:ascii="楷体" w:eastAsia="楷体" w:hAnsi="楷体"/>
          <w:bCs w:val="0"/>
          <w:kern w:val="2"/>
          <w:sz w:val="24"/>
          <w:szCs w:val="24"/>
        </w:rPr>
      </w:pPr>
      <w:r>
        <w:rPr>
          <w:rFonts w:ascii="楷体" w:eastAsia="楷体" w:hAnsi="楷体" w:hint="eastAsia"/>
          <w:bCs w:val="0"/>
          <w:kern w:val="2"/>
          <w:sz w:val="24"/>
          <w:szCs w:val="24"/>
        </w:rPr>
        <w:t>风险提示：</w:t>
      </w:r>
    </w:p>
    <w:p w:rsidR="00E95E51" w:rsidRDefault="00502CD5">
      <w:pPr>
        <w:spacing w:before="240" w:after="240" w:line="24" w:lineRule="atLeast"/>
        <w:rPr>
          <w:rFonts w:ascii="楷体" w:eastAsia="楷体" w:hAnsi="楷体"/>
          <w:color w:val="000000" w:themeColor="text1"/>
          <w:szCs w:val="21"/>
        </w:rPr>
      </w:pPr>
      <w:r>
        <w:rPr>
          <w:rFonts w:ascii="楷体" w:eastAsia="楷体" w:hAnsi="楷体" w:hint="eastAsia"/>
          <w:color w:val="000000" w:themeColor="text1"/>
          <w:szCs w:val="21"/>
        </w:rPr>
        <w:t>基金投资有风险，在进行投资前请参阅基金的《基金合同》、《招募说明书》等法律文件。本资料仅供特定客户内部使用，不作为任何宣传推介、投资建议或保证，以及法律文件。基金管理人承诺以诚实信用、勤勉尽责的原则管理和运作基金资产，但不保证基金一定盈利，也不保证最低收益，同时基金的过往业绩及其净值高低并不预示其未来业绩表现，基金管理人管理的其他基金的业绩并不构成基金业绩表现的保证，投资者应自主做出投资决策并自行承担投资风险。投资者购买货币市场基金并不等于将基金作为存款存放在银行或者存款类金融机构。代销机构不承担产品的投资、兑付和风险管理责任。基金有风险，投资需谨慎。</w:t>
      </w:r>
    </w:p>
    <w:p w:rsidR="00E95E51" w:rsidRDefault="00502CD5">
      <w:pPr>
        <w:pStyle w:val="11"/>
        <w:numPr>
          <w:ilvl w:val="0"/>
          <w:numId w:val="0"/>
        </w:numPr>
        <w:spacing w:before="240" w:after="240" w:line="24" w:lineRule="atLeast"/>
        <w:rPr>
          <w:rFonts w:ascii="楷体" w:eastAsia="楷体" w:hAnsi="楷体"/>
          <w:bCs w:val="0"/>
          <w:kern w:val="2"/>
          <w:sz w:val="24"/>
          <w:szCs w:val="24"/>
        </w:rPr>
      </w:pPr>
      <w:r>
        <w:rPr>
          <w:rFonts w:ascii="楷体" w:eastAsia="楷体" w:hAnsi="楷体" w:hint="eastAsia"/>
          <w:bCs w:val="0"/>
          <w:kern w:val="2"/>
          <w:sz w:val="24"/>
          <w:szCs w:val="24"/>
        </w:rPr>
        <w:t>重要声明：</w:t>
      </w:r>
    </w:p>
    <w:p w:rsidR="00E95E51" w:rsidRDefault="00502CD5">
      <w:pPr>
        <w:spacing w:before="240" w:after="240" w:line="24" w:lineRule="atLeast"/>
        <w:rPr>
          <w:rFonts w:ascii="楷体" w:eastAsia="楷体" w:hAnsi="楷体"/>
          <w:color w:val="000000" w:themeColor="text1"/>
          <w:szCs w:val="21"/>
        </w:rPr>
      </w:pPr>
      <w:r>
        <w:rPr>
          <w:rFonts w:ascii="楷体" w:eastAsia="楷体" w:hAnsi="楷体" w:hint="eastAsia"/>
          <w:color w:val="000000" w:themeColor="text1"/>
          <w:szCs w:val="21"/>
        </w:rPr>
        <w:t>本报告由上海基</w:t>
      </w:r>
      <w:proofErr w:type="gramStart"/>
      <w:r>
        <w:rPr>
          <w:rFonts w:ascii="楷体" w:eastAsia="楷体" w:hAnsi="楷体" w:hint="eastAsia"/>
          <w:color w:val="000000" w:themeColor="text1"/>
          <w:szCs w:val="21"/>
        </w:rPr>
        <w:t>煜</w:t>
      </w:r>
      <w:proofErr w:type="gramEnd"/>
      <w:r>
        <w:rPr>
          <w:rFonts w:ascii="楷体" w:eastAsia="楷体" w:hAnsi="楷体" w:hint="eastAsia"/>
          <w:color w:val="000000" w:themeColor="text1"/>
          <w:szCs w:val="21"/>
        </w:rPr>
        <w:t>基金销售有限公司（以下简称“基煜基金”）编制，旨为发给基</w:t>
      </w:r>
      <w:proofErr w:type="gramStart"/>
      <w:r>
        <w:rPr>
          <w:rFonts w:ascii="楷体" w:eastAsia="楷体" w:hAnsi="楷体" w:hint="eastAsia"/>
          <w:color w:val="000000" w:themeColor="text1"/>
          <w:szCs w:val="21"/>
        </w:rPr>
        <w:t>煜</w:t>
      </w:r>
      <w:proofErr w:type="gramEnd"/>
      <w:r>
        <w:rPr>
          <w:rFonts w:ascii="楷体" w:eastAsia="楷体" w:hAnsi="楷体" w:hint="eastAsia"/>
          <w:color w:val="000000" w:themeColor="text1"/>
          <w:szCs w:val="21"/>
        </w:rPr>
        <w:t>基金特定客户及其他专业人士内部参考。本报告基于合法取得的信息，但基</w:t>
      </w:r>
      <w:proofErr w:type="gramStart"/>
      <w:r>
        <w:rPr>
          <w:rFonts w:ascii="楷体" w:eastAsia="楷体" w:hAnsi="楷体" w:hint="eastAsia"/>
          <w:color w:val="000000" w:themeColor="text1"/>
          <w:szCs w:val="21"/>
        </w:rPr>
        <w:t>煜</w:t>
      </w:r>
      <w:proofErr w:type="gramEnd"/>
      <w:r>
        <w:rPr>
          <w:rFonts w:ascii="楷体" w:eastAsia="楷体" w:hAnsi="楷体" w:hint="eastAsia"/>
          <w:color w:val="000000" w:themeColor="text1"/>
          <w:szCs w:val="21"/>
        </w:rPr>
        <w:t>基金对这些信息的准确性和完整性不作任何保证。本报告所包含的分析基于各种假设，不同假设可能导致分析结果出现重大不同。在任何情况下，本报告中的信息或所表述的意见并不构成对任何人的投资建议。除法律或规则规定必须承担的责任外，基</w:t>
      </w:r>
      <w:proofErr w:type="gramStart"/>
      <w:r>
        <w:rPr>
          <w:rFonts w:ascii="楷体" w:eastAsia="楷体" w:hAnsi="楷体" w:hint="eastAsia"/>
          <w:color w:val="000000" w:themeColor="text1"/>
          <w:szCs w:val="21"/>
        </w:rPr>
        <w:t>煜</w:t>
      </w:r>
      <w:proofErr w:type="gramEnd"/>
      <w:r>
        <w:rPr>
          <w:rFonts w:ascii="楷体" w:eastAsia="楷体" w:hAnsi="楷体" w:hint="eastAsia"/>
          <w:color w:val="000000" w:themeColor="text1"/>
          <w:szCs w:val="21"/>
        </w:rPr>
        <w:t>基金不对使用本报告及其内容所引发的任何直接或间接损失负任何责任。本报告版权归基</w:t>
      </w:r>
      <w:proofErr w:type="gramStart"/>
      <w:r>
        <w:rPr>
          <w:rFonts w:ascii="楷体" w:eastAsia="楷体" w:hAnsi="楷体" w:hint="eastAsia"/>
          <w:color w:val="000000" w:themeColor="text1"/>
          <w:szCs w:val="21"/>
        </w:rPr>
        <w:t>煜</w:t>
      </w:r>
      <w:proofErr w:type="gramEnd"/>
      <w:r>
        <w:rPr>
          <w:rFonts w:ascii="楷体" w:eastAsia="楷体" w:hAnsi="楷体" w:hint="eastAsia"/>
          <w:color w:val="000000" w:themeColor="text1"/>
          <w:szCs w:val="21"/>
        </w:rPr>
        <w:t>基金所有。未经基</w:t>
      </w:r>
      <w:proofErr w:type="gramStart"/>
      <w:r>
        <w:rPr>
          <w:rFonts w:ascii="楷体" w:eastAsia="楷体" w:hAnsi="楷体" w:hint="eastAsia"/>
          <w:color w:val="000000" w:themeColor="text1"/>
          <w:szCs w:val="21"/>
        </w:rPr>
        <w:t>煜</w:t>
      </w:r>
      <w:proofErr w:type="gramEnd"/>
      <w:r>
        <w:rPr>
          <w:rFonts w:ascii="楷体" w:eastAsia="楷体" w:hAnsi="楷体" w:hint="eastAsia"/>
          <w:color w:val="000000" w:themeColor="text1"/>
          <w:szCs w:val="21"/>
        </w:rPr>
        <w:t>基金事先书面许可，任何机构和个人均不得以任何形式翻版、复制、引用、转载或其他任何形式的流传，否则，基</w:t>
      </w:r>
      <w:proofErr w:type="gramStart"/>
      <w:r>
        <w:rPr>
          <w:rFonts w:ascii="楷体" w:eastAsia="楷体" w:hAnsi="楷体" w:hint="eastAsia"/>
          <w:color w:val="000000" w:themeColor="text1"/>
          <w:szCs w:val="21"/>
        </w:rPr>
        <w:t>煜</w:t>
      </w:r>
      <w:proofErr w:type="gramEnd"/>
      <w:r>
        <w:rPr>
          <w:rFonts w:ascii="楷体" w:eastAsia="楷体" w:hAnsi="楷体" w:hint="eastAsia"/>
          <w:color w:val="000000" w:themeColor="text1"/>
          <w:szCs w:val="21"/>
        </w:rPr>
        <w:t>基金将保留随时追究其法律责任的权利。</w:t>
      </w:r>
    </w:p>
    <w:p w:rsidR="00E95E51" w:rsidRDefault="00E95E51">
      <w:pPr>
        <w:pStyle w:val="a"/>
        <w:numPr>
          <w:ilvl w:val="0"/>
          <w:numId w:val="0"/>
        </w:numPr>
        <w:ind w:right="210"/>
        <w:rPr>
          <w:rFonts w:ascii="楷体" w:eastAsia="楷体" w:hAnsi="楷体"/>
          <w:b w:val="0"/>
        </w:rPr>
      </w:pPr>
    </w:p>
    <w:sectPr w:rsidR="00E95E51">
      <w:headerReference w:type="default" r:id="rId21"/>
      <w:footerReference w:type="default" r:id="rId22"/>
      <w:pgSz w:w="11906" w:h="16838"/>
      <w:pgMar w:top="1440" w:right="1080" w:bottom="1440" w:left="1080"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A6F" w:rsidRDefault="00957A6F">
      <w:r>
        <w:separator/>
      </w:r>
    </w:p>
  </w:endnote>
  <w:endnote w:type="continuationSeparator" w:id="0">
    <w:p w:rsidR="00957A6F" w:rsidRDefault="0095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阿里巴巴普惠体 L">
    <w:altName w:val="宋体"/>
    <w:charset w:val="86"/>
    <w:family w:val="roman"/>
    <w:pitch w:val="default"/>
    <w:sig w:usb0="00000000" w:usb1="00000000" w:usb2="0000001E"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875809"/>
      <w:docPartObj>
        <w:docPartGallery w:val="AutoText"/>
      </w:docPartObj>
    </w:sdtPr>
    <w:sdtEndPr>
      <w:rPr>
        <w:color w:val="8A5D33"/>
      </w:rPr>
    </w:sdtEndPr>
    <w:sdtContent>
      <w:sdt>
        <w:sdtPr>
          <w:id w:val="-1769616900"/>
          <w:docPartObj>
            <w:docPartGallery w:val="AutoText"/>
          </w:docPartObj>
        </w:sdtPr>
        <w:sdtEndPr>
          <w:rPr>
            <w:color w:val="8A5D33"/>
          </w:rPr>
        </w:sdtEndPr>
        <w:sdtContent>
          <w:p w:rsidR="00E95E51" w:rsidRDefault="00502CD5">
            <w:pPr>
              <w:pStyle w:val="ad"/>
              <w:jc w:val="right"/>
              <w:rPr>
                <w:b/>
                <w:bCs/>
                <w:color w:val="8A5D33"/>
                <w:sz w:val="24"/>
                <w:szCs w:val="24"/>
              </w:rPr>
            </w:pP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simplePos x="0" y="0"/>
                      <wp:positionH relativeFrom="column">
                        <wp:posOffset>-23495</wp:posOffset>
                      </wp:positionH>
                      <wp:positionV relativeFrom="paragraph">
                        <wp:posOffset>51435</wp:posOffset>
                      </wp:positionV>
                      <wp:extent cx="2874645" cy="340360"/>
                      <wp:effectExtent l="0" t="0" r="0" b="3175"/>
                      <wp:wrapNone/>
                      <wp:docPr id="15" name="矩形 15"/>
                      <wp:cNvGraphicFramePr/>
                      <a:graphic xmlns:a="http://schemas.openxmlformats.org/drawingml/2006/main">
                        <a:graphicData uri="http://schemas.microsoft.com/office/word/2010/wordprocessingShape">
                          <wps:wsp>
                            <wps:cNvSpPr/>
                            <wps:spPr>
                              <a:xfrm>
                                <a:off x="0" y="0"/>
                                <a:ext cx="2874874" cy="3401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5E51" w:rsidRDefault="00502CD5">
                                  <w:pPr>
                                    <w:rPr>
                                      <w:rFonts w:ascii="黑体" w:eastAsia="黑体" w:cs="黑体"/>
                                      <w:color w:val="C00000"/>
                                      <w:kern w:val="0"/>
                                      <w:sz w:val="13"/>
                                      <w:szCs w:val="21"/>
                                    </w:rPr>
                                  </w:pPr>
                                  <w:r>
                                    <w:rPr>
                                      <w:rFonts w:ascii="黑体" w:eastAsia="黑体" w:cs="黑体" w:hint="eastAsia"/>
                                      <w:color w:val="C00000"/>
                                      <w:kern w:val="0"/>
                                      <w:sz w:val="13"/>
                                      <w:szCs w:val="21"/>
                                    </w:rPr>
                                    <w:t>客服资讯，非宣</w:t>
                                  </w:r>
                                  <w:proofErr w:type="gramStart"/>
                                  <w:r>
                                    <w:rPr>
                                      <w:rFonts w:ascii="黑体" w:eastAsia="黑体" w:cs="黑体" w:hint="eastAsia"/>
                                      <w:color w:val="C00000"/>
                                      <w:kern w:val="0"/>
                                      <w:sz w:val="13"/>
                                      <w:szCs w:val="21"/>
                                    </w:rPr>
                                    <w:t>介</w:t>
                                  </w:r>
                                  <w:proofErr w:type="gramEnd"/>
                                  <w:r>
                                    <w:rPr>
                                      <w:rFonts w:ascii="黑体" w:eastAsia="黑体" w:cs="黑体" w:hint="eastAsia"/>
                                      <w:color w:val="C00000"/>
                                      <w:kern w:val="0"/>
                                      <w:sz w:val="13"/>
                                      <w:szCs w:val="21"/>
                                    </w:rPr>
                                    <w:t>材料</w:t>
                                  </w:r>
                                  <w:r>
                                    <w:rPr>
                                      <w:rFonts w:ascii="黑体" w:eastAsia="黑体" w:cs="黑体"/>
                                      <w:color w:val="C00000"/>
                                      <w:kern w:val="0"/>
                                      <w:sz w:val="13"/>
                                      <w:szCs w:val="21"/>
                                    </w:rPr>
                                    <w:t>，仅供特定客户参考，请勿外</w:t>
                                  </w:r>
                                  <w:r>
                                    <w:rPr>
                                      <w:rFonts w:ascii="黑体" w:eastAsia="黑体" w:cs="黑体" w:hint="eastAsia"/>
                                      <w:color w:val="C00000"/>
                                      <w:kern w:val="0"/>
                                      <w:sz w:val="13"/>
                                      <w:szCs w:val="21"/>
                                    </w:rPr>
                                    <w:t>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85pt;margin-top:4.05pt;height:26.8pt;width:226.35pt;z-index:251660288;v-text-anchor:middle;mso-width-relative:page;mso-height-relative:page;" filled="f" stroked="f" coordsize="21600,21600" o:gfxdata="UEsDBAoAAAAAAIdO4kAAAAAAAAAAAAAAAAAEAAAAZHJzL1BLAwQUAAAACACHTuJA+Zh229YAAAAH&#10;AQAADwAAAGRycy9kb3ducmV2LnhtbE2PQUvDQBSE74L/YXmCt3YTLW2aZlNQEJEexKr3ze5rEsy+&#10;DdlN0v57nyd7HGaY+abYn10nJhxC60lBukxAIBlvW6oVfH2+LDIQIWqyuvOECi4YYF/e3hQ6t36m&#10;D5yOsRZcQiHXCpoY+1zKYBp0Oix9j8TeyQ9OR5ZDLe2gZy53nXxIkrV0uiVeaHSPzw2an+PoFHz7&#10;09PsTEVv0+W9HV8PgzHZQan7uzTZgYh4jv9h+MNndCiZqfIj2SA6BYvHDScVZCkItlerLV+rFKzT&#10;DciykNf85S9QSwMEFAAAAAgAh07iQEZ5ic5gAgAArwQAAA4AAABkcnMvZTJvRG9jLnhtbK1UzW4T&#10;MRC+I/EOlu90NyElJeqmihoFIVU0UkCcHa+dteQ/bCeb8jJI3HgIHgfxGnze3bZR4dADUbQZe2a/&#10;mfnmm1xeHY0mBxGicraio7OSEmG5q5XdVfTTx9WrC0piYrZm2llR0TsR6dX85YvL1s/E2DVO1yIQ&#10;gNg4a31Fm5T8rCgib4Rh8cx5YeGULhiWcAy7og6sBbrRxbgs3xStC7UPjosYcbvsnXRADM8BdFIq&#10;LpaO742wqUcNQrOElmKjfKTzrlopBU+3UkaRiK4oOk3dE0lgb/OzmF+y2S4w3yg+lMCeU8KTngxT&#10;FkkfoJYsMbIP6i8oo3hw0cl0xp0p+kY6RtDFqHzCzaZhXnS9gOroH0iP/w+WfzisA1E1lHBOiWUG&#10;E//97cevn98JLsBO6+MMQRu/DsMpwsytHmUw+RdNkGPH6N0Do+KYCMfl+GI6wZcSDt/rSTk6n2bQ&#10;4vFtH2J6J5wh2ahowMQ6ItnhJqY+9D4kJ7NupbTGPZtpS1qUPZ6WGCZnkKKEBGAaj3ai3VHC9A4a&#10;5yl0kCfvZsgliw05MAgjOq3qXgpGJahbK1PRizJ/hnK1RdWZi777bKXj9jhQsnX1HWgMrtdX9Hyl&#10;kOGGxbRmAYJChVi5dIuH1A5lu8GipHHh67/uczzmDC8lLQSKMr/sWRCU6PcWCng7mkyyorvD5Hw6&#10;xiGceranHrs31w6tjrDcnndmjk/63pTBmc/YzEXOChezHLl78obDdeoXB7vNxWLRhUHFnqUbu/E8&#10;g/cjWuyTk6qbXiaqZ2fgDzru5j/sXF6U03MX9fg/M/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Zh229YAAAAHAQAADwAAAAAAAAABACAAAAAiAAAAZHJzL2Rvd25yZXYueG1sUEsBAhQAFAAAAAgA&#10;h07iQEZ5ic5gAgAArwQAAA4AAAAAAAAAAQAgAAAAJQEAAGRycy9lMm9Eb2MueG1sUEsFBgAAAAAG&#10;AAYAWQEAAPcFAAAAAA==&#10;">
                      <v:fill on="f" focussize="0,0"/>
                      <v:stroke on="f" weight="1pt" miterlimit="8" joinstyle="miter"/>
                      <v:imagedata o:title=""/>
                      <o:lock v:ext="edit" aspectratio="f"/>
                      <v:textbox>
                        <w:txbxContent>
                          <w:p>
                            <w:pPr>
                              <w:rPr>
                                <w:rFonts w:ascii="黑体" w:eastAsia="黑体" w:cs="黑体"/>
                                <w:color w:val="C00000"/>
                                <w:kern w:val="0"/>
                                <w:sz w:val="13"/>
                                <w:szCs w:val="21"/>
                              </w:rPr>
                            </w:pPr>
                            <w:r>
                              <w:rPr>
                                <w:rFonts w:hint="eastAsia" w:ascii="黑体" w:eastAsia="黑体" w:cs="黑体"/>
                                <w:color w:val="C00000"/>
                                <w:kern w:val="0"/>
                                <w:sz w:val="13"/>
                                <w:szCs w:val="21"/>
                              </w:rPr>
                              <w:t>客服资讯，非宣介材料</w:t>
                            </w:r>
                            <w:r>
                              <w:rPr>
                                <w:rFonts w:ascii="黑体" w:eastAsia="黑体" w:cs="黑体"/>
                                <w:color w:val="C00000"/>
                                <w:kern w:val="0"/>
                                <w:sz w:val="13"/>
                                <w:szCs w:val="21"/>
                              </w:rPr>
                              <w:t>，仅供特定客户参考，请勿外</w:t>
                            </w:r>
                            <w:r>
                              <w:rPr>
                                <w:rFonts w:hint="eastAsia" w:ascii="黑体" w:eastAsia="黑体" w:cs="黑体"/>
                                <w:color w:val="C00000"/>
                                <w:kern w:val="0"/>
                                <w:sz w:val="13"/>
                                <w:szCs w:val="21"/>
                              </w:rPr>
                              <w:t>传。</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47625</wp:posOffset>
                      </wp:positionV>
                      <wp:extent cx="5813425" cy="45720"/>
                      <wp:effectExtent l="0" t="0" r="0" b="0"/>
                      <wp:wrapNone/>
                      <wp:docPr id="8" name="矩形 8"/>
                      <wp:cNvGraphicFramePr/>
                      <a:graphic xmlns:a="http://schemas.openxmlformats.org/drawingml/2006/main">
                        <a:graphicData uri="http://schemas.microsoft.com/office/word/2010/wordprocessingShape">
                          <wps:wsp>
                            <wps:cNvSpPr/>
                            <wps:spPr>
                              <a:xfrm>
                                <a:off x="0" y="0"/>
                                <a:ext cx="5813425" cy="45719"/>
                              </a:xfrm>
                              <a:prstGeom prst="rect">
                                <a:avLst/>
                              </a:prstGeom>
                              <a:solidFill>
                                <a:srgbClr val="BE96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pt;margin-top:3.75pt;height:3.6pt;width:457.75pt;z-index:251659264;v-text-anchor:middle;mso-width-relative:page;mso-height-relative:page;" fillcolor="#BE966E" filled="t" stroked="f" coordsize="21600,21600" o:gfxdata="UEsDBAoAAAAAAIdO4kAAAAAAAAAAAAAAAAAEAAAAZHJzL1BLAwQUAAAACACHTuJAXNWLrdUAAAAF&#10;AQAADwAAAGRycy9kb3ducmV2LnhtbE2PvU7DQBCEeyTe4bRIdORsiDExPqdAoqEAklBAt/FtbCu+&#10;PeO7/PjtWSroZjWjmW/L5dn16khj6DwbSGcJKOLa244bAx+b55sHUCEiW+w9k4GJAiyry4sSC+tP&#10;vKLjOjZKSjgUaKCNcSi0DnVLDsPMD8Ti7fzoMMo5NtqOeJJy1+vbJLnXDjuWhRYHemqp3q8PzsDm&#10;hRavdbZ7+5qyuZv23/4uf/805voqTR5BRTrHvzD84gs6VMK09Qe2QfUG5JFoIM9AiblIMxFbSc1z&#10;0FWp/9NXP1BLAwQUAAAACACHTuJA4rKWZ2wCAADKBAAADgAAAGRycy9lMm9Eb2MueG1srVTNbhMx&#10;EL4j8Q6W73STkP6tuqlC0yKkilYqiLPj9WYt+Q/byaa8DBI3HoLHQbwGn73bJhQOPZCDM+OZfOP5&#10;5pucnW+1Ihvhg7SmouODESXCcFtLs6roxw9Xr04oCZGZmilrREXvRaDns5cvzjpXioltraqFJwAx&#10;oexcRdsYXVkUgbdCs3BgnTAINtZrFuH6VVF71gFdq2IyGh0VnfW185aLEHC76IN0QPTPAbRNI7lY&#10;WL7WwsQe1QvFIloKrXSBzvJrm0bweNM0QUSiKopOYz5RBPYyncXsjJUrz1wr+fAE9pwnPOlJM2lQ&#10;9BFqwSIjay//gtKSextsEw+41UXfSGYEXYxHT7i5a5kTuRdQHdwj6eH/wfL3m1tPZF1RjN0wjYH/&#10;+vr9549v5CRx07lQIuXO3frBCzBTo9vG6/SNFsg283n/yKfYRsJxeXgyfj2dHFLCEZseHo9PE2ax&#10;+7HzIb4VVpNkVNRjXJlFtrkOsU99SEm1glWyvpJKZcevlhfKkw3DaN9cnh4dXQ7of6QpQzrIfHI8&#10;wsg5g2AbCAWmdmg6mBUlTK2wCTz6XNvYVAHFWZlqL1ho+xoZNpVgpZYRO6CkBm2j9BkqK4P2Emc9&#10;S8la2voeDHvbSy84fiUBe81CvGUeWsOzsI3xBkejLN5qB4uS1vov/7pP+ZAAopR00C76+LxmXlCi&#10;3hmI43Q8nSaxZwe8T+D4/chyP2LW+sKCwzH23vFspvyoHszGW/0JSztPVRFihqN2z9jgXMR+p7D2&#10;XMznOQ0CdyxemzvHE3jizdj5OtpG5tnu2BlIg8SzOoZ1TDu07+es3V/Q7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c1Yut1QAAAAUBAAAPAAAAAAAAAAEAIAAAACIAAABkcnMvZG93bnJldi54bWxQ&#10;SwECFAAUAAAACACHTuJA4rKWZ2wCAADKBAAADgAAAAAAAAABACAAAAAkAQAAZHJzL2Uyb0RvYy54&#10;bWxQSwUGAAAAAAYABgBZAQAAAgYAAAAA&#10;">
                      <v:fill on="t" focussize="0,0"/>
                      <v:stroke on="f" weight="1pt" miterlimit="8" joinstyle="miter"/>
                      <v:imagedata o:title=""/>
                      <o:lock v:ext="edit" aspectratio="f"/>
                    </v:rect>
                  </w:pict>
                </mc:Fallback>
              </mc:AlternateContent>
            </w:r>
            <w:r>
              <w:rPr>
                <w:lang w:val="zh-CN"/>
              </w:rPr>
              <w:t xml:space="preserve"> </w:t>
            </w:r>
            <w:r>
              <w:rPr>
                <w:b/>
                <w:bCs/>
                <w:color w:val="8A5D33"/>
                <w:sz w:val="24"/>
                <w:szCs w:val="24"/>
              </w:rPr>
              <w:fldChar w:fldCharType="begin"/>
            </w:r>
            <w:r>
              <w:rPr>
                <w:b/>
                <w:bCs/>
                <w:color w:val="8A5D33"/>
              </w:rPr>
              <w:instrText>PAGE</w:instrText>
            </w:r>
            <w:r>
              <w:rPr>
                <w:b/>
                <w:bCs/>
                <w:color w:val="8A5D33"/>
                <w:sz w:val="24"/>
                <w:szCs w:val="24"/>
              </w:rPr>
              <w:fldChar w:fldCharType="separate"/>
            </w:r>
            <w:r w:rsidR="000F0520">
              <w:rPr>
                <w:b/>
                <w:bCs/>
                <w:noProof/>
                <w:color w:val="8A5D33"/>
              </w:rPr>
              <w:t>13</w:t>
            </w:r>
            <w:r>
              <w:rPr>
                <w:b/>
                <w:bCs/>
                <w:color w:val="8A5D33"/>
                <w:sz w:val="24"/>
                <w:szCs w:val="24"/>
              </w:rPr>
              <w:fldChar w:fldCharType="end"/>
            </w:r>
            <w:r>
              <w:rPr>
                <w:color w:val="8A5D33"/>
                <w:lang w:val="zh-CN"/>
              </w:rPr>
              <w:t xml:space="preserve"> / </w:t>
            </w:r>
            <w:r>
              <w:rPr>
                <w:b/>
                <w:bCs/>
                <w:color w:val="8A5D33"/>
                <w:sz w:val="24"/>
                <w:szCs w:val="24"/>
              </w:rPr>
              <w:fldChar w:fldCharType="begin"/>
            </w:r>
            <w:r>
              <w:rPr>
                <w:b/>
                <w:bCs/>
                <w:color w:val="8A5D33"/>
              </w:rPr>
              <w:instrText>NUMPAGES</w:instrText>
            </w:r>
            <w:r>
              <w:rPr>
                <w:b/>
                <w:bCs/>
                <w:color w:val="8A5D33"/>
                <w:sz w:val="24"/>
                <w:szCs w:val="24"/>
              </w:rPr>
              <w:fldChar w:fldCharType="separate"/>
            </w:r>
            <w:r w:rsidR="000F0520">
              <w:rPr>
                <w:b/>
                <w:bCs/>
                <w:noProof/>
                <w:color w:val="8A5D33"/>
              </w:rPr>
              <w:t>13</w:t>
            </w:r>
            <w:r>
              <w:rPr>
                <w:b/>
                <w:bCs/>
                <w:color w:val="8A5D33"/>
                <w:sz w:val="24"/>
                <w:szCs w:val="24"/>
              </w:rPr>
              <w:fldChar w:fldCharType="end"/>
            </w:r>
          </w:p>
          <w:p w:rsidR="00E95E51" w:rsidRDefault="00502CD5">
            <w:pPr>
              <w:pStyle w:val="ad"/>
              <w:tabs>
                <w:tab w:val="left" w:pos="6919"/>
                <w:tab w:val="right" w:pos="9026"/>
              </w:tabs>
              <w:rPr>
                <w:color w:val="8A5D33"/>
              </w:rPr>
            </w:pPr>
            <w:r>
              <w:rPr>
                <w:color w:val="8A5D33"/>
              </w:rPr>
              <w:tab/>
            </w:r>
            <w:r>
              <w:rPr>
                <w:color w:val="8A5D33"/>
              </w:rPr>
              <w:tab/>
            </w:r>
            <w:r>
              <w:rPr>
                <w:color w:val="8A5D33"/>
              </w:rPr>
              <w:tab/>
            </w:r>
            <w:r>
              <w:rPr>
                <w:color w:val="8A5D33"/>
              </w:rPr>
              <w:tab/>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A6F" w:rsidRDefault="00957A6F">
      <w:r>
        <w:separator/>
      </w:r>
    </w:p>
  </w:footnote>
  <w:footnote w:type="continuationSeparator" w:id="0">
    <w:p w:rsidR="00957A6F" w:rsidRDefault="00957A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E51" w:rsidRDefault="00502CD5">
    <w:pPr>
      <w:pStyle w:val="2"/>
      <w:numPr>
        <w:ilvl w:val="0"/>
        <w:numId w:val="0"/>
      </w:numPr>
      <w:tabs>
        <w:tab w:val="left" w:pos="1215"/>
        <w:tab w:val="left" w:pos="1964"/>
      </w:tabs>
      <w:spacing w:before="0" w:after="0"/>
      <w:rPr>
        <w:rFonts w:ascii="华文细黑" w:hAnsi="华文细黑"/>
      </w:rPr>
    </w:pPr>
    <w:r>
      <w:rPr>
        <w:noProof/>
      </w:rPr>
      <mc:AlternateContent>
        <mc:Choice Requires="wps">
          <w:drawing>
            <wp:anchor distT="45720" distB="45720" distL="114300" distR="114300" simplePos="0" relativeHeight="251663360" behindDoc="0" locked="0" layoutInCell="1" allowOverlap="1">
              <wp:simplePos x="0" y="0"/>
              <wp:positionH relativeFrom="margin">
                <wp:posOffset>2247900</wp:posOffset>
              </wp:positionH>
              <wp:positionV relativeFrom="paragraph">
                <wp:posOffset>-97790</wp:posOffset>
              </wp:positionV>
              <wp:extent cx="3943350" cy="285750"/>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285750"/>
                      </a:xfrm>
                      <a:prstGeom prst="rect">
                        <a:avLst/>
                      </a:prstGeom>
                      <a:noFill/>
                      <a:ln w="9525">
                        <a:noFill/>
                        <a:miter lim="800000"/>
                      </a:ln>
                    </wps:spPr>
                    <wps:txbx>
                      <w:txbxContent>
                        <w:p w:rsidR="00E95E51" w:rsidRDefault="00502CD5">
                          <w:pPr>
                            <w:spacing w:line="360" w:lineRule="auto"/>
                            <w:ind w:firstLineChars="50" w:firstLine="120"/>
                            <w:jc w:val="right"/>
                            <w:rPr>
                              <w:rFonts w:ascii="楷体" w:eastAsia="楷体" w:hAnsi="楷体" w:cs="阿里巴巴普惠体 L"/>
                              <w:b/>
                              <w:color w:val="000000" w:themeColor="text1"/>
                              <w:sz w:val="22"/>
                              <w:szCs w:val="32"/>
                            </w:rPr>
                          </w:pPr>
                          <w:r>
                            <w:rPr>
                              <w:rFonts w:ascii="楷体" w:eastAsia="楷体" w:hAnsi="楷体" w:cs="阿里巴巴普惠体 L" w:hint="eastAsia"/>
                              <w:b/>
                              <w:color w:val="000000" w:themeColor="text1"/>
                              <w:sz w:val="24"/>
                              <w:szCs w:val="32"/>
                            </w:rPr>
                            <w:t>基金研究专题 |</w:t>
                          </w:r>
                          <w:r>
                            <w:rPr>
                              <w:rFonts w:ascii="楷体" w:eastAsia="楷体" w:hAnsi="楷体" w:cs="阿里巴巴普惠体 L"/>
                              <w:b/>
                              <w:color w:val="000000" w:themeColor="text1"/>
                              <w:sz w:val="24"/>
                              <w:szCs w:val="32"/>
                            </w:rPr>
                            <w:t xml:space="preserve"> </w:t>
                          </w:r>
                          <w:r>
                            <w:rPr>
                              <w:rFonts w:ascii="楷体" w:eastAsia="楷体" w:hAnsi="楷体" w:cs="阿里巴巴普惠体 L" w:hint="eastAsia"/>
                              <w:b/>
                              <w:color w:val="000000" w:themeColor="text1"/>
                              <w:sz w:val="22"/>
                              <w:szCs w:val="32"/>
                            </w:rPr>
                            <w:t>2</w:t>
                          </w:r>
                          <w:r>
                            <w:rPr>
                              <w:rFonts w:ascii="楷体" w:eastAsia="楷体" w:hAnsi="楷体" w:cs="阿里巴巴普惠体 L"/>
                              <w:b/>
                              <w:color w:val="000000" w:themeColor="text1"/>
                              <w:sz w:val="22"/>
                              <w:szCs w:val="32"/>
                            </w:rPr>
                            <w:t>021年7月19日</w:t>
                          </w:r>
                        </w:p>
                        <w:p w:rsidR="00E95E51" w:rsidRDefault="00E95E51">
                          <w:pPr>
                            <w:spacing w:line="360" w:lineRule="auto"/>
                            <w:ind w:firstLineChars="50" w:firstLine="120"/>
                            <w:jc w:val="right"/>
                            <w:rPr>
                              <w:rFonts w:ascii="阿里巴巴普惠体 L" w:eastAsia="阿里巴巴普惠体 L" w:hAnsi="阿里巴巴普惠体 L" w:cs="阿里巴巴普惠体 L"/>
                              <w:b/>
                              <w:color w:val="000000" w:themeColor="text1"/>
                              <w:sz w:val="24"/>
                              <w:szCs w:val="32"/>
                            </w:rPr>
                          </w:pPr>
                        </w:p>
                        <w:p w:rsidR="00E95E51" w:rsidRDefault="00E95E51">
                          <w:pPr>
                            <w:jc w:val="right"/>
                            <w:rPr>
                              <w:color w:val="000000" w:themeColor="text1"/>
                              <w:sz w:val="24"/>
                            </w:rPr>
                          </w:pPr>
                        </w:p>
                      </w:txbxContent>
                    </wps:txbx>
                    <wps:bodyPr rot="0" vert="horz" wrap="square" lIns="0" tIns="0" rIns="0" bIns="0" anchor="t" anchorCtr="0">
                      <a:noAutofit/>
                    </wps:bodyPr>
                  </wps:wsp>
                </a:graphicData>
              </a:graphic>
            </wp:anchor>
          </w:drawing>
        </mc:Choice>
        <mc:Fallback xmlns:wpsCustomData="http://www.wps.cn/officeDocument/2013/wpsCustomData">
          <w:pict>
            <v:shape id="文本框 2" o:spid="_x0000_s1026" o:spt="202" type="#_x0000_t202" style="position:absolute;left:0pt;margin-left:177pt;margin-top:-7.7pt;height:22.5pt;width:310.5pt;mso-position-horizontal-relative:margin;z-index:251663360;mso-width-relative:page;mso-height-relative:page;" filled="f" stroked="f" coordsize="21600,21600" o:gfxdata="UEsDBAoAAAAAAIdO4kAAAAAAAAAAAAAAAAAEAAAAZHJzL1BLAwQUAAAACACHTuJAELy+39oAAAAK&#10;AQAADwAAAGRycy9kb3ducmV2LnhtbE2PzU7DMBCE70i8g7VI3Fo7pQkkxKkQghMSahoOHJ3YTazG&#10;6xC7P7w9ywmOszOa/abcXNzITmYO1qOEZCmAGey8tthL+GheFw/AQlSo1ejRSPg2ATbV9VWpCu3P&#10;WJvTLvaMSjAUSsIQ41RwHrrBOBWWfjJI3t7PTkWSc8/1rM5U7ka+EiLjTlmkD4OazPNgusPu6CQ8&#10;fWL9Yr/e2229r23T5ALfsoOUtzeJeAQWzSX+heEXn9ChIqbWH1EHNkq4S9e0JUpYJOkaGCXy+5Qu&#10;rYRVngGvSv5/QvUDUEsDBBQAAAAIAIdO4kD41fUGGQIAABoEAAAOAAAAZHJzL2Uyb0RvYy54bWyt&#10;U82O0zAQviPxDpbvNG1K2W7UdLVstQhp+ZEWHsB1nMbC9hjbbVIeAN6AExfuPFefg7GTdqvlsgdy&#10;iCaemW/m+/xlcdVpRXbCeQmmpJPRmBJhOFTSbEr6+dPtizklPjBTMQVGlHQvPL1aPn+2aG0hcmhA&#10;VcIRBDG+aG1JmxBskWWeN0IzPwIrDCZrcJoF/HSbrHKsRXStsnw8fpW14CrrgAvv8XTVJ+mA6J4C&#10;CHUtuVgB32phQo/qhGIBKflGWk+Xadu6Fjx8qGsvAlElRaYhvXEIxuv4zpYLVmwcs43kwwrsKSs8&#10;4qSZNDj0BLVigZGtk/9AackdeKjDiIPOeiJJEWQxGT/S5r5hViQuKLW3J9H9/4Pl73cfHZFVSfML&#10;SgzTeOOHnz8Ov/4cfn8nedSntb7AsnuLhaF7DR26JnH19g74F08M3DTMbMS1c9A2glW43yR2Zmet&#10;PY6PIOv2HVQ4h20DJKCudjqKh3IQRMe72Z/uRnSBcDycXr6cTmeY4pjL57MLjOMIVhy7rfPhjQBN&#10;YlBSh3ef0Nnuzoe+9FgShxm4lUrhOSuUIW1JL2f5LDWcZbQMaHYldUnn4/gMM5UZ2EVCPbXQrTtE&#10;i5TXUO2Rp4PebvizYdCA+0ZJi1Yrqf+6ZU5Qot4a1Cr68hi4Y7A+BsxwbC1poKQPb0Lyb8/hGjWs&#10;ZaL3MHnYDS2TBBrsHT15/p2qHn7p5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QvL7f2gAAAAoB&#10;AAAPAAAAAAAAAAEAIAAAACIAAABkcnMvZG93bnJldi54bWxQSwECFAAUAAAACACHTuJA+NX1BhkC&#10;AAAaBAAADgAAAAAAAAABACAAAAApAQAAZHJzL2Uyb0RvYy54bWxQSwUGAAAAAAYABgBZAQAAtAUA&#10;AAAA&#10;">
              <v:fill on="f" focussize="0,0"/>
              <v:stroke on="f" miterlimit="8" joinstyle="miter"/>
              <v:imagedata o:title=""/>
              <o:lock v:ext="edit" aspectratio="f"/>
              <v:textbox inset="0mm,0mm,0mm,0mm">
                <w:txbxContent>
                  <w:p>
                    <w:pPr>
                      <w:spacing w:line="360" w:lineRule="auto"/>
                      <w:ind w:firstLine="120" w:firstLineChars="50"/>
                      <w:jc w:val="right"/>
                      <w:rPr>
                        <w:rFonts w:ascii="楷体" w:hAnsi="楷体" w:eastAsia="楷体" w:cs="阿里巴巴普惠体 L"/>
                        <w:b/>
                        <w:color w:val="000000" w:themeColor="text1"/>
                        <w:sz w:val="22"/>
                        <w:szCs w:val="32"/>
                        <w14:textFill>
                          <w14:solidFill>
                            <w14:schemeClr w14:val="tx1"/>
                          </w14:solidFill>
                        </w14:textFill>
                      </w:rPr>
                    </w:pPr>
                    <w:r>
                      <w:rPr>
                        <w:rFonts w:hint="eastAsia" w:ascii="楷体" w:hAnsi="楷体" w:eastAsia="楷体" w:cs="阿里巴巴普惠体 L"/>
                        <w:b/>
                        <w:color w:val="000000" w:themeColor="text1"/>
                        <w:sz w:val="24"/>
                        <w:szCs w:val="32"/>
                        <w14:textFill>
                          <w14:solidFill>
                            <w14:schemeClr w14:val="tx1"/>
                          </w14:solidFill>
                        </w14:textFill>
                      </w:rPr>
                      <w:t>基金研究专题 |</w:t>
                    </w:r>
                    <w:r>
                      <w:rPr>
                        <w:rFonts w:ascii="楷体" w:hAnsi="楷体" w:eastAsia="楷体" w:cs="阿里巴巴普惠体 L"/>
                        <w:b/>
                        <w:color w:val="000000" w:themeColor="text1"/>
                        <w:sz w:val="24"/>
                        <w:szCs w:val="32"/>
                        <w14:textFill>
                          <w14:solidFill>
                            <w14:schemeClr w14:val="tx1"/>
                          </w14:solidFill>
                        </w14:textFill>
                      </w:rPr>
                      <w:t xml:space="preserve"> </w:t>
                    </w:r>
                    <w:r>
                      <w:rPr>
                        <w:rFonts w:hint="eastAsia" w:ascii="楷体" w:hAnsi="楷体" w:eastAsia="楷体" w:cs="阿里巴巴普惠体 L"/>
                        <w:b/>
                        <w:color w:val="000000" w:themeColor="text1"/>
                        <w:sz w:val="22"/>
                        <w:szCs w:val="32"/>
                        <w14:textFill>
                          <w14:solidFill>
                            <w14:schemeClr w14:val="tx1"/>
                          </w14:solidFill>
                        </w14:textFill>
                      </w:rPr>
                      <w:t>2</w:t>
                    </w:r>
                    <w:r>
                      <w:rPr>
                        <w:rFonts w:ascii="楷体" w:hAnsi="楷体" w:eastAsia="楷体" w:cs="阿里巴巴普惠体 L"/>
                        <w:b/>
                        <w:color w:val="000000" w:themeColor="text1"/>
                        <w:sz w:val="22"/>
                        <w:szCs w:val="32"/>
                        <w14:textFill>
                          <w14:solidFill>
                            <w14:schemeClr w14:val="tx1"/>
                          </w14:solidFill>
                        </w14:textFill>
                      </w:rPr>
                      <w:t>021年7月19日</w:t>
                    </w:r>
                  </w:p>
                  <w:p>
                    <w:pPr>
                      <w:spacing w:line="360" w:lineRule="auto"/>
                      <w:ind w:firstLine="120" w:firstLineChars="50"/>
                      <w:jc w:val="right"/>
                      <w:rPr>
                        <w:rFonts w:ascii="阿里巴巴普惠体 L" w:hAnsi="阿里巴巴普惠体 L" w:eastAsia="阿里巴巴普惠体 L" w:cs="阿里巴巴普惠体 L"/>
                        <w:b/>
                        <w:color w:val="000000" w:themeColor="text1"/>
                        <w:sz w:val="24"/>
                        <w:szCs w:val="32"/>
                        <w14:textFill>
                          <w14:solidFill>
                            <w14:schemeClr w14:val="tx1"/>
                          </w14:solidFill>
                        </w14:textFill>
                      </w:rPr>
                    </w:pPr>
                  </w:p>
                  <w:p>
                    <w:pPr>
                      <w:jc w:val="right"/>
                      <w:rPr>
                        <w:color w:val="000000" w:themeColor="text1"/>
                        <w:sz w:val="24"/>
                        <w14:textFill>
                          <w14:solidFill>
                            <w14:schemeClr w14:val="tx1"/>
                          </w14:solidFill>
                        </w14:textFill>
                      </w:rPr>
                    </w:pPr>
                  </w:p>
                </w:txbxContent>
              </v:textbox>
            </v:shape>
          </w:pict>
        </mc:Fallback>
      </mc:AlternateContent>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-193675</wp:posOffset>
          </wp:positionV>
          <wp:extent cx="2048510" cy="261620"/>
          <wp:effectExtent l="0" t="0" r="0" b="5715"/>
          <wp:wrapNone/>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48660" cy="261422"/>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194310</wp:posOffset>
              </wp:positionV>
              <wp:extent cx="6198870" cy="0"/>
              <wp:effectExtent l="0" t="19050" r="30480" b="19050"/>
              <wp:wrapNone/>
              <wp:docPr id="17" name="直接连接符 17"/>
              <wp:cNvGraphicFramePr/>
              <a:graphic xmlns:a="http://schemas.openxmlformats.org/drawingml/2006/main">
                <a:graphicData uri="http://schemas.microsoft.com/office/word/2010/wordprocessingShape">
                  <wps:wsp>
                    <wps:cNvCnPr/>
                    <wps:spPr>
                      <a:xfrm>
                        <a:off x="0" y="0"/>
                        <a:ext cx="6198920" cy="0"/>
                      </a:xfrm>
                      <a:prstGeom prst="line">
                        <a:avLst/>
                      </a:prstGeom>
                      <a:ln w="28575">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2pt;margin-top:15.3pt;height:0pt;width:488.1pt;z-index:251662336;mso-width-relative:page;mso-height-relative:page;" filled="f" stroked="t" coordsize="21600,21600" o:gfxdata="UEsDBAoAAAAAAIdO4kAAAAAAAAAAAAAAAAAEAAAAZHJzL1BLAwQUAAAACACHTuJAGMhO6NYAAAAH&#10;AQAADwAAAGRycy9kb3ducmV2LnhtbE2PwU7DMBBE70j8g7VI3Fo7QEsa4vRQxAkh1II4u/GSRLXX&#10;aew2ha9nUQ9wnJ3RzNtyefJOHHGIXSAN2VSBQKqD7ajR8P72NMlBxGTIGhcINXxhhGV1eVGawoaR&#10;1njcpEZwCcXCaGhT6gspY92iN3EaeiT2PsPgTWI5NNIOZuRy7+SNUnPpTUe80JoeVy3Wu83Ba9i9&#10;zuLqMV+79J3vn4dsvxhfPpLW11eZegCR8JT+wvCLz+hQMdM2HMhG4TRM7jio4VbNQbC9uJ/xJ9vz&#10;QVal/M9f/QBQSwMEFAAAAAgAh07iQMnqPrD3AQAA1gMAAA4AAABkcnMvZTJvRG9jLnhtbK1TS44T&#10;MRDdI3EHy3vSnUiZJK10RmKisOETCTiA47a7Lfknl5NOLsEFkNjBiiV7bjPDMSi7MxkYNrNg4y7X&#10;51W95+rl9dFochABlLM1HY9KSoTlrlG2renHD5sXc0ogMtsw7ayo6UkAvV49f7bsfSUmrnO6EYEg&#10;iIWq9zXtYvRVUQDvhGEwcl5YDEoXDIt4DW3RBNYjutHFpCyvit6FxgfHBQB610OQnhHDUwCdlIqL&#10;teN7I2wcUIPQLCIl6JQHusrTSil4fCcliEh0TZFpzCc2QXuXzmK1ZFUbmO8UP4/AnjLCI06GKYtN&#10;L1BrFhnZB/UPlFE8OHAyjrgzxUAkK4IsxuUjbd53zIvMBaUGfxEd/h8sf3vYBqIa3IQZJZYZfPG7&#10;zz9uP3399fMLnnffvxGMoEy9hwqzb+w2nG/gtyFxPspg0hfZkGOW9nSRVhwj4ei8Gi/miwmqzu9j&#10;xUOhDxBfCWdIMmqqlU2sWcUOryFiM0y9T0lu6zZK6/xy2pK+ppP5dDZFaIbrKHEN0DQeKYFtKWG6&#10;xT3nMWRIcFo1qTwBQWh3NzqQA8PteLlZlGWZk/TevHHN4J5Nk3cY4pyfB/oLKE23ZtANJTk0bJZR&#10;EX8WrUxN54hzQdIWQZKig4bJ2rnmlKXNfnzu3Oa8mmmf/rzn6offcf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MhO6NYAAAAHAQAADwAAAAAAAAABACAAAAAiAAAAZHJzL2Rvd25yZXYueG1sUEsB&#10;AhQAFAAAAAgAh07iQMnqPrD3AQAA1gMAAA4AAAAAAAAAAQAgAAAAJQEAAGRycy9lMm9Eb2MueG1s&#10;UEsFBgAAAAAGAAYAWQEAAI4FAAAAAA==&#10;">
              <v:fill on="f" focussize="0,0"/>
              <v:stroke weight="2.25pt" color="#BF9000 [2407]" miterlimit="8" joinstyle="miter"/>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2156"/>
    <w:multiLevelType w:val="multilevel"/>
    <w:tmpl w:val="14B22156"/>
    <w:lvl w:ilvl="0">
      <w:start w:val="1"/>
      <w:numFmt w:val="bullet"/>
      <w:pStyle w:val="a"/>
      <w:lvlText w:val=""/>
      <w:lvlJc w:val="left"/>
      <w:pPr>
        <w:ind w:left="420" w:hanging="420"/>
      </w:pPr>
      <w:rPr>
        <w:rFonts w:ascii="Wingdings" w:hAnsi="Wingdings" w:hint="default"/>
        <w:sz w:val="20"/>
      </w:rPr>
    </w:lvl>
    <w:lvl w:ilvl="1">
      <w:start w:val="1"/>
      <w:numFmt w:val="bullet"/>
      <w:pStyle w:val="a0"/>
      <w:lvlText w:val=""/>
      <w:lvlJc w:val="left"/>
      <w:pPr>
        <w:ind w:left="1260" w:hanging="420"/>
      </w:pPr>
      <w:rPr>
        <w:rFonts w:ascii="Wingdings" w:hAnsi="Wingdings" w:hint="default"/>
        <w:sz w:val="15"/>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040" w:hanging="360"/>
      </w:pPr>
      <w:rPr>
        <w:rFonts w:ascii="Calibri" w:eastAsia="华文细黑" w:hAnsi="Calibri" w:cstheme="minorBidi"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D7E311D"/>
    <w:multiLevelType w:val="multilevel"/>
    <w:tmpl w:val="1D7E311D"/>
    <w:lvl w:ilvl="0">
      <w:start w:val="1"/>
      <w:numFmt w:val="decimal"/>
      <w:pStyle w:val="1"/>
      <w:lvlText w:val="%1."/>
      <w:lvlJc w:val="left"/>
      <w:pPr>
        <w:ind w:left="420" w:hanging="420"/>
      </w:pPr>
    </w:lvl>
    <w:lvl w:ilvl="1">
      <w:start w:val="1"/>
      <w:numFmt w:val="chineseCountingThousand"/>
      <w:pStyle w:val="2"/>
      <w:lvlText w:val="(%2)"/>
      <w:lvlJc w:val="left"/>
      <w:pPr>
        <w:ind w:left="840" w:hanging="420"/>
      </w:pPr>
    </w:lvl>
    <w:lvl w:ilvl="2">
      <w:start w:val="1"/>
      <w:numFmt w:val="decimal"/>
      <w:pStyle w:val="3"/>
      <w:lvlText w:val="%3."/>
      <w:lvlJc w:val="left"/>
      <w:pPr>
        <w:ind w:left="1260" w:hanging="420"/>
      </w:pPr>
    </w:lvl>
    <w:lvl w:ilvl="3">
      <w:start w:val="1"/>
      <w:numFmt w:val="decimal"/>
      <w:pStyle w:val="4"/>
      <w:lvlText w:val="%4)"/>
      <w:lvlJc w:val="left"/>
      <w:pPr>
        <w:ind w:left="1680" w:hanging="420"/>
      </w:pPr>
    </w:lvl>
    <w:lvl w:ilvl="4">
      <w:start w:val="1"/>
      <w:numFmt w:val="lowerLetter"/>
      <w:pStyle w:val="5"/>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D4E482A"/>
    <w:multiLevelType w:val="multilevel"/>
    <w:tmpl w:val="2D4E482A"/>
    <w:lvl w:ilvl="0">
      <w:start w:val="1"/>
      <w:numFmt w:val="chineseCountingThousand"/>
      <w:pStyle w:val="10"/>
      <w:lvlText w:val="%1、"/>
      <w:lvlJc w:val="left"/>
      <w:pPr>
        <w:ind w:left="0" w:hanging="420"/>
      </w:p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3" w15:restartNumberingAfterBreak="0">
    <w:nsid w:val="38AE3343"/>
    <w:multiLevelType w:val="multilevel"/>
    <w:tmpl w:val="38AE3343"/>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3BA4438B"/>
    <w:multiLevelType w:val="multilevel"/>
    <w:tmpl w:val="3BA4438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6B53EFD"/>
    <w:multiLevelType w:val="multilevel"/>
    <w:tmpl w:val="46B53EF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4444A13"/>
    <w:multiLevelType w:val="multilevel"/>
    <w:tmpl w:val="64444A13"/>
    <w:lvl w:ilvl="0">
      <w:start w:val="1"/>
      <w:numFmt w:val="decimal"/>
      <w:lvlText w:val="%1"/>
      <w:lvlJc w:val="left"/>
      <w:pPr>
        <w:ind w:left="425" w:hanging="425"/>
      </w:pPr>
    </w:lvl>
    <w:lvl w:ilvl="1">
      <w:start w:val="1"/>
      <w:numFmt w:val="decimal"/>
      <w:pStyle w:val="11"/>
      <w:lvlText w:val="%1.%2"/>
      <w:lvlJc w:val="left"/>
      <w:pPr>
        <w:ind w:left="992"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B9C1E01"/>
    <w:multiLevelType w:val="multilevel"/>
    <w:tmpl w:val="6B9C1E0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2"/>
      <w:numFmt w:val="bullet"/>
      <w:pStyle w:val="a1"/>
      <w:lvlText w:val="-"/>
      <w:lvlJc w:val="left"/>
      <w:pPr>
        <w:ind w:left="1680" w:hanging="420"/>
      </w:pPr>
      <w:rPr>
        <w:rFonts w:ascii="华文细黑" w:eastAsia="华文细黑" w:hAnsi="华文细黑" w:cstheme="minorBidi" w:hint="eastAsia"/>
        <w:b/>
      </w:rPr>
    </w:lvl>
    <w:lvl w:ilvl="3">
      <w:start w:val="1"/>
      <w:numFmt w:val="bullet"/>
      <w:lvlText w:val="-"/>
      <w:lvlJc w:val="left"/>
      <w:pPr>
        <w:ind w:left="2040" w:hanging="360"/>
      </w:pPr>
      <w:rPr>
        <w:rFonts w:ascii="Calibri" w:eastAsia="华文细黑" w:hAnsi="Calibri" w:cstheme="minorBidi"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707F0D1E"/>
    <w:multiLevelType w:val="multilevel"/>
    <w:tmpl w:val="707F0D1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3A1"/>
    <w:rsid w:val="000050F8"/>
    <w:rsid w:val="00005223"/>
    <w:rsid w:val="000067CF"/>
    <w:rsid w:val="0001011D"/>
    <w:rsid w:val="00010C09"/>
    <w:rsid w:val="00015259"/>
    <w:rsid w:val="00015B4E"/>
    <w:rsid w:val="00016FC1"/>
    <w:rsid w:val="00020DFC"/>
    <w:rsid w:val="00022D32"/>
    <w:rsid w:val="000245BB"/>
    <w:rsid w:val="00025493"/>
    <w:rsid w:val="00031B61"/>
    <w:rsid w:val="0003239C"/>
    <w:rsid w:val="00033258"/>
    <w:rsid w:val="0003329A"/>
    <w:rsid w:val="00037717"/>
    <w:rsid w:val="00042DA9"/>
    <w:rsid w:val="00042F57"/>
    <w:rsid w:val="000434B8"/>
    <w:rsid w:val="00044B8E"/>
    <w:rsid w:val="0005097D"/>
    <w:rsid w:val="00052C25"/>
    <w:rsid w:val="00055F3B"/>
    <w:rsid w:val="00056EDE"/>
    <w:rsid w:val="000571FD"/>
    <w:rsid w:val="00057E0B"/>
    <w:rsid w:val="000617FF"/>
    <w:rsid w:val="0006206E"/>
    <w:rsid w:val="000623C4"/>
    <w:rsid w:val="00067EE6"/>
    <w:rsid w:val="0007117A"/>
    <w:rsid w:val="00072BA1"/>
    <w:rsid w:val="000731B3"/>
    <w:rsid w:val="00077643"/>
    <w:rsid w:val="00080E96"/>
    <w:rsid w:val="00081C57"/>
    <w:rsid w:val="00081CF2"/>
    <w:rsid w:val="00081DBE"/>
    <w:rsid w:val="00084D90"/>
    <w:rsid w:val="00086875"/>
    <w:rsid w:val="00092923"/>
    <w:rsid w:val="0009348A"/>
    <w:rsid w:val="0009475E"/>
    <w:rsid w:val="000979BF"/>
    <w:rsid w:val="000A2149"/>
    <w:rsid w:val="000B1669"/>
    <w:rsid w:val="000B2744"/>
    <w:rsid w:val="000B37F9"/>
    <w:rsid w:val="000B402A"/>
    <w:rsid w:val="000B5390"/>
    <w:rsid w:val="000B57FF"/>
    <w:rsid w:val="000B5E16"/>
    <w:rsid w:val="000B6EE9"/>
    <w:rsid w:val="000B702B"/>
    <w:rsid w:val="000C110E"/>
    <w:rsid w:val="000C1984"/>
    <w:rsid w:val="000C5382"/>
    <w:rsid w:val="000C667F"/>
    <w:rsid w:val="000C68E4"/>
    <w:rsid w:val="000C6F86"/>
    <w:rsid w:val="000C74FF"/>
    <w:rsid w:val="000C7635"/>
    <w:rsid w:val="000D26EE"/>
    <w:rsid w:val="000D5960"/>
    <w:rsid w:val="000D5E90"/>
    <w:rsid w:val="000D6B2E"/>
    <w:rsid w:val="000D6B63"/>
    <w:rsid w:val="000D7E3E"/>
    <w:rsid w:val="000D7E77"/>
    <w:rsid w:val="000E1FC8"/>
    <w:rsid w:val="000E2E0A"/>
    <w:rsid w:val="000E33C4"/>
    <w:rsid w:val="000E443E"/>
    <w:rsid w:val="000E54DC"/>
    <w:rsid w:val="000E5EEC"/>
    <w:rsid w:val="000F0520"/>
    <w:rsid w:val="000F08DB"/>
    <w:rsid w:val="000F2D90"/>
    <w:rsid w:val="000F3542"/>
    <w:rsid w:val="000F5716"/>
    <w:rsid w:val="001009C3"/>
    <w:rsid w:val="0011075F"/>
    <w:rsid w:val="00110F25"/>
    <w:rsid w:val="00114C9B"/>
    <w:rsid w:val="00114E2A"/>
    <w:rsid w:val="00116030"/>
    <w:rsid w:val="00117A29"/>
    <w:rsid w:val="0012033C"/>
    <w:rsid w:val="00120F4B"/>
    <w:rsid w:val="001218BF"/>
    <w:rsid w:val="00122A01"/>
    <w:rsid w:val="00123647"/>
    <w:rsid w:val="0012376F"/>
    <w:rsid w:val="00123EF2"/>
    <w:rsid w:val="001258AF"/>
    <w:rsid w:val="00126BDD"/>
    <w:rsid w:val="00130640"/>
    <w:rsid w:val="00130C16"/>
    <w:rsid w:val="001324EC"/>
    <w:rsid w:val="00134008"/>
    <w:rsid w:val="00136808"/>
    <w:rsid w:val="00137064"/>
    <w:rsid w:val="00137E32"/>
    <w:rsid w:val="00140301"/>
    <w:rsid w:val="001418D4"/>
    <w:rsid w:val="00144442"/>
    <w:rsid w:val="001445DF"/>
    <w:rsid w:val="001456D0"/>
    <w:rsid w:val="00145A3D"/>
    <w:rsid w:val="001462ED"/>
    <w:rsid w:val="00156B33"/>
    <w:rsid w:val="00161B3B"/>
    <w:rsid w:val="00161E1B"/>
    <w:rsid w:val="0016257E"/>
    <w:rsid w:val="00162D9D"/>
    <w:rsid w:val="00166C53"/>
    <w:rsid w:val="001738BE"/>
    <w:rsid w:val="00173B75"/>
    <w:rsid w:val="0017579D"/>
    <w:rsid w:val="00175C4F"/>
    <w:rsid w:val="00175FD7"/>
    <w:rsid w:val="001760FC"/>
    <w:rsid w:val="001775E0"/>
    <w:rsid w:val="00177C33"/>
    <w:rsid w:val="0018141F"/>
    <w:rsid w:val="00185B44"/>
    <w:rsid w:val="001902E4"/>
    <w:rsid w:val="001903FE"/>
    <w:rsid w:val="001914AF"/>
    <w:rsid w:val="00191F85"/>
    <w:rsid w:val="00193B5B"/>
    <w:rsid w:val="00193FB6"/>
    <w:rsid w:val="00195A2B"/>
    <w:rsid w:val="00195FB0"/>
    <w:rsid w:val="0019761A"/>
    <w:rsid w:val="00197DB4"/>
    <w:rsid w:val="001A0266"/>
    <w:rsid w:val="001A1213"/>
    <w:rsid w:val="001A24D7"/>
    <w:rsid w:val="001A787F"/>
    <w:rsid w:val="001A79EA"/>
    <w:rsid w:val="001B1CA3"/>
    <w:rsid w:val="001B30BD"/>
    <w:rsid w:val="001B313E"/>
    <w:rsid w:val="001B5454"/>
    <w:rsid w:val="001B5FD8"/>
    <w:rsid w:val="001C0A68"/>
    <w:rsid w:val="001C15E5"/>
    <w:rsid w:val="001C3C31"/>
    <w:rsid w:val="001C46B6"/>
    <w:rsid w:val="001C48D2"/>
    <w:rsid w:val="001C57C9"/>
    <w:rsid w:val="001C74B2"/>
    <w:rsid w:val="001C75AD"/>
    <w:rsid w:val="001C79FC"/>
    <w:rsid w:val="001C7A75"/>
    <w:rsid w:val="001C7DD1"/>
    <w:rsid w:val="001C7FE5"/>
    <w:rsid w:val="001D0981"/>
    <w:rsid w:val="001D1998"/>
    <w:rsid w:val="001D7CE9"/>
    <w:rsid w:val="001E00D6"/>
    <w:rsid w:val="001E16B7"/>
    <w:rsid w:val="001E3DCC"/>
    <w:rsid w:val="001E4343"/>
    <w:rsid w:val="001E6657"/>
    <w:rsid w:val="001F0027"/>
    <w:rsid w:val="001F7FE3"/>
    <w:rsid w:val="00200EF8"/>
    <w:rsid w:val="00201935"/>
    <w:rsid w:val="002024E5"/>
    <w:rsid w:val="00204705"/>
    <w:rsid w:val="002064CA"/>
    <w:rsid w:val="00211F0C"/>
    <w:rsid w:val="00212B2A"/>
    <w:rsid w:val="00214C0B"/>
    <w:rsid w:val="0021570E"/>
    <w:rsid w:val="002176DE"/>
    <w:rsid w:val="00220654"/>
    <w:rsid w:val="002228D1"/>
    <w:rsid w:val="00225C83"/>
    <w:rsid w:val="0022682B"/>
    <w:rsid w:val="00226D21"/>
    <w:rsid w:val="00231276"/>
    <w:rsid w:val="00232D3A"/>
    <w:rsid w:val="002330CF"/>
    <w:rsid w:val="0023465C"/>
    <w:rsid w:val="00235678"/>
    <w:rsid w:val="00235BAB"/>
    <w:rsid w:val="00237376"/>
    <w:rsid w:val="002375A2"/>
    <w:rsid w:val="0024098F"/>
    <w:rsid w:val="00242115"/>
    <w:rsid w:val="00244334"/>
    <w:rsid w:val="00244369"/>
    <w:rsid w:val="00250E2A"/>
    <w:rsid w:val="00251021"/>
    <w:rsid w:val="00252C31"/>
    <w:rsid w:val="002536C2"/>
    <w:rsid w:val="00254ECF"/>
    <w:rsid w:val="00255743"/>
    <w:rsid w:val="002614B0"/>
    <w:rsid w:val="002627B3"/>
    <w:rsid w:val="0026280C"/>
    <w:rsid w:val="0026323E"/>
    <w:rsid w:val="00264BD9"/>
    <w:rsid w:val="00265610"/>
    <w:rsid w:val="002667E6"/>
    <w:rsid w:val="00267D56"/>
    <w:rsid w:val="002703FC"/>
    <w:rsid w:val="00271144"/>
    <w:rsid w:val="002765FD"/>
    <w:rsid w:val="00276668"/>
    <w:rsid w:val="00277DCE"/>
    <w:rsid w:val="0028059D"/>
    <w:rsid w:val="002810E5"/>
    <w:rsid w:val="0028111C"/>
    <w:rsid w:val="00281852"/>
    <w:rsid w:val="002845F0"/>
    <w:rsid w:val="00285B14"/>
    <w:rsid w:val="00292BF7"/>
    <w:rsid w:val="00295F26"/>
    <w:rsid w:val="002A0D3F"/>
    <w:rsid w:val="002A143E"/>
    <w:rsid w:val="002A3F37"/>
    <w:rsid w:val="002A408F"/>
    <w:rsid w:val="002A5AA2"/>
    <w:rsid w:val="002A5D9E"/>
    <w:rsid w:val="002A64BA"/>
    <w:rsid w:val="002A7DED"/>
    <w:rsid w:val="002B0B04"/>
    <w:rsid w:val="002B3087"/>
    <w:rsid w:val="002B33F6"/>
    <w:rsid w:val="002B3480"/>
    <w:rsid w:val="002B3F4D"/>
    <w:rsid w:val="002B45E5"/>
    <w:rsid w:val="002B4867"/>
    <w:rsid w:val="002B4CDB"/>
    <w:rsid w:val="002B5A59"/>
    <w:rsid w:val="002C06F0"/>
    <w:rsid w:val="002C10EA"/>
    <w:rsid w:val="002C1C0B"/>
    <w:rsid w:val="002C2208"/>
    <w:rsid w:val="002C33A9"/>
    <w:rsid w:val="002C49AE"/>
    <w:rsid w:val="002C7F38"/>
    <w:rsid w:val="002D1DF8"/>
    <w:rsid w:val="002D37FF"/>
    <w:rsid w:val="002D5C81"/>
    <w:rsid w:val="002D67DE"/>
    <w:rsid w:val="002D7F7F"/>
    <w:rsid w:val="002E6DC1"/>
    <w:rsid w:val="002F24DD"/>
    <w:rsid w:val="002F2D35"/>
    <w:rsid w:val="002F70B9"/>
    <w:rsid w:val="002F777D"/>
    <w:rsid w:val="003004DA"/>
    <w:rsid w:val="0030070F"/>
    <w:rsid w:val="00300785"/>
    <w:rsid w:val="00300BE3"/>
    <w:rsid w:val="00301276"/>
    <w:rsid w:val="00303928"/>
    <w:rsid w:val="00304D54"/>
    <w:rsid w:val="00305158"/>
    <w:rsid w:val="003067A6"/>
    <w:rsid w:val="003074CA"/>
    <w:rsid w:val="003079C0"/>
    <w:rsid w:val="00307D5B"/>
    <w:rsid w:val="00311132"/>
    <w:rsid w:val="003111BD"/>
    <w:rsid w:val="00313404"/>
    <w:rsid w:val="003139C3"/>
    <w:rsid w:val="00315F4E"/>
    <w:rsid w:val="00317064"/>
    <w:rsid w:val="003214B7"/>
    <w:rsid w:val="0032583C"/>
    <w:rsid w:val="00330891"/>
    <w:rsid w:val="00331545"/>
    <w:rsid w:val="003327C1"/>
    <w:rsid w:val="00332B36"/>
    <w:rsid w:val="00333ADB"/>
    <w:rsid w:val="003356DE"/>
    <w:rsid w:val="00335A5B"/>
    <w:rsid w:val="00340A37"/>
    <w:rsid w:val="0034625F"/>
    <w:rsid w:val="0034626D"/>
    <w:rsid w:val="0034726D"/>
    <w:rsid w:val="00347CBD"/>
    <w:rsid w:val="0035119A"/>
    <w:rsid w:val="003537E2"/>
    <w:rsid w:val="00354C54"/>
    <w:rsid w:val="003557A6"/>
    <w:rsid w:val="00356649"/>
    <w:rsid w:val="00360BC8"/>
    <w:rsid w:val="00361734"/>
    <w:rsid w:val="00366064"/>
    <w:rsid w:val="00366896"/>
    <w:rsid w:val="003670EC"/>
    <w:rsid w:val="00372507"/>
    <w:rsid w:val="0037304E"/>
    <w:rsid w:val="0037580E"/>
    <w:rsid w:val="00375A09"/>
    <w:rsid w:val="003803B0"/>
    <w:rsid w:val="00382FF0"/>
    <w:rsid w:val="00383DF3"/>
    <w:rsid w:val="00384800"/>
    <w:rsid w:val="00386DD5"/>
    <w:rsid w:val="00387F8D"/>
    <w:rsid w:val="00391DCB"/>
    <w:rsid w:val="00392483"/>
    <w:rsid w:val="00392775"/>
    <w:rsid w:val="00394CD2"/>
    <w:rsid w:val="003A06D8"/>
    <w:rsid w:val="003A124F"/>
    <w:rsid w:val="003A1B06"/>
    <w:rsid w:val="003A311C"/>
    <w:rsid w:val="003A3E2A"/>
    <w:rsid w:val="003A60C3"/>
    <w:rsid w:val="003A6B3B"/>
    <w:rsid w:val="003A713D"/>
    <w:rsid w:val="003B07AA"/>
    <w:rsid w:val="003B0B37"/>
    <w:rsid w:val="003B1F81"/>
    <w:rsid w:val="003B256C"/>
    <w:rsid w:val="003B2A33"/>
    <w:rsid w:val="003B3C1C"/>
    <w:rsid w:val="003B4A30"/>
    <w:rsid w:val="003B7BA9"/>
    <w:rsid w:val="003C039A"/>
    <w:rsid w:val="003C0E9A"/>
    <w:rsid w:val="003C22AA"/>
    <w:rsid w:val="003C44AE"/>
    <w:rsid w:val="003C51F3"/>
    <w:rsid w:val="003C660F"/>
    <w:rsid w:val="003C6D8D"/>
    <w:rsid w:val="003C7622"/>
    <w:rsid w:val="003C767F"/>
    <w:rsid w:val="003D06F2"/>
    <w:rsid w:val="003D1283"/>
    <w:rsid w:val="003D42D1"/>
    <w:rsid w:val="003D5509"/>
    <w:rsid w:val="003D56A4"/>
    <w:rsid w:val="003D6B4E"/>
    <w:rsid w:val="003D73A1"/>
    <w:rsid w:val="003D7C87"/>
    <w:rsid w:val="003E0AED"/>
    <w:rsid w:val="003E1354"/>
    <w:rsid w:val="003E1FDA"/>
    <w:rsid w:val="003E21D9"/>
    <w:rsid w:val="003E2254"/>
    <w:rsid w:val="003E25A7"/>
    <w:rsid w:val="003E2A5B"/>
    <w:rsid w:val="003E2AF2"/>
    <w:rsid w:val="003E3044"/>
    <w:rsid w:val="003E3BB7"/>
    <w:rsid w:val="003E489C"/>
    <w:rsid w:val="003E6EAA"/>
    <w:rsid w:val="003F0E3D"/>
    <w:rsid w:val="003F1443"/>
    <w:rsid w:val="003F1F76"/>
    <w:rsid w:val="003F20BD"/>
    <w:rsid w:val="003F3016"/>
    <w:rsid w:val="003F4AB2"/>
    <w:rsid w:val="003F528D"/>
    <w:rsid w:val="003F6868"/>
    <w:rsid w:val="00400E53"/>
    <w:rsid w:val="004017D1"/>
    <w:rsid w:val="00401BCC"/>
    <w:rsid w:val="00403831"/>
    <w:rsid w:val="004047B3"/>
    <w:rsid w:val="0040555B"/>
    <w:rsid w:val="00405B3E"/>
    <w:rsid w:val="0041015D"/>
    <w:rsid w:val="004113DA"/>
    <w:rsid w:val="00411FA4"/>
    <w:rsid w:val="004121F5"/>
    <w:rsid w:val="00413F0A"/>
    <w:rsid w:val="004146F5"/>
    <w:rsid w:val="0042069F"/>
    <w:rsid w:val="00421195"/>
    <w:rsid w:val="00421777"/>
    <w:rsid w:val="00423E49"/>
    <w:rsid w:val="00424DE7"/>
    <w:rsid w:val="0042707D"/>
    <w:rsid w:val="00433CD8"/>
    <w:rsid w:val="00434DAD"/>
    <w:rsid w:val="004405A4"/>
    <w:rsid w:val="00440C53"/>
    <w:rsid w:val="0044258C"/>
    <w:rsid w:val="0044380B"/>
    <w:rsid w:val="004440B0"/>
    <w:rsid w:val="00445F4D"/>
    <w:rsid w:val="004467E5"/>
    <w:rsid w:val="00451ED6"/>
    <w:rsid w:val="004534DC"/>
    <w:rsid w:val="004536DC"/>
    <w:rsid w:val="00454C26"/>
    <w:rsid w:val="00454DD2"/>
    <w:rsid w:val="00455C17"/>
    <w:rsid w:val="00455F5E"/>
    <w:rsid w:val="004573E5"/>
    <w:rsid w:val="004615DF"/>
    <w:rsid w:val="004700A8"/>
    <w:rsid w:val="00472BD4"/>
    <w:rsid w:val="004762CC"/>
    <w:rsid w:val="004778FB"/>
    <w:rsid w:val="00482704"/>
    <w:rsid w:val="0048585C"/>
    <w:rsid w:val="00485C44"/>
    <w:rsid w:val="004879EE"/>
    <w:rsid w:val="004921E4"/>
    <w:rsid w:val="004A1DF3"/>
    <w:rsid w:val="004A2C9B"/>
    <w:rsid w:val="004A338E"/>
    <w:rsid w:val="004A5461"/>
    <w:rsid w:val="004A78A6"/>
    <w:rsid w:val="004A7EC2"/>
    <w:rsid w:val="004B1470"/>
    <w:rsid w:val="004B24B9"/>
    <w:rsid w:val="004B39F1"/>
    <w:rsid w:val="004B4710"/>
    <w:rsid w:val="004B6509"/>
    <w:rsid w:val="004B6F57"/>
    <w:rsid w:val="004B724E"/>
    <w:rsid w:val="004B753C"/>
    <w:rsid w:val="004B7798"/>
    <w:rsid w:val="004B7C1F"/>
    <w:rsid w:val="004C0692"/>
    <w:rsid w:val="004C0DE5"/>
    <w:rsid w:val="004C15C7"/>
    <w:rsid w:val="004C1F45"/>
    <w:rsid w:val="004C5403"/>
    <w:rsid w:val="004C54FB"/>
    <w:rsid w:val="004D0AF2"/>
    <w:rsid w:val="004D12E1"/>
    <w:rsid w:val="004D1521"/>
    <w:rsid w:val="004D176A"/>
    <w:rsid w:val="004D235E"/>
    <w:rsid w:val="004D3AE6"/>
    <w:rsid w:val="004D415B"/>
    <w:rsid w:val="004D4565"/>
    <w:rsid w:val="004D7F70"/>
    <w:rsid w:val="004E013B"/>
    <w:rsid w:val="004E257D"/>
    <w:rsid w:val="004E4729"/>
    <w:rsid w:val="004E5BF6"/>
    <w:rsid w:val="004E6B10"/>
    <w:rsid w:val="004E7F98"/>
    <w:rsid w:val="004F2717"/>
    <w:rsid w:val="004F3271"/>
    <w:rsid w:val="004F6D0A"/>
    <w:rsid w:val="0050052B"/>
    <w:rsid w:val="005005B9"/>
    <w:rsid w:val="005005D2"/>
    <w:rsid w:val="0050111A"/>
    <w:rsid w:val="00502CD5"/>
    <w:rsid w:val="00504AB7"/>
    <w:rsid w:val="00505D70"/>
    <w:rsid w:val="00511D42"/>
    <w:rsid w:val="00514316"/>
    <w:rsid w:val="00515A54"/>
    <w:rsid w:val="00516505"/>
    <w:rsid w:val="0051687D"/>
    <w:rsid w:val="005305DB"/>
    <w:rsid w:val="00530777"/>
    <w:rsid w:val="00533253"/>
    <w:rsid w:val="0053721D"/>
    <w:rsid w:val="00540145"/>
    <w:rsid w:val="00542AD9"/>
    <w:rsid w:val="00543271"/>
    <w:rsid w:val="00546912"/>
    <w:rsid w:val="00547240"/>
    <w:rsid w:val="00552CC4"/>
    <w:rsid w:val="00553EFA"/>
    <w:rsid w:val="00554E50"/>
    <w:rsid w:val="005556DF"/>
    <w:rsid w:val="005569A4"/>
    <w:rsid w:val="00557EDC"/>
    <w:rsid w:val="00560448"/>
    <w:rsid w:val="00560B1D"/>
    <w:rsid w:val="005619C5"/>
    <w:rsid w:val="00570D6A"/>
    <w:rsid w:val="00570DCC"/>
    <w:rsid w:val="00571498"/>
    <w:rsid w:val="00572615"/>
    <w:rsid w:val="00573C02"/>
    <w:rsid w:val="00575B36"/>
    <w:rsid w:val="00576419"/>
    <w:rsid w:val="005771D8"/>
    <w:rsid w:val="00581233"/>
    <w:rsid w:val="00583A3D"/>
    <w:rsid w:val="00586EDB"/>
    <w:rsid w:val="00587D53"/>
    <w:rsid w:val="005911E4"/>
    <w:rsid w:val="005913FF"/>
    <w:rsid w:val="00591F19"/>
    <w:rsid w:val="00593CED"/>
    <w:rsid w:val="00593D93"/>
    <w:rsid w:val="00593E7E"/>
    <w:rsid w:val="00594C8B"/>
    <w:rsid w:val="00594DA6"/>
    <w:rsid w:val="005964C8"/>
    <w:rsid w:val="00597B93"/>
    <w:rsid w:val="00597C9A"/>
    <w:rsid w:val="005A3C74"/>
    <w:rsid w:val="005A4681"/>
    <w:rsid w:val="005A473F"/>
    <w:rsid w:val="005A4FE9"/>
    <w:rsid w:val="005A5BB0"/>
    <w:rsid w:val="005A65E9"/>
    <w:rsid w:val="005A68CC"/>
    <w:rsid w:val="005A7AA6"/>
    <w:rsid w:val="005A7D58"/>
    <w:rsid w:val="005A7F6D"/>
    <w:rsid w:val="005B229E"/>
    <w:rsid w:val="005B5083"/>
    <w:rsid w:val="005B519E"/>
    <w:rsid w:val="005B6A5E"/>
    <w:rsid w:val="005C0B2C"/>
    <w:rsid w:val="005C1020"/>
    <w:rsid w:val="005C1153"/>
    <w:rsid w:val="005C2DB3"/>
    <w:rsid w:val="005C37F3"/>
    <w:rsid w:val="005C5269"/>
    <w:rsid w:val="005C5868"/>
    <w:rsid w:val="005C7A09"/>
    <w:rsid w:val="005D0745"/>
    <w:rsid w:val="005D2C04"/>
    <w:rsid w:val="005D32C7"/>
    <w:rsid w:val="005D45B2"/>
    <w:rsid w:val="005D5E83"/>
    <w:rsid w:val="005D6941"/>
    <w:rsid w:val="005D7C67"/>
    <w:rsid w:val="005E0B84"/>
    <w:rsid w:val="005E146D"/>
    <w:rsid w:val="005E3860"/>
    <w:rsid w:val="005E38EB"/>
    <w:rsid w:val="005F2332"/>
    <w:rsid w:val="005F297A"/>
    <w:rsid w:val="005F5D9D"/>
    <w:rsid w:val="005F5F30"/>
    <w:rsid w:val="005F76E4"/>
    <w:rsid w:val="00600C6E"/>
    <w:rsid w:val="00600C94"/>
    <w:rsid w:val="00601CBB"/>
    <w:rsid w:val="00601D68"/>
    <w:rsid w:val="0060209A"/>
    <w:rsid w:val="00604C15"/>
    <w:rsid w:val="00605EC7"/>
    <w:rsid w:val="00610CFA"/>
    <w:rsid w:val="00612725"/>
    <w:rsid w:val="00612C19"/>
    <w:rsid w:val="006140CF"/>
    <w:rsid w:val="0061560A"/>
    <w:rsid w:val="00617F7C"/>
    <w:rsid w:val="0062108D"/>
    <w:rsid w:val="006231D9"/>
    <w:rsid w:val="00623F50"/>
    <w:rsid w:val="00624E27"/>
    <w:rsid w:val="00626003"/>
    <w:rsid w:val="00626741"/>
    <w:rsid w:val="00631223"/>
    <w:rsid w:val="00633A1B"/>
    <w:rsid w:val="006368C9"/>
    <w:rsid w:val="00637762"/>
    <w:rsid w:val="00637D2B"/>
    <w:rsid w:val="006437DB"/>
    <w:rsid w:val="00646118"/>
    <w:rsid w:val="006508B9"/>
    <w:rsid w:val="00651384"/>
    <w:rsid w:val="00653106"/>
    <w:rsid w:val="00654D09"/>
    <w:rsid w:val="00656BF7"/>
    <w:rsid w:val="006602EE"/>
    <w:rsid w:val="00665114"/>
    <w:rsid w:val="006670EC"/>
    <w:rsid w:val="006724BB"/>
    <w:rsid w:val="00675CE4"/>
    <w:rsid w:val="00676229"/>
    <w:rsid w:val="00676581"/>
    <w:rsid w:val="00676EA0"/>
    <w:rsid w:val="0067749F"/>
    <w:rsid w:val="006777FF"/>
    <w:rsid w:val="00677970"/>
    <w:rsid w:val="006820F3"/>
    <w:rsid w:val="006837AF"/>
    <w:rsid w:val="00683C67"/>
    <w:rsid w:val="00684C6F"/>
    <w:rsid w:val="006855FA"/>
    <w:rsid w:val="00685D75"/>
    <w:rsid w:val="006872F3"/>
    <w:rsid w:val="00687B13"/>
    <w:rsid w:val="00690F29"/>
    <w:rsid w:val="00691F57"/>
    <w:rsid w:val="006937D1"/>
    <w:rsid w:val="00693D6C"/>
    <w:rsid w:val="006954AB"/>
    <w:rsid w:val="006959C2"/>
    <w:rsid w:val="00696787"/>
    <w:rsid w:val="00696D40"/>
    <w:rsid w:val="00697432"/>
    <w:rsid w:val="00697CB1"/>
    <w:rsid w:val="006A2198"/>
    <w:rsid w:val="006A35AE"/>
    <w:rsid w:val="006A5BD8"/>
    <w:rsid w:val="006A6B72"/>
    <w:rsid w:val="006B2D8F"/>
    <w:rsid w:val="006B4DBD"/>
    <w:rsid w:val="006C2691"/>
    <w:rsid w:val="006C2829"/>
    <w:rsid w:val="006C2BE9"/>
    <w:rsid w:val="006C2FC8"/>
    <w:rsid w:val="006C39DB"/>
    <w:rsid w:val="006C43AF"/>
    <w:rsid w:val="006C43FC"/>
    <w:rsid w:val="006D0407"/>
    <w:rsid w:val="006D14F5"/>
    <w:rsid w:val="006D4E19"/>
    <w:rsid w:val="006D729B"/>
    <w:rsid w:val="006E294A"/>
    <w:rsid w:val="006E2E6C"/>
    <w:rsid w:val="006E361B"/>
    <w:rsid w:val="006E4FDE"/>
    <w:rsid w:val="006E58B2"/>
    <w:rsid w:val="006E5E7A"/>
    <w:rsid w:val="006E6207"/>
    <w:rsid w:val="006E732E"/>
    <w:rsid w:val="006F42B2"/>
    <w:rsid w:val="006F5609"/>
    <w:rsid w:val="006F630D"/>
    <w:rsid w:val="006F6D4F"/>
    <w:rsid w:val="006F6E41"/>
    <w:rsid w:val="00701BCE"/>
    <w:rsid w:val="007035BB"/>
    <w:rsid w:val="007038C6"/>
    <w:rsid w:val="00704082"/>
    <w:rsid w:val="00704F20"/>
    <w:rsid w:val="0070634F"/>
    <w:rsid w:val="00706C72"/>
    <w:rsid w:val="007124BE"/>
    <w:rsid w:val="0071388F"/>
    <w:rsid w:val="00717A04"/>
    <w:rsid w:val="00721594"/>
    <w:rsid w:val="00722D3B"/>
    <w:rsid w:val="00727075"/>
    <w:rsid w:val="007305F7"/>
    <w:rsid w:val="00731BC2"/>
    <w:rsid w:val="007321AB"/>
    <w:rsid w:val="0073411C"/>
    <w:rsid w:val="00735AF3"/>
    <w:rsid w:val="00736002"/>
    <w:rsid w:val="00737A56"/>
    <w:rsid w:val="0074031B"/>
    <w:rsid w:val="007415B0"/>
    <w:rsid w:val="007430FB"/>
    <w:rsid w:val="00744166"/>
    <w:rsid w:val="00745660"/>
    <w:rsid w:val="007461A0"/>
    <w:rsid w:val="00750704"/>
    <w:rsid w:val="00753411"/>
    <w:rsid w:val="00753D81"/>
    <w:rsid w:val="00755EAF"/>
    <w:rsid w:val="00756DC5"/>
    <w:rsid w:val="0075706A"/>
    <w:rsid w:val="0075706F"/>
    <w:rsid w:val="00760E6B"/>
    <w:rsid w:val="00762A1E"/>
    <w:rsid w:val="00763031"/>
    <w:rsid w:val="007638C0"/>
    <w:rsid w:val="00764F17"/>
    <w:rsid w:val="00767490"/>
    <w:rsid w:val="00770682"/>
    <w:rsid w:val="00772117"/>
    <w:rsid w:val="0077303D"/>
    <w:rsid w:val="00773B14"/>
    <w:rsid w:val="00774DED"/>
    <w:rsid w:val="00775A7B"/>
    <w:rsid w:val="00777698"/>
    <w:rsid w:val="007827CB"/>
    <w:rsid w:val="00782C2A"/>
    <w:rsid w:val="00784D31"/>
    <w:rsid w:val="00787117"/>
    <w:rsid w:val="00787685"/>
    <w:rsid w:val="00787F15"/>
    <w:rsid w:val="00790ABF"/>
    <w:rsid w:val="00791144"/>
    <w:rsid w:val="00793AAB"/>
    <w:rsid w:val="007948D9"/>
    <w:rsid w:val="00795632"/>
    <w:rsid w:val="00796B06"/>
    <w:rsid w:val="007975E8"/>
    <w:rsid w:val="007A290A"/>
    <w:rsid w:val="007A3225"/>
    <w:rsid w:val="007A6FAA"/>
    <w:rsid w:val="007B3E77"/>
    <w:rsid w:val="007B5EA7"/>
    <w:rsid w:val="007B7887"/>
    <w:rsid w:val="007C22D0"/>
    <w:rsid w:val="007C2753"/>
    <w:rsid w:val="007C3A98"/>
    <w:rsid w:val="007C7923"/>
    <w:rsid w:val="007D154D"/>
    <w:rsid w:val="007D1BB5"/>
    <w:rsid w:val="007D20A6"/>
    <w:rsid w:val="007D4F10"/>
    <w:rsid w:val="007D5648"/>
    <w:rsid w:val="007E0702"/>
    <w:rsid w:val="007E15F7"/>
    <w:rsid w:val="007E1B42"/>
    <w:rsid w:val="007E2F92"/>
    <w:rsid w:val="007E3959"/>
    <w:rsid w:val="007E475E"/>
    <w:rsid w:val="007E66C4"/>
    <w:rsid w:val="007F1CFE"/>
    <w:rsid w:val="007F5073"/>
    <w:rsid w:val="007F5424"/>
    <w:rsid w:val="007F69F5"/>
    <w:rsid w:val="008029E4"/>
    <w:rsid w:val="0080421C"/>
    <w:rsid w:val="0080573E"/>
    <w:rsid w:val="00806884"/>
    <w:rsid w:val="00806EC5"/>
    <w:rsid w:val="00811710"/>
    <w:rsid w:val="00811DCD"/>
    <w:rsid w:val="00813A36"/>
    <w:rsid w:val="00814DEB"/>
    <w:rsid w:val="0081537E"/>
    <w:rsid w:val="00815CD4"/>
    <w:rsid w:val="0081624E"/>
    <w:rsid w:val="00816263"/>
    <w:rsid w:val="00816444"/>
    <w:rsid w:val="0081776F"/>
    <w:rsid w:val="00820016"/>
    <w:rsid w:val="00820CFF"/>
    <w:rsid w:val="00821185"/>
    <w:rsid w:val="00821247"/>
    <w:rsid w:val="00821CE6"/>
    <w:rsid w:val="00832ABC"/>
    <w:rsid w:val="00832D5B"/>
    <w:rsid w:val="00832FCC"/>
    <w:rsid w:val="0083377C"/>
    <w:rsid w:val="00833CA6"/>
    <w:rsid w:val="008359BA"/>
    <w:rsid w:val="00835B08"/>
    <w:rsid w:val="0083609B"/>
    <w:rsid w:val="00837688"/>
    <w:rsid w:val="008405AA"/>
    <w:rsid w:val="008430FF"/>
    <w:rsid w:val="008471E9"/>
    <w:rsid w:val="008476E4"/>
    <w:rsid w:val="00847703"/>
    <w:rsid w:val="008506A5"/>
    <w:rsid w:val="0085092F"/>
    <w:rsid w:val="00851213"/>
    <w:rsid w:val="00852CFA"/>
    <w:rsid w:val="008539DD"/>
    <w:rsid w:val="0085459A"/>
    <w:rsid w:val="00854A8A"/>
    <w:rsid w:val="00856F9A"/>
    <w:rsid w:val="00857B54"/>
    <w:rsid w:val="00860E2F"/>
    <w:rsid w:val="00860F78"/>
    <w:rsid w:val="0086213E"/>
    <w:rsid w:val="008646B0"/>
    <w:rsid w:val="00864C42"/>
    <w:rsid w:val="008664A0"/>
    <w:rsid w:val="008676E6"/>
    <w:rsid w:val="00867FAE"/>
    <w:rsid w:val="008700EE"/>
    <w:rsid w:val="008705D6"/>
    <w:rsid w:val="00870CC2"/>
    <w:rsid w:val="0087176F"/>
    <w:rsid w:val="00871B63"/>
    <w:rsid w:val="00872496"/>
    <w:rsid w:val="008726EB"/>
    <w:rsid w:val="00874248"/>
    <w:rsid w:val="00880789"/>
    <w:rsid w:val="00880F2E"/>
    <w:rsid w:val="0088204B"/>
    <w:rsid w:val="00885F25"/>
    <w:rsid w:val="00891416"/>
    <w:rsid w:val="00891466"/>
    <w:rsid w:val="00896227"/>
    <w:rsid w:val="00896A9A"/>
    <w:rsid w:val="008A03F1"/>
    <w:rsid w:val="008A3973"/>
    <w:rsid w:val="008A4E07"/>
    <w:rsid w:val="008B270A"/>
    <w:rsid w:val="008B281C"/>
    <w:rsid w:val="008B4769"/>
    <w:rsid w:val="008B674A"/>
    <w:rsid w:val="008C36E4"/>
    <w:rsid w:val="008C4771"/>
    <w:rsid w:val="008C76A5"/>
    <w:rsid w:val="008D2BA3"/>
    <w:rsid w:val="008D2C38"/>
    <w:rsid w:val="008D3684"/>
    <w:rsid w:val="008D596B"/>
    <w:rsid w:val="008D739D"/>
    <w:rsid w:val="008E0431"/>
    <w:rsid w:val="008E5318"/>
    <w:rsid w:val="008E5922"/>
    <w:rsid w:val="008E6B04"/>
    <w:rsid w:val="008F539C"/>
    <w:rsid w:val="008F5414"/>
    <w:rsid w:val="008F61AE"/>
    <w:rsid w:val="008F7277"/>
    <w:rsid w:val="008F7DA9"/>
    <w:rsid w:val="0090097B"/>
    <w:rsid w:val="00900B0D"/>
    <w:rsid w:val="00905F35"/>
    <w:rsid w:val="0090622D"/>
    <w:rsid w:val="009115E6"/>
    <w:rsid w:val="00911B20"/>
    <w:rsid w:val="00911FA1"/>
    <w:rsid w:val="0091253B"/>
    <w:rsid w:val="00913EAF"/>
    <w:rsid w:val="00914627"/>
    <w:rsid w:val="009162B5"/>
    <w:rsid w:val="00916CDB"/>
    <w:rsid w:val="009170DE"/>
    <w:rsid w:val="009171DA"/>
    <w:rsid w:val="00925480"/>
    <w:rsid w:val="00925628"/>
    <w:rsid w:val="009271DB"/>
    <w:rsid w:val="00927BDD"/>
    <w:rsid w:val="00931775"/>
    <w:rsid w:val="00934294"/>
    <w:rsid w:val="00935E2F"/>
    <w:rsid w:val="009406F1"/>
    <w:rsid w:val="00941D00"/>
    <w:rsid w:val="00941E63"/>
    <w:rsid w:val="00942A99"/>
    <w:rsid w:val="00942F3F"/>
    <w:rsid w:val="00945247"/>
    <w:rsid w:val="00946C52"/>
    <w:rsid w:val="00951797"/>
    <w:rsid w:val="00951A04"/>
    <w:rsid w:val="009540B4"/>
    <w:rsid w:val="009558E5"/>
    <w:rsid w:val="00955BCD"/>
    <w:rsid w:val="00957A6F"/>
    <w:rsid w:val="00957FB1"/>
    <w:rsid w:val="00960203"/>
    <w:rsid w:val="009603B7"/>
    <w:rsid w:val="00961BBE"/>
    <w:rsid w:val="00962381"/>
    <w:rsid w:val="00962934"/>
    <w:rsid w:val="009655C5"/>
    <w:rsid w:val="00966020"/>
    <w:rsid w:val="00966185"/>
    <w:rsid w:val="0096669E"/>
    <w:rsid w:val="00966BBC"/>
    <w:rsid w:val="00971749"/>
    <w:rsid w:val="00972C3C"/>
    <w:rsid w:val="00972F92"/>
    <w:rsid w:val="009739D9"/>
    <w:rsid w:val="00974017"/>
    <w:rsid w:val="00974511"/>
    <w:rsid w:val="009750A5"/>
    <w:rsid w:val="00976D66"/>
    <w:rsid w:val="00981184"/>
    <w:rsid w:val="009815A2"/>
    <w:rsid w:val="009819EB"/>
    <w:rsid w:val="00985508"/>
    <w:rsid w:val="009857D2"/>
    <w:rsid w:val="009909B8"/>
    <w:rsid w:val="00991F26"/>
    <w:rsid w:val="00992AFB"/>
    <w:rsid w:val="00994162"/>
    <w:rsid w:val="009942F1"/>
    <w:rsid w:val="0099622E"/>
    <w:rsid w:val="00996ED5"/>
    <w:rsid w:val="009A3D69"/>
    <w:rsid w:val="009A49CA"/>
    <w:rsid w:val="009B10B3"/>
    <w:rsid w:val="009B347E"/>
    <w:rsid w:val="009B36FF"/>
    <w:rsid w:val="009B3955"/>
    <w:rsid w:val="009B3B3D"/>
    <w:rsid w:val="009C0482"/>
    <w:rsid w:val="009C1127"/>
    <w:rsid w:val="009C308D"/>
    <w:rsid w:val="009C5091"/>
    <w:rsid w:val="009D102A"/>
    <w:rsid w:val="009D334B"/>
    <w:rsid w:val="009D3D04"/>
    <w:rsid w:val="009D5B7C"/>
    <w:rsid w:val="009D5F57"/>
    <w:rsid w:val="009D615A"/>
    <w:rsid w:val="009D6EFF"/>
    <w:rsid w:val="009E32A8"/>
    <w:rsid w:val="009E33B6"/>
    <w:rsid w:val="009E4EBD"/>
    <w:rsid w:val="009E5825"/>
    <w:rsid w:val="009E60FD"/>
    <w:rsid w:val="009E72F6"/>
    <w:rsid w:val="009F19E0"/>
    <w:rsid w:val="009F250E"/>
    <w:rsid w:val="009F2B42"/>
    <w:rsid w:val="009F4151"/>
    <w:rsid w:val="009F4519"/>
    <w:rsid w:val="009F4C0D"/>
    <w:rsid w:val="009F6780"/>
    <w:rsid w:val="00A02745"/>
    <w:rsid w:val="00A04962"/>
    <w:rsid w:val="00A06F3A"/>
    <w:rsid w:val="00A12F79"/>
    <w:rsid w:val="00A13910"/>
    <w:rsid w:val="00A15E2E"/>
    <w:rsid w:val="00A1726B"/>
    <w:rsid w:val="00A22DD0"/>
    <w:rsid w:val="00A2307D"/>
    <w:rsid w:val="00A26D76"/>
    <w:rsid w:val="00A30FAB"/>
    <w:rsid w:val="00A32B8B"/>
    <w:rsid w:val="00A345DF"/>
    <w:rsid w:val="00A34E2B"/>
    <w:rsid w:val="00A3528C"/>
    <w:rsid w:val="00A3580B"/>
    <w:rsid w:val="00A3629C"/>
    <w:rsid w:val="00A4211E"/>
    <w:rsid w:val="00A42185"/>
    <w:rsid w:val="00A42CC4"/>
    <w:rsid w:val="00A42E60"/>
    <w:rsid w:val="00A45646"/>
    <w:rsid w:val="00A46FE3"/>
    <w:rsid w:val="00A47891"/>
    <w:rsid w:val="00A50DAD"/>
    <w:rsid w:val="00A5160E"/>
    <w:rsid w:val="00A54DFD"/>
    <w:rsid w:val="00A56E71"/>
    <w:rsid w:val="00A579CA"/>
    <w:rsid w:val="00A57F5A"/>
    <w:rsid w:val="00A61B38"/>
    <w:rsid w:val="00A6211F"/>
    <w:rsid w:val="00A6280F"/>
    <w:rsid w:val="00A6403C"/>
    <w:rsid w:val="00A645E1"/>
    <w:rsid w:val="00A67001"/>
    <w:rsid w:val="00A70400"/>
    <w:rsid w:val="00A720F1"/>
    <w:rsid w:val="00A77D34"/>
    <w:rsid w:val="00A82939"/>
    <w:rsid w:val="00A85BA2"/>
    <w:rsid w:val="00A8697E"/>
    <w:rsid w:val="00A872CF"/>
    <w:rsid w:val="00A90450"/>
    <w:rsid w:val="00A90D63"/>
    <w:rsid w:val="00A92EE4"/>
    <w:rsid w:val="00A935F4"/>
    <w:rsid w:val="00A93CE8"/>
    <w:rsid w:val="00A93FCD"/>
    <w:rsid w:val="00A944E5"/>
    <w:rsid w:val="00A97572"/>
    <w:rsid w:val="00AA0DE7"/>
    <w:rsid w:val="00AA1A6A"/>
    <w:rsid w:val="00AA32AA"/>
    <w:rsid w:val="00AA433B"/>
    <w:rsid w:val="00AA4A96"/>
    <w:rsid w:val="00AA55D3"/>
    <w:rsid w:val="00AA5ADA"/>
    <w:rsid w:val="00AA695B"/>
    <w:rsid w:val="00AA764A"/>
    <w:rsid w:val="00AB030C"/>
    <w:rsid w:val="00AB0ADD"/>
    <w:rsid w:val="00AB1910"/>
    <w:rsid w:val="00AB1E8B"/>
    <w:rsid w:val="00AB2A13"/>
    <w:rsid w:val="00AB3E11"/>
    <w:rsid w:val="00AB47E7"/>
    <w:rsid w:val="00AC082E"/>
    <w:rsid w:val="00AC22B1"/>
    <w:rsid w:val="00AC313A"/>
    <w:rsid w:val="00AC3410"/>
    <w:rsid w:val="00AC391A"/>
    <w:rsid w:val="00AD0AC6"/>
    <w:rsid w:val="00AD420F"/>
    <w:rsid w:val="00AD56B1"/>
    <w:rsid w:val="00AD7EED"/>
    <w:rsid w:val="00AE006B"/>
    <w:rsid w:val="00AE02C1"/>
    <w:rsid w:val="00AE2A40"/>
    <w:rsid w:val="00AE32B8"/>
    <w:rsid w:val="00AE53E0"/>
    <w:rsid w:val="00AE6BA1"/>
    <w:rsid w:val="00AF0350"/>
    <w:rsid w:val="00AF143B"/>
    <w:rsid w:val="00AF23B8"/>
    <w:rsid w:val="00AF27C2"/>
    <w:rsid w:val="00AF292A"/>
    <w:rsid w:val="00AF681D"/>
    <w:rsid w:val="00B003E8"/>
    <w:rsid w:val="00B004F3"/>
    <w:rsid w:val="00B0056E"/>
    <w:rsid w:val="00B018EC"/>
    <w:rsid w:val="00B03AD9"/>
    <w:rsid w:val="00B0555B"/>
    <w:rsid w:val="00B06233"/>
    <w:rsid w:val="00B0728F"/>
    <w:rsid w:val="00B11A1D"/>
    <w:rsid w:val="00B13671"/>
    <w:rsid w:val="00B13EF3"/>
    <w:rsid w:val="00B15C3C"/>
    <w:rsid w:val="00B17ED1"/>
    <w:rsid w:val="00B20603"/>
    <w:rsid w:val="00B214AA"/>
    <w:rsid w:val="00B2315E"/>
    <w:rsid w:val="00B24D05"/>
    <w:rsid w:val="00B24D4F"/>
    <w:rsid w:val="00B272B1"/>
    <w:rsid w:val="00B27C10"/>
    <w:rsid w:val="00B318B2"/>
    <w:rsid w:val="00B31B42"/>
    <w:rsid w:val="00B33A05"/>
    <w:rsid w:val="00B34A3D"/>
    <w:rsid w:val="00B35E37"/>
    <w:rsid w:val="00B379A8"/>
    <w:rsid w:val="00B40755"/>
    <w:rsid w:val="00B40781"/>
    <w:rsid w:val="00B44DA1"/>
    <w:rsid w:val="00B46C93"/>
    <w:rsid w:val="00B50ECF"/>
    <w:rsid w:val="00B5130C"/>
    <w:rsid w:val="00B61A49"/>
    <w:rsid w:val="00B63D2E"/>
    <w:rsid w:val="00B657BE"/>
    <w:rsid w:val="00B6786A"/>
    <w:rsid w:val="00B72EFF"/>
    <w:rsid w:val="00B732ED"/>
    <w:rsid w:val="00B73E9B"/>
    <w:rsid w:val="00B74408"/>
    <w:rsid w:val="00B83597"/>
    <w:rsid w:val="00B8627E"/>
    <w:rsid w:val="00B86330"/>
    <w:rsid w:val="00B872C3"/>
    <w:rsid w:val="00B905AD"/>
    <w:rsid w:val="00B972D7"/>
    <w:rsid w:val="00B97F8C"/>
    <w:rsid w:val="00BA17E8"/>
    <w:rsid w:val="00BA39A2"/>
    <w:rsid w:val="00BA47F9"/>
    <w:rsid w:val="00BA4A16"/>
    <w:rsid w:val="00BA5BF1"/>
    <w:rsid w:val="00BA6663"/>
    <w:rsid w:val="00BA697A"/>
    <w:rsid w:val="00BA7677"/>
    <w:rsid w:val="00BB102D"/>
    <w:rsid w:val="00BB2216"/>
    <w:rsid w:val="00BB289D"/>
    <w:rsid w:val="00BB44B1"/>
    <w:rsid w:val="00BB4CEA"/>
    <w:rsid w:val="00BB503A"/>
    <w:rsid w:val="00BB52A1"/>
    <w:rsid w:val="00BB5C07"/>
    <w:rsid w:val="00BB76E4"/>
    <w:rsid w:val="00BC4CA8"/>
    <w:rsid w:val="00BD42BF"/>
    <w:rsid w:val="00BD461D"/>
    <w:rsid w:val="00BD5E79"/>
    <w:rsid w:val="00BD7E37"/>
    <w:rsid w:val="00BE15A9"/>
    <w:rsid w:val="00BE15E3"/>
    <w:rsid w:val="00BE47D0"/>
    <w:rsid w:val="00BE6960"/>
    <w:rsid w:val="00BE69BF"/>
    <w:rsid w:val="00BF2CF7"/>
    <w:rsid w:val="00BF3165"/>
    <w:rsid w:val="00BF3722"/>
    <w:rsid w:val="00BF6422"/>
    <w:rsid w:val="00C021BC"/>
    <w:rsid w:val="00C03F3E"/>
    <w:rsid w:val="00C04177"/>
    <w:rsid w:val="00C047CC"/>
    <w:rsid w:val="00C04D3C"/>
    <w:rsid w:val="00C07D5E"/>
    <w:rsid w:val="00C10B8E"/>
    <w:rsid w:val="00C14FA1"/>
    <w:rsid w:val="00C1721C"/>
    <w:rsid w:val="00C175EA"/>
    <w:rsid w:val="00C217FF"/>
    <w:rsid w:val="00C21AE1"/>
    <w:rsid w:val="00C2424D"/>
    <w:rsid w:val="00C24CCF"/>
    <w:rsid w:val="00C24E7D"/>
    <w:rsid w:val="00C25AE4"/>
    <w:rsid w:val="00C26883"/>
    <w:rsid w:val="00C31918"/>
    <w:rsid w:val="00C33305"/>
    <w:rsid w:val="00C34D39"/>
    <w:rsid w:val="00C4064D"/>
    <w:rsid w:val="00C410FE"/>
    <w:rsid w:val="00C413D8"/>
    <w:rsid w:val="00C431A0"/>
    <w:rsid w:val="00C447C3"/>
    <w:rsid w:val="00C44C0A"/>
    <w:rsid w:val="00C5049A"/>
    <w:rsid w:val="00C52542"/>
    <w:rsid w:val="00C54218"/>
    <w:rsid w:val="00C60E83"/>
    <w:rsid w:val="00C61320"/>
    <w:rsid w:val="00C620C7"/>
    <w:rsid w:val="00C62908"/>
    <w:rsid w:val="00C6566A"/>
    <w:rsid w:val="00C7063C"/>
    <w:rsid w:val="00C71AC2"/>
    <w:rsid w:val="00C72355"/>
    <w:rsid w:val="00C77380"/>
    <w:rsid w:val="00C80104"/>
    <w:rsid w:val="00C8017F"/>
    <w:rsid w:val="00C81644"/>
    <w:rsid w:val="00C83033"/>
    <w:rsid w:val="00C8341A"/>
    <w:rsid w:val="00C84245"/>
    <w:rsid w:val="00C86E3C"/>
    <w:rsid w:val="00C87E27"/>
    <w:rsid w:val="00C90C71"/>
    <w:rsid w:val="00C92F68"/>
    <w:rsid w:val="00C93187"/>
    <w:rsid w:val="00C93726"/>
    <w:rsid w:val="00C97F30"/>
    <w:rsid w:val="00CA1103"/>
    <w:rsid w:val="00CA2F86"/>
    <w:rsid w:val="00CA2FC9"/>
    <w:rsid w:val="00CA38D6"/>
    <w:rsid w:val="00CA5207"/>
    <w:rsid w:val="00CA62B4"/>
    <w:rsid w:val="00CB023F"/>
    <w:rsid w:val="00CB18CC"/>
    <w:rsid w:val="00CB27C6"/>
    <w:rsid w:val="00CB329D"/>
    <w:rsid w:val="00CB3898"/>
    <w:rsid w:val="00CB4832"/>
    <w:rsid w:val="00CB4DA4"/>
    <w:rsid w:val="00CB5449"/>
    <w:rsid w:val="00CB78F0"/>
    <w:rsid w:val="00CC0D54"/>
    <w:rsid w:val="00CC1C7D"/>
    <w:rsid w:val="00CC2A7A"/>
    <w:rsid w:val="00CC2B75"/>
    <w:rsid w:val="00CC2C8F"/>
    <w:rsid w:val="00CC40C0"/>
    <w:rsid w:val="00CC45D8"/>
    <w:rsid w:val="00CC74CA"/>
    <w:rsid w:val="00CD0608"/>
    <w:rsid w:val="00CD22C0"/>
    <w:rsid w:val="00CD2624"/>
    <w:rsid w:val="00CD54D5"/>
    <w:rsid w:val="00CD5710"/>
    <w:rsid w:val="00CD66E2"/>
    <w:rsid w:val="00CD6870"/>
    <w:rsid w:val="00CD7120"/>
    <w:rsid w:val="00CE1A4B"/>
    <w:rsid w:val="00CE26DC"/>
    <w:rsid w:val="00CE462F"/>
    <w:rsid w:val="00CE4E45"/>
    <w:rsid w:val="00CF55DD"/>
    <w:rsid w:val="00CF6653"/>
    <w:rsid w:val="00D00681"/>
    <w:rsid w:val="00D00EB6"/>
    <w:rsid w:val="00D01AC6"/>
    <w:rsid w:val="00D026D2"/>
    <w:rsid w:val="00D03821"/>
    <w:rsid w:val="00D03992"/>
    <w:rsid w:val="00D03C75"/>
    <w:rsid w:val="00D05BE2"/>
    <w:rsid w:val="00D06135"/>
    <w:rsid w:val="00D0681B"/>
    <w:rsid w:val="00D10AF9"/>
    <w:rsid w:val="00D11FDD"/>
    <w:rsid w:val="00D13BA1"/>
    <w:rsid w:val="00D16D60"/>
    <w:rsid w:val="00D16ED0"/>
    <w:rsid w:val="00D26CCA"/>
    <w:rsid w:val="00D26D9F"/>
    <w:rsid w:val="00D276D1"/>
    <w:rsid w:val="00D30547"/>
    <w:rsid w:val="00D30DD1"/>
    <w:rsid w:val="00D31C90"/>
    <w:rsid w:val="00D31DC4"/>
    <w:rsid w:val="00D32E32"/>
    <w:rsid w:val="00D3592B"/>
    <w:rsid w:val="00D36BB2"/>
    <w:rsid w:val="00D37800"/>
    <w:rsid w:val="00D407FA"/>
    <w:rsid w:val="00D40F58"/>
    <w:rsid w:val="00D42F49"/>
    <w:rsid w:val="00D43F59"/>
    <w:rsid w:val="00D45A1D"/>
    <w:rsid w:val="00D47499"/>
    <w:rsid w:val="00D50EF0"/>
    <w:rsid w:val="00D541E8"/>
    <w:rsid w:val="00D55515"/>
    <w:rsid w:val="00D56E88"/>
    <w:rsid w:val="00D57B41"/>
    <w:rsid w:val="00D57F29"/>
    <w:rsid w:val="00D60076"/>
    <w:rsid w:val="00D64161"/>
    <w:rsid w:val="00D65065"/>
    <w:rsid w:val="00D6545B"/>
    <w:rsid w:val="00D66A78"/>
    <w:rsid w:val="00D72507"/>
    <w:rsid w:val="00D734B5"/>
    <w:rsid w:val="00D74104"/>
    <w:rsid w:val="00D75A63"/>
    <w:rsid w:val="00D75B88"/>
    <w:rsid w:val="00D803F9"/>
    <w:rsid w:val="00D80BD7"/>
    <w:rsid w:val="00D82876"/>
    <w:rsid w:val="00D840F4"/>
    <w:rsid w:val="00D841CF"/>
    <w:rsid w:val="00D90819"/>
    <w:rsid w:val="00D90845"/>
    <w:rsid w:val="00D9165C"/>
    <w:rsid w:val="00D92174"/>
    <w:rsid w:val="00D927D4"/>
    <w:rsid w:val="00D9532B"/>
    <w:rsid w:val="00D96A8F"/>
    <w:rsid w:val="00D96F17"/>
    <w:rsid w:val="00D97007"/>
    <w:rsid w:val="00D97ADE"/>
    <w:rsid w:val="00D97E37"/>
    <w:rsid w:val="00DA0EE2"/>
    <w:rsid w:val="00DA1E03"/>
    <w:rsid w:val="00DA679C"/>
    <w:rsid w:val="00DA6C5D"/>
    <w:rsid w:val="00DA6FEC"/>
    <w:rsid w:val="00DB04BE"/>
    <w:rsid w:val="00DB3ABB"/>
    <w:rsid w:val="00DB5A28"/>
    <w:rsid w:val="00DB670C"/>
    <w:rsid w:val="00DC43B8"/>
    <w:rsid w:val="00DC4F94"/>
    <w:rsid w:val="00DD0736"/>
    <w:rsid w:val="00DD218D"/>
    <w:rsid w:val="00DD4936"/>
    <w:rsid w:val="00DD4CF4"/>
    <w:rsid w:val="00DD4E50"/>
    <w:rsid w:val="00DD6E57"/>
    <w:rsid w:val="00DD785E"/>
    <w:rsid w:val="00DD7BC9"/>
    <w:rsid w:val="00DE105D"/>
    <w:rsid w:val="00DE2143"/>
    <w:rsid w:val="00DE2D6E"/>
    <w:rsid w:val="00DE4203"/>
    <w:rsid w:val="00DE5C99"/>
    <w:rsid w:val="00DE5EA4"/>
    <w:rsid w:val="00DE7619"/>
    <w:rsid w:val="00DF204B"/>
    <w:rsid w:val="00DF2AF0"/>
    <w:rsid w:val="00DF2EAD"/>
    <w:rsid w:val="00DF3053"/>
    <w:rsid w:val="00DF5249"/>
    <w:rsid w:val="00DF571B"/>
    <w:rsid w:val="00DF6866"/>
    <w:rsid w:val="00DF71F1"/>
    <w:rsid w:val="00E009D4"/>
    <w:rsid w:val="00E01A19"/>
    <w:rsid w:val="00E02D0F"/>
    <w:rsid w:val="00E0332B"/>
    <w:rsid w:val="00E04850"/>
    <w:rsid w:val="00E049E5"/>
    <w:rsid w:val="00E063ED"/>
    <w:rsid w:val="00E0727D"/>
    <w:rsid w:val="00E12F0A"/>
    <w:rsid w:val="00E14C50"/>
    <w:rsid w:val="00E15E05"/>
    <w:rsid w:val="00E16DE2"/>
    <w:rsid w:val="00E178C2"/>
    <w:rsid w:val="00E2328F"/>
    <w:rsid w:val="00E24608"/>
    <w:rsid w:val="00E26A2C"/>
    <w:rsid w:val="00E26C1E"/>
    <w:rsid w:val="00E27269"/>
    <w:rsid w:val="00E27755"/>
    <w:rsid w:val="00E340E8"/>
    <w:rsid w:val="00E345FC"/>
    <w:rsid w:val="00E34792"/>
    <w:rsid w:val="00E358CD"/>
    <w:rsid w:val="00E35E87"/>
    <w:rsid w:val="00E360F5"/>
    <w:rsid w:val="00E426A3"/>
    <w:rsid w:val="00E42A2F"/>
    <w:rsid w:val="00E42D3A"/>
    <w:rsid w:val="00E45253"/>
    <w:rsid w:val="00E4577A"/>
    <w:rsid w:val="00E470D3"/>
    <w:rsid w:val="00E519C3"/>
    <w:rsid w:val="00E52071"/>
    <w:rsid w:val="00E57D54"/>
    <w:rsid w:val="00E60B6C"/>
    <w:rsid w:val="00E6267E"/>
    <w:rsid w:val="00E65161"/>
    <w:rsid w:val="00E658FD"/>
    <w:rsid w:val="00E65E89"/>
    <w:rsid w:val="00E66CA3"/>
    <w:rsid w:val="00E66CD0"/>
    <w:rsid w:val="00E677A2"/>
    <w:rsid w:val="00E802CD"/>
    <w:rsid w:val="00E819B3"/>
    <w:rsid w:val="00E83F9E"/>
    <w:rsid w:val="00E84E9B"/>
    <w:rsid w:val="00E8538B"/>
    <w:rsid w:val="00E87466"/>
    <w:rsid w:val="00E87C4F"/>
    <w:rsid w:val="00E906E9"/>
    <w:rsid w:val="00E932B3"/>
    <w:rsid w:val="00E935E8"/>
    <w:rsid w:val="00E93E61"/>
    <w:rsid w:val="00E93FB6"/>
    <w:rsid w:val="00E9460A"/>
    <w:rsid w:val="00E959D6"/>
    <w:rsid w:val="00E95E51"/>
    <w:rsid w:val="00E96172"/>
    <w:rsid w:val="00E9668A"/>
    <w:rsid w:val="00E96C53"/>
    <w:rsid w:val="00E9708B"/>
    <w:rsid w:val="00E978EF"/>
    <w:rsid w:val="00EA04B5"/>
    <w:rsid w:val="00EA0F1D"/>
    <w:rsid w:val="00EA3927"/>
    <w:rsid w:val="00EA48EC"/>
    <w:rsid w:val="00EA4CB0"/>
    <w:rsid w:val="00EB0997"/>
    <w:rsid w:val="00EB1967"/>
    <w:rsid w:val="00EB206A"/>
    <w:rsid w:val="00EB342B"/>
    <w:rsid w:val="00EB3656"/>
    <w:rsid w:val="00EB6908"/>
    <w:rsid w:val="00EB7ADF"/>
    <w:rsid w:val="00EC01BC"/>
    <w:rsid w:val="00EC09A0"/>
    <w:rsid w:val="00EC1E16"/>
    <w:rsid w:val="00EC4F9B"/>
    <w:rsid w:val="00EC51BC"/>
    <w:rsid w:val="00EC65A6"/>
    <w:rsid w:val="00EC767D"/>
    <w:rsid w:val="00ED219C"/>
    <w:rsid w:val="00ED24C4"/>
    <w:rsid w:val="00ED32A8"/>
    <w:rsid w:val="00ED3A4D"/>
    <w:rsid w:val="00EE07D2"/>
    <w:rsid w:val="00EE1C04"/>
    <w:rsid w:val="00EE37C6"/>
    <w:rsid w:val="00EE67FE"/>
    <w:rsid w:val="00EF3B7B"/>
    <w:rsid w:val="00EF4AD1"/>
    <w:rsid w:val="00EF52AD"/>
    <w:rsid w:val="00F0652D"/>
    <w:rsid w:val="00F06F0D"/>
    <w:rsid w:val="00F07B07"/>
    <w:rsid w:val="00F12D41"/>
    <w:rsid w:val="00F133DF"/>
    <w:rsid w:val="00F1384A"/>
    <w:rsid w:val="00F14B3E"/>
    <w:rsid w:val="00F154BE"/>
    <w:rsid w:val="00F159C5"/>
    <w:rsid w:val="00F15A15"/>
    <w:rsid w:val="00F16BE6"/>
    <w:rsid w:val="00F16F04"/>
    <w:rsid w:val="00F17848"/>
    <w:rsid w:val="00F20534"/>
    <w:rsid w:val="00F21141"/>
    <w:rsid w:val="00F23E38"/>
    <w:rsid w:val="00F24715"/>
    <w:rsid w:val="00F26B6A"/>
    <w:rsid w:val="00F27247"/>
    <w:rsid w:val="00F27504"/>
    <w:rsid w:val="00F311DF"/>
    <w:rsid w:val="00F31422"/>
    <w:rsid w:val="00F323E8"/>
    <w:rsid w:val="00F349DC"/>
    <w:rsid w:val="00F40432"/>
    <w:rsid w:val="00F418B1"/>
    <w:rsid w:val="00F42A9B"/>
    <w:rsid w:val="00F42D2A"/>
    <w:rsid w:val="00F42F81"/>
    <w:rsid w:val="00F430CE"/>
    <w:rsid w:val="00F43EBE"/>
    <w:rsid w:val="00F44E44"/>
    <w:rsid w:val="00F45B49"/>
    <w:rsid w:val="00F46C69"/>
    <w:rsid w:val="00F47193"/>
    <w:rsid w:val="00F50822"/>
    <w:rsid w:val="00F50861"/>
    <w:rsid w:val="00F50F1F"/>
    <w:rsid w:val="00F52636"/>
    <w:rsid w:val="00F530F9"/>
    <w:rsid w:val="00F5487B"/>
    <w:rsid w:val="00F5493C"/>
    <w:rsid w:val="00F5608A"/>
    <w:rsid w:val="00F60458"/>
    <w:rsid w:val="00F63A02"/>
    <w:rsid w:val="00F63C25"/>
    <w:rsid w:val="00F6497D"/>
    <w:rsid w:val="00F65C2E"/>
    <w:rsid w:val="00F726E1"/>
    <w:rsid w:val="00F72F53"/>
    <w:rsid w:val="00F73175"/>
    <w:rsid w:val="00F7341A"/>
    <w:rsid w:val="00F74117"/>
    <w:rsid w:val="00F75C09"/>
    <w:rsid w:val="00F76886"/>
    <w:rsid w:val="00F76E2E"/>
    <w:rsid w:val="00F7777A"/>
    <w:rsid w:val="00F77CD9"/>
    <w:rsid w:val="00F840DE"/>
    <w:rsid w:val="00F85421"/>
    <w:rsid w:val="00F9080E"/>
    <w:rsid w:val="00F92370"/>
    <w:rsid w:val="00F92DC4"/>
    <w:rsid w:val="00F932D9"/>
    <w:rsid w:val="00F96092"/>
    <w:rsid w:val="00F961E5"/>
    <w:rsid w:val="00F9757B"/>
    <w:rsid w:val="00F97ED5"/>
    <w:rsid w:val="00F97F3D"/>
    <w:rsid w:val="00FA0272"/>
    <w:rsid w:val="00FA28CE"/>
    <w:rsid w:val="00FA39E5"/>
    <w:rsid w:val="00FA5632"/>
    <w:rsid w:val="00FA7167"/>
    <w:rsid w:val="00FA7BC6"/>
    <w:rsid w:val="00FB0CD5"/>
    <w:rsid w:val="00FB1862"/>
    <w:rsid w:val="00FC605C"/>
    <w:rsid w:val="00FC7156"/>
    <w:rsid w:val="00FD0280"/>
    <w:rsid w:val="00FD0984"/>
    <w:rsid w:val="00FD0BFD"/>
    <w:rsid w:val="00FD193E"/>
    <w:rsid w:val="00FD40BD"/>
    <w:rsid w:val="00FD4B1C"/>
    <w:rsid w:val="00FD61A6"/>
    <w:rsid w:val="00FD634D"/>
    <w:rsid w:val="00FE2264"/>
    <w:rsid w:val="00FE4345"/>
    <w:rsid w:val="00FE5E75"/>
    <w:rsid w:val="00FE75A1"/>
    <w:rsid w:val="00FF2D26"/>
    <w:rsid w:val="00FF41DC"/>
    <w:rsid w:val="00FF6583"/>
    <w:rsid w:val="00FF6807"/>
    <w:rsid w:val="2876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34A476"/>
  <w15:docId w15:val="{7D295B44-A17C-4E5E-8AD9-6CCD57B1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pPr>
      <w:widowControl w:val="0"/>
      <w:jc w:val="both"/>
    </w:pPr>
    <w:rPr>
      <w:kern w:val="2"/>
      <w:sz w:val="21"/>
      <w:szCs w:val="22"/>
    </w:rPr>
  </w:style>
  <w:style w:type="paragraph" w:styleId="30">
    <w:name w:val="heading 3"/>
    <w:basedOn w:val="a2"/>
    <w:next w:val="a2"/>
    <w:link w:val="31"/>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2"/>
    <w:next w:val="a2"/>
    <w:uiPriority w:val="35"/>
    <w:unhideWhenUsed/>
    <w:qFormat/>
    <w:rPr>
      <w:rFonts w:asciiTheme="majorHAnsi" w:eastAsia="黑体" w:hAnsiTheme="majorHAnsi" w:cstheme="majorBidi"/>
      <w:sz w:val="20"/>
      <w:szCs w:val="20"/>
    </w:rPr>
  </w:style>
  <w:style w:type="paragraph" w:styleId="a7">
    <w:name w:val="annotation text"/>
    <w:basedOn w:val="a2"/>
    <w:link w:val="a8"/>
    <w:uiPriority w:val="99"/>
    <w:semiHidden/>
    <w:unhideWhenUsed/>
    <w:pPr>
      <w:jc w:val="left"/>
    </w:pPr>
  </w:style>
  <w:style w:type="paragraph" w:styleId="50">
    <w:name w:val="toc 5"/>
    <w:basedOn w:val="a2"/>
    <w:next w:val="a2"/>
    <w:uiPriority w:val="39"/>
    <w:semiHidden/>
    <w:unhideWhenUsed/>
    <w:qFormat/>
    <w:pPr>
      <w:ind w:leftChars="800" w:left="1680"/>
    </w:pPr>
  </w:style>
  <w:style w:type="paragraph" w:styleId="a9">
    <w:name w:val="endnote text"/>
    <w:basedOn w:val="a2"/>
    <w:link w:val="aa"/>
    <w:uiPriority w:val="99"/>
    <w:semiHidden/>
    <w:unhideWhenUsed/>
    <w:pPr>
      <w:snapToGrid w:val="0"/>
      <w:jc w:val="left"/>
    </w:pPr>
  </w:style>
  <w:style w:type="paragraph" w:styleId="ab">
    <w:name w:val="Balloon Text"/>
    <w:basedOn w:val="a2"/>
    <w:link w:val="ac"/>
    <w:uiPriority w:val="99"/>
    <w:semiHidden/>
    <w:unhideWhenUsed/>
    <w:rPr>
      <w:sz w:val="18"/>
      <w:szCs w:val="18"/>
    </w:rPr>
  </w:style>
  <w:style w:type="paragraph" w:styleId="ad">
    <w:name w:val="footer"/>
    <w:basedOn w:val="a2"/>
    <w:link w:val="ae"/>
    <w:uiPriority w:val="99"/>
    <w:unhideWhenUsed/>
    <w:pPr>
      <w:tabs>
        <w:tab w:val="center" w:pos="4153"/>
        <w:tab w:val="right" w:pos="8306"/>
      </w:tabs>
      <w:snapToGrid w:val="0"/>
      <w:jc w:val="left"/>
    </w:pPr>
    <w:rPr>
      <w:sz w:val="18"/>
      <w:szCs w:val="18"/>
    </w:rPr>
  </w:style>
  <w:style w:type="paragraph" w:styleId="af">
    <w:name w:val="header"/>
    <w:basedOn w:val="a2"/>
    <w:link w:val="af0"/>
    <w:uiPriority w:val="99"/>
    <w:unhideWhenUsed/>
    <w:pPr>
      <w:pBdr>
        <w:bottom w:val="single" w:sz="6" w:space="1" w:color="auto"/>
      </w:pBdr>
      <w:tabs>
        <w:tab w:val="center" w:pos="4153"/>
        <w:tab w:val="right" w:pos="8306"/>
      </w:tabs>
      <w:snapToGrid w:val="0"/>
      <w:jc w:val="center"/>
    </w:pPr>
    <w:rPr>
      <w:sz w:val="18"/>
      <w:szCs w:val="18"/>
    </w:rPr>
  </w:style>
  <w:style w:type="paragraph" w:styleId="af1">
    <w:name w:val="footnote text"/>
    <w:basedOn w:val="a2"/>
    <w:link w:val="af2"/>
    <w:uiPriority w:val="99"/>
    <w:semiHidden/>
    <w:unhideWhenUsed/>
    <w:pPr>
      <w:snapToGrid w:val="0"/>
      <w:jc w:val="left"/>
    </w:pPr>
    <w:rPr>
      <w:sz w:val="18"/>
      <w:szCs w:val="18"/>
    </w:rPr>
  </w:style>
  <w:style w:type="paragraph" w:styleId="af3">
    <w:name w:val="Normal (Web)"/>
    <w:basedOn w:val="a2"/>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f4">
    <w:name w:val="annotation subject"/>
    <w:basedOn w:val="a7"/>
    <w:next w:val="a7"/>
    <w:link w:val="af5"/>
    <w:uiPriority w:val="99"/>
    <w:semiHidden/>
    <w:unhideWhenUsed/>
    <w:rPr>
      <w:b/>
      <w:bCs/>
    </w:rPr>
  </w:style>
  <w:style w:type="table" w:styleId="af6">
    <w:name w:val="Table Grid"/>
    <w:basedOn w:val="a4"/>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endnote reference"/>
    <w:basedOn w:val="a3"/>
    <w:uiPriority w:val="99"/>
    <w:semiHidden/>
    <w:unhideWhenUsed/>
    <w:rPr>
      <w:vertAlign w:val="superscript"/>
    </w:rPr>
  </w:style>
  <w:style w:type="character" w:styleId="af8">
    <w:name w:val="Emphasis"/>
    <w:basedOn w:val="a3"/>
    <w:uiPriority w:val="20"/>
    <w:qFormat/>
    <w:rPr>
      <w:i/>
      <w:iCs/>
    </w:rPr>
  </w:style>
  <w:style w:type="character" w:styleId="af9">
    <w:name w:val="Hyperlink"/>
    <w:basedOn w:val="a3"/>
    <w:uiPriority w:val="99"/>
    <w:unhideWhenUsed/>
    <w:rPr>
      <w:color w:val="0000FF"/>
      <w:u w:val="single"/>
    </w:rPr>
  </w:style>
  <w:style w:type="character" w:styleId="afa">
    <w:name w:val="annotation reference"/>
    <w:basedOn w:val="a3"/>
    <w:uiPriority w:val="99"/>
    <w:semiHidden/>
    <w:unhideWhenUsed/>
    <w:rPr>
      <w:sz w:val="21"/>
      <w:szCs w:val="21"/>
    </w:rPr>
  </w:style>
  <w:style w:type="character" w:styleId="afb">
    <w:name w:val="footnote reference"/>
    <w:basedOn w:val="a3"/>
    <w:uiPriority w:val="99"/>
    <w:semiHidden/>
    <w:unhideWhenUsed/>
    <w:rPr>
      <w:vertAlign w:val="superscript"/>
    </w:rPr>
  </w:style>
  <w:style w:type="character" w:customStyle="1" w:styleId="af0">
    <w:name w:val="页眉 字符"/>
    <w:basedOn w:val="a3"/>
    <w:link w:val="af"/>
    <w:uiPriority w:val="99"/>
    <w:rPr>
      <w:sz w:val="18"/>
      <w:szCs w:val="18"/>
    </w:rPr>
  </w:style>
  <w:style w:type="character" w:customStyle="1" w:styleId="ae">
    <w:name w:val="页脚 字符"/>
    <w:basedOn w:val="a3"/>
    <w:link w:val="ad"/>
    <w:uiPriority w:val="99"/>
    <w:rPr>
      <w:sz w:val="18"/>
      <w:szCs w:val="18"/>
    </w:rPr>
  </w:style>
  <w:style w:type="paragraph" w:customStyle="1" w:styleId="afc">
    <w:name w:val="主标题"/>
    <w:basedOn w:val="a2"/>
    <w:link w:val="Char"/>
    <w:qFormat/>
    <w:pPr>
      <w:spacing w:line="720" w:lineRule="auto"/>
      <w:jc w:val="center"/>
    </w:pPr>
    <w:rPr>
      <w:rFonts w:ascii="华文细黑" w:eastAsia="微软雅黑" w:hAnsi="华文细黑"/>
      <w:b/>
      <w:sz w:val="32"/>
      <w:szCs w:val="32"/>
    </w:rPr>
  </w:style>
  <w:style w:type="paragraph" w:customStyle="1" w:styleId="3">
    <w:name w:val="3级标题"/>
    <w:basedOn w:val="2"/>
    <w:link w:val="3Char"/>
    <w:qFormat/>
    <w:pPr>
      <w:numPr>
        <w:ilvl w:val="2"/>
      </w:numPr>
    </w:pPr>
    <w:rPr>
      <w:b w:val="0"/>
    </w:rPr>
  </w:style>
  <w:style w:type="paragraph" w:customStyle="1" w:styleId="2">
    <w:name w:val="2级标题"/>
    <w:basedOn w:val="1"/>
    <w:link w:val="2Char"/>
    <w:qFormat/>
    <w:pPr>
      <w:numPr>
        <w:ilvl w:val="1"/>
      </w:numPr>
    </w:pPr>
    <w:rPr>
      <w:sz w:val="21"/>
      <w:szCs w:val="21"/>
    </w:rPr>
  </w:style>
  <w:style w:type="paragraph" w:customStyle="1" w:styleId="1">
    <w:name w:val="1级标题"/>
    <w:next w:val="a2"/>
    <w:link w:val="1Char"/>
    <w:qFormat/>
    <w:pPr>
      <w:numPr>
        <w:numId w:val="1"/>
      </w:numPr>
      <w:spacing w:before="120" w:after="120"/>
      <w:jc w:val="both"/>
    </w:pPr>
    <w:rPr>
      <w:rFonts w:ascii="Cambria" w:eastAsia="微软雅黑" w:hAnsi="Cambria"/>
      <w:b/>
      <w:bCs/>
      <w:kern w:val="44"/>
      <w:sz w:val="28"/>
      <w:szCs w:val="28"/>
    </w:rPr>
  </w:style>
  <w:style w:type="character" w:customStyle="1" w:styleId="Char">
    <w:name w:val="主标题 Char"/>
    <w:basedOn w:val="a3"/>
    <w:link w:val="afc"/>
    <w:qFormat/>
    <w:rPr>
      <w:rFonts w:ascii="华文细黑" w:eastAsia="微软雅黑" w:hAnsi="华文细黑"/>
      <w:b/>
      <w:sz w:val="32"/>
      <w:szCs w:val="32"/>
    </w:rPr>
  </w:style>
  <w:style w:type="paragraph" w:customStyle="1" w:styleId="4">
    <w:name w:val="4级标题"/>
    <w:basedOn w:val="3"/>
    <w:link w:val="4Char"/>
    <w:qFormat/>
    <w:pPr>
      <w:numPr>
        <w:ilvl w:val="3"/>
      </w:numPr>
    </w:pPr>
  </w:style>
  <w:style w:type="paragraph" w:customStyle="1" w:styleId="5">
    <w:name w:val="5级标题"/>
    <w:basedOn w:val="4"/>
    <w:link w:val="5Char"/>
    <w:qFormat/>
    <w:pPr>
      <w:numPr>
        <w:ilvl w:val="4"/>
      </w:numPr>
    </w:pPr>
  </w:style>
  <w:style w:type="character" w:customStyle="1" w:styleId="1Char">
    <w:name w:val="1级标题 Char"/>
    <w:basedOn w:val="a3"/>
    <w:link w:val="1"/>
    <w:rPr>
      <w:rFonts w:ascii="Cambria" w:eastAsia="微软雅黑" w:hAnsi="Cambria"/>
      <w:b/>
      <w:bCs/>
      <w:kern w:val="44"/>
      <w:sz w:val="28"/>
      <w:szCs w:val="28"/>
    </w:rPr>
  </w:style>
  <w:style w:type="character" w:customStyle="1" w:styleId="4Char">
    <w:name w:val="4级标题 Char"/>
    <w:basedOn w:val="3Char"/>
    <w:link w:val="4"/>
    <w:rPr>
      <w:rFonts w:ascii="Cambria" w:eastAsia="微软雅黑" w:hAnsi="Cambria"/>
      <w:b w:val="0"/>
      <w:bCs/>
      <w:kern w:val="44"/>
      <w:sz w:val="28"/>
      <w:szCs w:val="21"/>
    </w:rPr>
  </w:style>
  <w:style w:type="character" w:customStyle="1" w:styleId="3Char">
    <w:name w:val="3级标题 Char"/>
    <w:basedOn w:val="2Char"/>
    <w:link w:val="3"/>
    <w:qFormat/>
    <w:rPr>
      <w:rFonts w:ascii="Cambria" w:eastAsia="微软雅黑" w:hAnsi="Cambria"/>
      <w:b w:val="0"/>
      <w:bCs/>
      <w:kern w:val="44"/>
      <w:sz w:val="28"/>
      <w:szCs w:val="21"/>
    </w:rPr>
  </w:style>
  <w:style w:type="character" w:customStyle="1" w:styleId="2Char">
    <w:name w:val="2级标题 Char"/>
    <w:basedOn w:val="1Char"/>
    <w:link w:val="2"/>
    <w:rPr>
      <w:rFonts w:ascii="Cambria" w:eastAsia="微软雅黑" w:hAnsi="Cambria"/>
      <w:b/>
      <w:bCs/>
      <w:kern w:val="44"/>
      <w:sz w:val="28"/>
      <w:szCs w:val="21"/>
    </w:rPr>
  </w:style>
  <w:style w:type="character" w:customStyle="1" w:styleId="5Char">
    <w:name w:val="5级标题 Char"/>
    <w:basedOn w:val="4Char"/>
    <w:link w:val="5"/>
    <w:qFormat/>
    <w:rPr>
      <w:rFonts w:ascii="Cambria" w:eastAsia="微软雅黑" w:hAnsi="Cambria"/>
      <w:b w:val="0"/>
      <w:bCs/>
      <w:kern w:val="44"/>
      <w:sz w:val="28"/>
      <w:szCs w:val="21"/>
    </w:rPr>
  </w:style>
  <w:style w:type="paragraph" w:customStyle="1" w:styleId="afd">
    <w:name w:val="正文格式"/>
    <w:link w:val="Char0"/>
    <w:qFormat/>
    <w:pPr>
      <w:ind w:firstLineChars="200" w:firstLine="200"/>
    </w:pPr>
    <w:rPr>
      <w:rFonts w:ascii="Cambria" w:eastAsia="微软雅黑" w:hAnsi="Cambria"/>
      <w:kern w:val="2"/>
      <w:sz w:val="21"/>
      <w:szCs w:val="21"/>
    </w:rPr>
  </w:style>
  <w:style w:type="character" w:customStyle="1" w:styleId="Char0">
    <w:name w:val="正文格式 Char"/>
    <w:basedOn w:val="a3"/>
    <w:link w:val="afd"/>
    <w:rPr>
      <w:rFonts w:ascii="Cambria" w:eastAsia="微软雅黑" w:hAnsi="Cambria"/>
      <w:szCs w:val="21"/>
    </w:rPr>
  </w:style>
  <w:style w:type="character" w:customStyle="1" w:styleId="ac">
    <w:name w:val="批注框文本 字符"/>
    <w:basedOn w:val="a3"/>
    <w:link w:val="ab"/>
    <w:uiPriority w:val="99"/>
    <w:semiHidden/>
    <w:rPr>
      <w:sz w:val="18"/>
      <w:szCs w:val="18"/>
    </w:rPr>
  </w:style>
  <w:style w:type="paragraph" w:customStyle="1" w:styleId="10">
    <w:name w:val="一级标题1"/>
    <w:basedOn w:val="afe"/>
    <w:link w:val="1Char0"/>
    <w:pPr>
      <w:numPr>
        <w:numId w:val="2"/>
      </w:numPr>
      <w:spacing w:before="120" w:after="120" w:line="0" w:lineRule="atLeast"/>
      <w:ind w:firstLineChars="0" w:firstLine="0"/>
      <w:outlineLvl w:val="0"/>
    </w:pPr>
    <w:rPr>
      <w:rFonts w:ascii="华文细黑" w:eastAsia="华文细黑" w:hAnsi="华文细黑"/>
      <w:b/>
      <w:sz w:val="28"/>
      <w:szCs w:val="28"/>
    </w:rPr>
  </w:style>
  <w:style w:type="paragraph" w:styleId="afe">
    <w:name w:val="List Paragraph"/>
    <w:basedOn w:val="a2"/>
    <w:link w:val="aff"/>
    <w:uiPriority w:val="34"/>
    <w:qFormat/>
    <w:pPr>
      <w:ind w:firstLineChars="200" w:firstLine="420"/>
    </w:pPr>
  </w:style>
  <w:style w:type="character" w:customStyle="1" w:styleId="1Char0">
    <w:name w:val="一级标题1 Char"/>
    <w:basedOn w:val="a3"/>
    <w:link w:val="10"/>
    <w:rPr>
      <w:rFonts w:ascii="华文细黑" w:eastAsia="华文细黑" w:hAnsi="华文细黑"/>
      <w:b/>
      <w:sz w:val="28"/>
      <w:szCs w:val="28"/>
    </w:rPr>
  </w:style>
  <w:style w:type="paragraph" w:customStyle="1" w:styleId="a">
    <w:name w:val="二级标题"/>
    <w:basedOn w:val="afe"/>
    <w:link w:val="Char1"/>
    <w:pPr>
      <w:numPr>
        <w:numId w:val="3"/>
      </w:numPr>
      <w:spacing w:before="120" w:after="120" w:line="0" w:lineRule="atLeast"/>
      <w:ind w:rightChars="100" w:right="100" w:firstLineChars="0" w:firstLine="0"/>
      <w:outlineLvl w:val="1"/>
    </w:pPr>
    <w:rPr>
      <w:rFonts w:eastAsia="华文细黑"/>
      <w:b/>
      <w:szCs w:val="21"/>
    </w:rPr>
  </w:style>
  <w:style w:type="paragraph" w:customStyle="1" w:styleId="a0">
    <w:name w:val="三级标题"/>
    <w:basedOn w:val="afe"/>
    <w:link w:val="Char2"/>
    <w:pPr>
      <w:numPr>
        <w:ilvl w:val="1"/>
        <w:numId w:val="3"/>
      </w:numPr>
      <w:spacing w:before="120" w:after="120" w:line="0" w:lineRule="atLeast"/>
      <w:ind w:leftChars="400" w:left="400" w:rightChars="100" w:right="100" w:firstLineChars="0" w:firstLine="0"/>
      <w:outlineLvl w:val="2"/>
    </w:pPr>
    <w:rPr>
      <w:rFonts w:eastAsia="华文细黑"/>
      <w:szCs w:val="21"/>
    </w:rPr>
  </w:style>
  <w:style w:type="character" w:customStyle="1" w:styleId="Char1">
    <w:name w:val="二级标题 Char"/>
    <w:basedOn w:val="a3"/>
    <w:link w:val="a"/>
    <w:rPr>
      <w:rFonts w:eastAsia="华文细黑"/>
      <w:b/>
      <w:szCs w:val="21"/>
    </w:rPr>
  </w:style>
  <w:style w:type="character" w:customStyle="1" w:styleId="Char2">
    <w:name w:val="三级标题 Char"/>
    <w:basedOn w:val="a3"/>
    <w:link w:val="a0"/>
    <w:qFormat/>
    <w:rPr>
      <w:rFonts w:eastAsia="华文细黑"/>
      <w:szCs w:val="21"/>
    </w:rPr>
  </w:style>
  <w:style w:type="paragraph" w:customStyle="1" w:styleId="a1">
    <w:name w:val="四级标题"/>
    <w:basedOn w:val="afe"/>
    <w:link w:val="Char3"/>
    <w:pPr>
      <w:numPr>
        <w:ilvl w:val="2"/>
        <w:numId w:val="4"/>
      </w:numPr>
      <w:spacing w:before="120" w:after="120" w:line="0" w:lineRule="atLeast"/>
      <w:ind w:leftChars="600" w:left="600" w:firstLineChars="0" w:firstLine="0"/>
      <w:outlineLvl w:val="3"/>
    </w:pPr>
    <w:rPr>
      <w:rFonts w:eastAsia="华文细黑"/>
      <w:szCs w:val="21"/>
    </w:rPr>
  </w:style>
  <w:style w:type="character" w:customStyle="1" w:styleId="Char3">
    <w:name w:val="四级标题 Char"/>
    <w:basedOn w:val="a3"/>
    <w:link w:val="a1"/>
    <w:rPr>
      <w:rFonts w:eastAsia="华文细黑"/>
      <w:szCs w:val="21"/>
    </w:rPr>
  </w:style>
  <w:style w:type="character" w:customStyle="1" w:styleId="aff">
    <w:name w:val="列出段落 字符"/>
    <w:basedOn w:val="a3"/>
    <w:link w:val="afe"/>
    <w:uiPriority w:val="34"/>
    <w:qFormat/>
  </w:style>
  <w:style w:type="character" w:customStyle="1" w:styleId="af2">
    <w:name w:val="脚注文本 字符"/>
    <w:basedOn w:val="a3"/>
    <w:link w:val="af1"/>
    <w:uiPriority w:val="99"/>
    <w:semiHidden/>
    <w:rPr>
      <w:sz w:val="18"/>
      <w:szCs w:val="18"/>
    </w:rPr>
  </w:style>
  <w:style w:type="character" w:customStyle="1" w:styleId="31">
    <w:name w:val="标题 3 字符"/>
    <w:basedOn w:val="a3"/>
    <w:link w:val="30"/>
    <w:uiPriority w:val="9"/>
    <w:rPr>
      <w:rFonts w:ascii="宋体" w:eastAsia="宋体" w:hAnsi="宋体" w:cs="宋体"/>
      <w:b/>
      <w:bCs/>
      <w:kern w:val="0"/>
      <w:sz w:val="27"/>
      <w:szCs w:val="27"/>
    </w:rPr>
  </w:style>
  <w:style w:type="paragraph" w:customStyle="1" w:styleId="c-author">
    <w:name w:val="c-author"/>
    <w:basedOn w:val="a2"/>
    <w:pPr>
      <w:widowControl/>
      <w:spacing w:before="100" w:beforeAutospacing="1" w:after="100" w:afterAutospacing="1"/>
      <w:jc w:val="left"/>
    </w:pPr>
    <w:rPr>
      <w:rFonts w:ascii="宋体" w:eastAsia="宋体" w:hAnsi="宋体" w:cs="宋体"/>
      <w:kern w:val="0"/>
      <w:sz w:val="24"/>
      <w:szCs w:val="24"/>
    </w:rPr>
  </w:style>
  <w:style w:type="character" w:customStyle="1" w:styleId="c-info">
    <w:name w:val="c-info"/>
    <w:basedOn w:val="a3"/>
  </w:style>
  <w:style w:type="character" w:customStyle="1" w:styleId="aa">
    <w:name w:val="尾注文本 字符"/>
    <w:basedOn w:val="a3"/>
    <w:link w:val="a9"/>
    <w:uiPriority w:val="99"/>
    <w:semiHidden/>
  </w:style>
  <w:style w:type="paragraph" w:customStyle="1" w:styleId="11">
    <w:name w:val="样式1"/>
    <w:basedOn w:val="afe"/>
    <w:next w:val="a"/>
    <w:link w:val="1Char1"/>
    <w:qFormat/>
    <w:pPr>
      <w:numPr>
        <w:ilvl w:val="1"/>
        <w:numId w:val="5"/>
      </w:numPr>
      <w:ind w:firstLineChars="0" w:firstLine="0"/>
    </w:pPr>
    <w:rPr>
      <w:rFonts w:ascii="黑体" w:eastAsia="黑体" w:hAnsi="黑体"/>
      <w:b/>
      <w:bCs/>
      <w:color w:val="000000" w:themeColor="text1"/>
      <w:kern w:val="44"/>
      <w:szCs w:val="21"/>
    </w:rPr>
  </w:style>
  <w:style w:type="character" w:customStyle="1" w:styleId="1Char1">
    <w:name w:val="样式1 Char"/>
    <w:basedOn w:val="aff"/>
    <w:link w:val="11"/>
    <w:rPr>
      <w:rFonts w:ascii="黑体" w:eastAsia="黑体" w:hAnsi="黑体"/>
      <w:b/>
      <w:bCs/>
      <w:color w:val="000000" w:themeColor="text1"/>
      <w:kern w:val="44"/>
      <w:szCs w:val="21"/>
    </w:rPr>
  </w:style>
  <w:style w:type="table" w:customStyle="1" w:styleId="4-211">
    <w:name w:val="网格表 4 - 着色 211"/>
    <w:basedOn w:val="a4"/>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21">
    <w:name w:val="网格表 4 - 着色 21"/>
    <w:basedOn w:val="a4"/>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210">
    <w:name w:val="网格表 4 - 着色 21"/>
    <w:basedOn w:val="a4"/>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212">
    <w:name w:val="网格表 4 - 着色 212"/>
    <w:basedOn w:val="a4"/>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11">
    <w:name w:val="清单表 6 彩色 - 着色 11"/>
    <w:basedOn w:val="a4"/>
    <w:uiPriority w:val="51"/>
    <w:rPr>
      <w:rFonts w:eastAsia="Times New Roman"/>
      <w:color w:val="365F91"/>
    </w:rPr>
    <w:tblPr>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4-61">
    <w:name w:val="网格表 4 - 着色 61"/>
    <w:basedOn w:val="a4"/>
    <w:uiPriority w:val="49"/>
    <w:rPr>
      <w:rFonts w:eastAsia="Times New Roman"/>
    </w:rPr>
    <w:tblPr>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baogao">
    <w:name w:val="baogao"/>
    <w:basedOn w:val="a4"/>
    <w:uiPriority w:val="99"/>
    <w:rPr>
      <w:rFonts w:eastAsia="楷体"/>
    </w:rPr>
    <w:tblPr/>
    <w:tblStylePr w:type="firstRow">
      <w:rPr>
        <w:rFonts w:eastAsia="楷体"/>
        <w:color w:val="FFFFFF"/>
        <w:sz w:val="21"/>
      </w:rPr>
      <w:tblPr/>
      <w:tcPr>
        <w:shd w:val="clear" w:color="auto" w:fill="BE9664"/>
      </w:tcPr>
    </w:tblStylePr>
    <w:tblStylePr w:type="band1Horz">
      <w:rPr>
        <w:rFonts w:eastAsia="楷体"/>
        <w:sz w:val="21"/>
      </w:rPr>
      <w:tblPr/>
      <w:tcPr>
        <w:shd w:val="clear" w:color="auto" w:fill="F2F2F2"/>
      </w:tcPr>
    </w:tblStylePr>
  </w:style>
  <w:style w:type="table" w:customStyle="1" w:styleId="4-611">
    <w:name w:val="网格表 4 - 着色 611"/>
    <w:basedOn w:val="a4"/>
    <w:uiPriority w:val="49"/>
    <w:tblPr>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6-61">
    <w:name w:val="清单表 6 彩色 - 着色 61"/>
    <w:basedOn w:val="a4"/>
    <w:uiPriority w:val="51"/>
    <w:rPr>
      <w:color w:val="E36C0A"/>
    </w:rPr>
    <w:tblPr>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6-62">
    <w:name w:val="清单表 6 彩色 - 着色 62"/>
    <w:basedOn w:val="a4"/>
    <w:uiPriority w:val="51"/>
    <w:rPr>
      <w:color w:val="538135" w:themeColor="accent6" w:themeShade="BF"/>
    </w:rPr>
    <w:tblPr>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2">
    <w:name w:val="网格表 4 - 着色 62"/>
    <w:basedOn w:val="a4"/>
    <w:uiPriority w:val="49"/>
    <w:tblPr>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4-63">
    <w:name w:val="网格表 4 - 着色 63"/>
    <w:basedOn w:val="a4"/>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jiyu">
    <w:name w:val="jiyu"/>
    <w:basedOn w:val="a4"/>
    <w:uiPriority w:val="99"/>
    <w:pPr>
      <w:jc w:val="both"/>
    </w:pPr>
    <w:rPr>
      <w:rFonts w:eastAsia="楷体"/>
    </w:rPr>
    <w:tblPr/>
    <w:tcPr>
      <w:shd w:val="clear" w:color="auto" w:fill="9CC2E5" w:themeFill="accent1" w:themeFillTint="99"/>
    </w:tcPr>
    <w:tblStylePr w:type="firstRow">
      <w:rPr>
        <w:rFonts w:eastAsia="楷体"/>
        <w:b/>
        <w:color w:val="FFFFFF" w:themeColor="background1"/>
        <w:sz w:val="21"/>
      </w:rPr>
      <w:tblPr/>
      <w:tcPr>
        <w:shd w:val="clear" w:color="auto" w:fill="BE9664"/>
      </w:tcPr>
    </w:tblStylePr>
    <w:tblStylePr w:type="band1Horz">
      <w:rPr>
        <w:rFonts w:eastAsia="楷体"/>
        <w:sz w:val="21"/>
      </w:rPr>
      <w:tblPr/>
      <w:tcPr>
        <w:shd w:val="clear" w:color="auto" w:fill="F2F2F2"/>
      </w:tcPr>
    </w:tblStylePr>
    <w:tblStylePr w:type="band2Horz">
      <w:rPr>
        <w:rFonts w:eastAsia="楷体"/>
        <w:sz w:val="21"/>
      </w:rPr>
      <w:tblPr/>
      <w:tcPr>
        <w:shd w:val="clear" w:color="auto" w:fill="FFFFFF"/>
      </w:tcPr>
    </w:tblStylePr>
  </w:style>
  <w:style w:type="character" w:customStyle="1" w:styleId="a8">
    <w:name w:val="批注文字 字符"/>
    <w:basedOn w:val="a3"/>
    <w:link w:val="a7"/>
    <w:uiPriority w:val="99"/>
    <w:semiHidden/>
  </w:style>
  <w:style w:type="character" w:customStyle="1" w:styleId="af5">
    <w:name w:val="批注主题 字符"/>
    <w:basedOn w:val="a8"/>
    <w:link w:val="af4"/>
    <w:uiPriority w:val="99"/>
    <w:semiHidden/>
    <w:rPr>
      <w:b/>
      <w:bCs/>
    </w:rPr>
  </w:style>
  <w:style w:type="character" w:styleId="aff0">
    <w:name w:val="Placeholder Text"/>
    <w:basedOn w:val="a3"/>
    <w:uiPriority w:val="99"/>
    <w:semiHidden/>
    <w:rPr>
      <w:color w:val="808080"/>
    </w:rPr>
  </w:style>
  <w:style w:type="table" w:customStyle="1" w:styleId="41">
    <w:name w:val="无格式表格 41"/>
    <w:basedOn w:val="a4"/>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xuyichen@fofund.com.cn"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hansijie@fofund.com.cn"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uyichen@fofund.com.c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ansijie@fofund.com.cn"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xuyichen\Desktop\&#22266;&#25910;+&#30740;&#31350;\&#21487;&#36716;&#20538;&#21450;&#25955;&#28857;&#22270;\&#24180;&#21270;&#25910;&#30410;&#25968;&#25454;v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40740961255101"/>
          <c:y val="7.03889763779528E-2"/>
          <c:w val="0.79817571487774597"/>
          <c:h val="0.77506038923557796"/>
        </c:manualLayout>
      </c:layout>
      <c:scatterChart>
        <c:scatterStyle val="lineMarker"/>
        <c:varyColors val="0"/>
        <c:ser>
          <c:idx val="0"/>
          <c:order val="0"/>
          <c:tx>
            <c:strRef>
              <c:f>Sheet1!$C$1</c:f>
              <c:strCache>
                <c:ptCount val="1"/>
                <c:pt idx="0">
                  <c:v>年化收益率</c:v>
                </c:pt>
              </c:strCache>
            </c:strRef>
          </c:tx>
          <c:spPr>
            <a:ln w="28575" cap="rnd">
              <a:noFill/>
              <a:round/>
            </a:ln>
            <a:effectLst/>
          </c:spPr>
          <c:marker>
            <c:symbol val="circle"/>
            <c:size val="5"/>
            <c:spPr>
              <a:solidFill>
                <a:schemeClr val="accent1"/>
              </a:solidFill>
              <a:ln w="9525">
                <a:solidFill>
                  <a:schemeClr val="accent1"/>
                </a:solidFill>
              </a:ln>
              <a:effectLst/>
            </c:spPr>
          </c:marker>
          <c:dLbls>
            <c:dLbl>
              <c:idx val="0"/>
              <c:layout>
                <c:manualLayout>
                  <c:x val="-5.7017543859649099E-2"/>
                  <c:y val="7.3857142857142705E-2"/>
                </c:manualLayout>
              </c:layout>
              <c:tx>
                <c:rich>
                  <a:bodyPr/>
                  <a:lstStyle/>
                  <a:p>
                    <a:fld id="{68682CC9-D6D6-4475-BF20-E3D61BE85821}" type="CELLRANGE">
                      <a:rPr lang="zh-CN" altLang="en-US"/>
                      <a:pPr/>
                      <a:t>[CELLRANGE]</a:t>
                    </a:fld>
                    <a:endParaRPr lang="zh-CN" alt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7672-463C-9450-1A333EE2583D}"/>
                </c:ext>
              </c:extLst>
            </c:dLbl>
            <c:dLbl>
              <c:idx val="1"/>
              <c:layout>
                <c:manualLayout>
                  <c:x val="3.39192950597621E-2"/>
                  <c:y val="0.151686839145107"/>
                </c:manualLayout>
              </c:layout>
              <c:tx>
                <c:rich>
                  <a:bodyPr/>
                  <a:lstStyle/>
                  <a:p>
                    <a:fld id="{062978F6-AAF2-445D-B452-3C3278ED0CEF}" type="CELLRANGE">
                      <a:rPr lang="zh-CN" altLang="en-US"/>
                      <a:pPr/>
                      <a:t>[CELLRANGE]</a:t>
                    </a:fld>
                    <a:endParaRPr lang="zh-CN" alt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7672-463C-9450-1A333EE2583D}"/>
                </c:ext>
              </c:extLst>
            </c:dLbl>
            <c:dLbl>
              <c:idx val="2"/>
              <c:layout>
                <c:manualLayout>
                  <c:x val="6.5062441391423406E-2"/>
                  <c:y val="4.1057367829021403E-3"/>
                </c:manualLayout>
              </c:layout>
              <c:tx>
                <c:rich>
                  <a:bodyPr/>
                  <a:lstStyle/>
                  <a:p>
                    <a:fld id="{AE5DE368-78A2-41E9-A2FF-9087A9D245A4}" type="CELLRANGE">
                      <a:rPr lang="en-US" altLang="zh-CN"/>
                      <a:pPr/>
                      <a:t>[CELLRANGE]</a:t>
                    </a:fld>
                    <a:endParaRPr lang="zh-CN" alt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7672-463C-9450-1A333EE2583D}"/>
                </c:ext>
              </c:extLst>
            </c:dLbl>
            <c:dLbl>
              <c:idx val="3"/>
              <c:layout>
                <c:manualLayout>
                  <c:x val="2.2268133307533099E-2"/>
                  <c:y val="6.5285714285714197E-2"/>
                </c:manualLayout>
              </c:layout>
              <c:tx>
                <c:rich>
                  <a:bodyPr/>
                  <a:lstStyle/>
                  <a:p>
                    <a:fld id="{F17DABD3-3823-41C8-B9DC-AB6386E5E3BA}" type="CELLRANGE">
                      <a:rPr lang="zh-CN" altLang="en-US"/>
                      <a:pPr/>
                      <a:t>[CELLRANGE]</a:t>
                    </a:fld>
                    <a:endParaRPr lang="zh-CN" alt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7672-463C-9450-1A333EE2583D}"/>
                </c:ext>
              </c:extLst>
            </c:dLbl>
            <c:dLbl>
              <c:idx val="4"/>
              <c:layout>
                <c:manualLayout>
                  <c:x val="2.1491228070175401E-2"/>
                  <c:y val="-6.9000000000000006E-2"/>
                </c:manualLayout>
              </c:layout>
              <c:tx>
                <c:rich>
                  <a:bodyPr/>
                  <a:lstStyle/>
                  <a:p>
                    <a:fld id="{BDC78DFE-2D58-48BF-8C2A-47E77A3423A6}" type="CELLRANGE">
                      <a:rPr lang="zh-CN" altLang="en-US"/>
                      <a:pPr/>
                      <a:t>[CELLRANGE]</a:t>
                    </a:fld>
                    <a:endParaRPr lang="zh-CN" alt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7672-463C-9450-1A333EE2583D}"/>
                </c:ext>
              </c:extLst>
            </c:dLbl>
            <c:dLbl>
              <c:idx val="5"/>
              <c:layout>
                <c:manualLayout>
                  <c:x val="2.7922391081077001E-2"/>
                  <c:y val="-3.4551856017997699E-2"/>
                </c:manualLayout>
              </c:layout>
              <c:tx>
                <c:rich>
                  <a:bodyPr/>
                  <a:lstStyle/>
                  <a:p>
                    <a:fld id="{857564F5-7FE6-4AB4-B415-E27B025B8E0A}" type="CELLRANGE">
                      <a:rPr lang="zh-CN" altLang="en-US"/>
                      <a:pPr/>
                      <a:t>[CELLRANGE]</a:t>
                    </a:fld>
                    <a:endParaRPr lang="zh-CN" alt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7672-463C-9450-1A333EE2583D}"/>
                </c:ext>
              </c:extLst>
            </c:dLbl>
            <c:dLbl>
              <c:idx val="6"/>
              <c:layout>
                <c:manualLayout>
                  <c:x val="-0.123125195361922"/>
                  <c:y val="-0.173777727784027"/>
                </c:manualLayout>
              </c:layout>
              <c:tx>
                <c:rich>
                  <a:bodyPr/>
                  <a:lstStyle/>
                  <a:p>
                    <a:fld id="{C7B266FA-5346-414A-9CD5-535314CEA022}" type="CELLRANGE">
                      <a:rPr lang="en-US" altLang="zh-CN"/>
                      <a:pPr/>
                      <a:t>[CELLRANGE]</a:t>
                    </a:fld>
                    <a:endParaRPr lang="zh-CN" alt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7672-463C-9450-1A333EE2583D}"/>
                </c:ext>
              </c:extLst>
            </c:dLbl>
            <c:dLbl>
              <c:idx val="7"/>
              <c:layout>
                <c:manualLayout>
                  <c:x val="-8.5763419708926994E-2"/>
                  <c:y val="-6.8350550217919998E-2"/>
                </c:manualLayout>
              </c:layout>
              <c:tx>
                <c:rich>
                  <a:bodyPr/>
                  <a:lstStyle/>
                  <a:p>
                    <a:fld id="{3B04687E-D87E-4451-A4D7-D2E7F90E17E4}" type="CELLRANGE">
                      <a:rPr lang="en-US" altLang="zh-CN"/>
                      <a:pPr/>
                      <a:t>[CELLRANGE]</a:t>
                    </a:fld>
                    <a:endParaRPr lang="zh-CN" alt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7672-463C-9450-1A333EE2583D}"/>
                </c:ext>
              </c:extLst>
            </c:dLbl>
            <c:dLbl>
              <c:idx val="8"/>
              <c:layout>
                <c:manualLayout>
                  <c:x val="9.4565559038999308E-3"/>
                  <c:y val="3.1136172386848598E-2"/>
                </c:manualLayout>
              </c:layout>
              <c:tx>
                <c:rich>
                  <a:bodyPr/>
                  <a:lstStyle/>
                  <a:p>
                    <a:fld id="{93FF48E9-CCE5-4A07-8701-28DE3F1CDEFE}" type="CELLRANGE">
                      <a:rPr lang="zh-CN" altLang="en-US"/>
                      <a:pPr/>
                      <a:t>[CELLRANGE]</a:t>
                    </a:fld>
                    <a:endParaRPr lang="zh-CN" alt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7672-463C-9450-1A333EE2583D}"/>
                </c:ext>
              </c:extLst>
            </c:dLbl>
            <c:spPr>
              <a:noFill/>
              <a:ln>
                <a:noFill/>
              </a:ln>
              <a:effectLst/>
            </c:spPr>
            <c:txPr>
              <a:bodyPr rot="0" spcFirstLastPara="1" vertOverflow="ellipsis" vert="horz" wrap="square" lIns="38100" tIns="19050" rIns="38100" bIns="19050" anchor="ctr" anchorCtr="1">
                <a:spAutoFit/>
              </a:bodyPr>
              <a:lstStyle/>
              <a:p>
                <a:pPr>
                  <a:defRPr lang="zh-CN" sz="1100" b="0" i="0" u="none" strike="noStrike" kern="1200" baseline="0">
                    <a:solidFill>
                      <a:schemeClr val="tx1">
                        <a:lumMod val="75000"/>
                        <a:lumOff val="25000"/>
                      </a:schemeClr>
                    </a:solidFill>
                    <a:latin typeface="楷体" panose="02010609060101010101" pitchFamily="3" charset="-122"/>
                    <a:ea typeface="楷体" panose="02010609060101010101" pitchFamily="3" charset="-122"/>
                    <a:cs typeface="+mn-cs"/>
                  </a:defRPr>
                </a:pPr>
                <a:endParaRPr lang="zh-CN"/>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Sheet1!$B$2:$B$10</c:f>
              <c:numCache>
                <c:formatCode>0.00%</c:formatCode>
                <c:ptCount val="9"/>
                <c:pt idx="0">
                  <c:v>0.180164852188438</c:v>
                </c:pt>
                <c:pt idx="1">
                  <c:v>0.12279150513447901</c:v>
                </c:pt>
                <c:pt idx="2">
                  <c:v>4.8013617908487703E-2</c:v>
                </c:pt>
                <c:pt idx="3">
                  <c:v>4.1484068057607702E-2</c:v>
                </c:pt>
                <c:pt idx="4">
                  <c:v>3.5365426012385702E-2</c:v>
                </c:pt>
                <c:pt idx="5">
                  <c:v>3.1993331931723303E-2</c:v>
                </c:pt>
                <c:pt idx="6">
                  <c:v>3.1970671484009401E-2</c:v>
                </c:pt>
                <c:pt idx="7">
                  <c:v>1.93498672214562E-2</c:v>
                </c:pt>
                <c:pt idx="8">
                  <c:v>1.34902878037072E-2</c:v>
                </c:pt>
              </c:numCache>
            </c:numRef>
          </c:xVal>
          <c:yVal>
            <c:numRef>
              <c:f>Sheet1!$C$2:$C$10</c:f>
              <c:numCache>
                <c:formatCode>0.00%</c:formatCode>
                <c:ptCount val="9"/>
                <c:pt idx="0">
                  <c:v>0.123941888302822</c:v>
                </c:pt>
                <c:pt idx="1">
                  <c:v>5.1475886537553799E-2</c:v>
                </c:pt>
                <c:pt idx="2">
                  <c:v>6.5315096132399206E-2</c:v>
                </c:pt>
                <c:pt idx="3">
                  <c:v>4.5141272307890799E-2</c:v>
                </c:pt>
                <c:pt idx="4">
                  <c:v>6.2896477082163602E-2</c:v>
                </c:pt>
                <c:pt idx="5">
                  <c:v>4.6856396252402198E-2</c:v>
                </c:pt>
                <c:pt idx="6">
                  <c:v>6.2561812169367806E-2</c:v>
                </c:pt>
                <c:pt idx="7">
                  <c:v>4.5966286729115097E-2</c:v>
                </c:pt>
                <c:pt idx="8">
                  <c:v>3.06407510607829E-2</c:v>
                </c:pt>
              </c:numCache>
            </c:numRef>
          </c:yVal>
          <c:smooth val="0"/>
          <c:extLst>
            <c:ext xmlns:c15="http://schemas.microsoft.com/office/drawing/2012/chart" uri="{02D57815-91ED-43cb-92C2-25804820EDAC}">
              <c15:datalabelsRange>
                <c15:f>Sheet1!$A$2:$A$10</c15:f>
                <c15:dlblRangeCache>
                  <c:ptCount val="9"/>
                  <c:pt idx="0">
                    <c:v>股票基金</c:v>
                  </c:pt>
                  <c:pt idx="1">
                    <c:v>可转债基金</c:v>
                  </c:pt>
                  <c:pt idx="2">
                    <c:v>偏股型固收+</c:v>
                  </c:pt>
                  <c:pt idx="3">
                    <c:v>二级债基</c:v>
                  </c:pt>
                  <c:pt idx="4">
                    <c:v>偏债混合</c:v>
                  </c:pt>
                  <c:pt idx="5">
                    <c:v>股票市场中性</c:v>
                  </c:pt>
                  <c:pt idx="6">
                    <c:v>均衡型固收+</c:v>
                  </c:pt>
                  <c:pt idx="7">
                    <c:v>偏债型固收+</c:v>
                  </c:pt>
                  <c:pt idx="8">
                    <c:v>纯债债基</c:v>
                  </c:pt>
                </c15:dlblRangeCache>
              </c15:datalabelsRange>
            </c:ext>
            <c:ext xmlns:c16="http://schemas.microsoft.com/office/drawing/2014/chart" uri="{C3380CC4-5D6E-409C-BE32-E72D297353CC}">
              <c16:uniqueId val="{00000009-7672-463C-9450-1A333EE2583D}"/>
            </c:ext>
          </c:extLst>
        </c:ser>
        <c:dLbls>
          <c:showLegendKey val="0"/>
          <c:showVal val="0"/>
          <c:showCatName val="0"/>
          <c:showSerName val="0"/>
          <c:showPercent val="0"/>
          <c:showBubbleSize val="0"/>
        </c:dLbls>
        <c:axId val="389185472"/>
        <c:axId val="389183792"/>
      </c:scatterChart>
      <c:valAx>
        <c:axId val="389185472"/>
        <c:scaling>
          <c:orientation val="minMax"/>
        </c:scaling>
        <c:delete val="0"/>
        <c:axPos val="b"/>
        <c:title>
          <c:tx>
            <c:rich>
              <a:bodyPr rot="0" spcFirstLastPara="1" vertOverflow="ellipsis" vert="horz" wrap="square" anchor="ctr" anchorCtr="1"/>
              <a:lstStyle/>
              <a:p>
                <a:pPr>
                  <a:defRPr lang="zh-CN" sz="11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mn-cs"/>
                  </a:defRPr>
                </a:pPr>
                <a:r>
                  <a:rPr lang="zh-CN"/>
                  <a:t>年化波动率</a:t>
                </a:r>
                <a:endParaRPr lang="en-US"/>
              </a:p>
            </c:rich>
          </c:tx>
          <c:overlay val="0"/>
          <c:spPr>
            <a:noFill/>
            <a:ln>
              <a:noFill/>
            </a:ln>
            <a:effectLst/>
          </c:spPr>
          <c:txPr>
            <a:bodyPr rot="0" spcFirstLastPara="1" vertOverflow="ellipsis" vert="horz" wrap="square" anchor="ctr" anchorCtr="1"/>
            <a:lstStyle/>
            <a:p>
              <a:pPr>
                <a:defRPr lang="zh-CN" sz="11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mn-cs"/>
                </a:defRPr>
              </a:pPr>
              <a:endParaRPr lang="zh-CN"/>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11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mn-cs"/>
              </a:defRPr>
            </a:pPr>
            <a:endParaRPr lang="zh-CN"/>
          </a:p>
        </c:txPr>
        <c:crossAx val="389183792"/>
        <c:crosses val="autoZero"/>
        <c:crossBetween val="midCat"/>
      </c:valAx>
      <c:valAx>
        <c:axId val="389183792"/>
        <c:scaling>
          <c:orientation val="minMax"/>
        </c:scaling>
        <c:delete val="0"/>
        <c:axPos val="l"/>
        <c:title>
          <c:tx>
            <c:rich>
              <a:bodyPr rot="-5400000" spcFirstLastPara="1" vertOverflow="ellipsis" vert="horz" wrap="square" anchor="ctr" anchorCtr="1"/>
              <a:lstStyle/>
              <a:p>
                <a:pPr>
                  <a:defRPr lang="zh-CN" sz="11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mn-cs"/>
                  </a:defRPr>
                </a:pPr>
                <a:r>
                  <a:rPr lang="zh-CN"/>
                  <a:t>年化收益率</a:t>
                </a:r>
                <a:endParaRPr lang="en-US"/>
              </a:p>
            </c:rich>
          </c:tx>
          <c:overlay val="0"/>
          <c:spPr>
            <a:noFill/>
            <a:ln>
              <a:noFill/>
            </a:ln>
            <a:effectLst/>
          </c:spPr>
          <c:txPr>
            <a:bodyPr rot="-5400000" spcFirstLastPara="1" vertOverflow="ellipsis" vert="horz" wrap="square" anchor="ctr" anchorCtr="1"/>
            <a:lstStyle/>
            <a:p>
              <a:pPr>
                <a:defRPr lang="zh-CN" sz="11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mn-cs"/>
                </a:defRPr>
              </a:pPr>
              <a:endParaRPr lang="zh-CN"/>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11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mn-cs"/>
              </a:defRPr>
            </a:pPr>
            <a:endParaRPr lang="zh-CN"/>
          </a:p>
        </c:txPr>
        <c:crossAx val="38918547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sz="1100">
          <a:latin typeface="楷体" panose="02010609060101010101" pitchFamily="3" charset="-122"/>
          <a:ea typeface="楷体" panose="02010609060101010101" pitchFamily="3" charset="-122"/>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0.138</cdr:x>
      <cdr:y>0.28698</cdr:y>
    </cdr:from>
    <cdr:to>
      <cdr:x>0.27985</cdr:x>
      <cdr:y>0.35429</cdr:y>
    </cdr:to>
    <cdr:sp macro="" textlink="">
      <cdr:nvSpPr>
        <cdr:cNvPr id="2" name="矩形 1"/>
        <cdr:cNvSpPr/>
      </cdr:nvSpPr>
      <cdr:spPr>
        <a:xfrm xmlns:a="http://schemas.openxmlformats.org/drawingml/2006/main">
          <a:off x="856145" y="763929"/>
          <a:ext cx="880058" cy="179163"/>
        </a:xfrm>
        <a:prstGeom xmlns:a="http://schemas.openxmlformats.org/drawingml/2006/main" prst="rect">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vert="horz" wrap="none" lIns="45720" tIns="45720" rIns="45720" bIns="45720" anchor="t" anchorCtr="0">
          <a:normAutofit/>
        </a:bodyPr>
        <a:lstStyle xmlns:a="http://schemas.openxmlformats.org/drawingml/2006/main"/>
        <a:p xmlns:a="http://schemas.openxmlformats.org/drawingml/2006/main">
          <a:endParaRPr lang="zh-CN"/>
        </a:p>
      </cdr:txBody>
    </cdr:sp>
  </cdr:relSizeAnchor>
  <cdr:relSizeAnchor xmlns:cdr="http://schemas.openxmlformats.org/drawingml/2006/chartDrawing">
    <cdr:from>
      <cdr:x>0.13231</cdr:x>
      <cdr:y>0.48918</cdr:y>
    </cdr:from>
    <cdr:to>
      <cdr:x>0.25653</cdr:x>
      <cdr:y>0.55006</cdr:y>
    </cdr:to>
    <cdr:sp macro="" textlink="">
      <cdr:nvSpPr>
        <cdr:cNvPr id="3" name="矩形 2"/>
        <cdr:cNvSpPr/>
      </cdr:nvSpPr>
      <cdr:spPr>
        <a:xfrm xmlns:a="http://schemas.openxmlformats.org/drawingml/2006/main">
          <a:off x="820861" y="1302152"/>
          <a:ext cx="770657" cy="162059"/>
        </a:xfrm>
        <a:prstGeom xmlns:a="http://schemas.openxmlformats.org/drawingml/2006/main" prst="rect">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vert="horz" wrap="none" lIns="45720" tIns="45720" rIns="45720" bIns="45720" anchor="t" anchorCtr="0">
          <a:normAutofit/>
        </a:bodyPr>
        <a:lstStyle xmlns:a="http://schemas.openxmlformats.org/drawingml/2006/main"/>
        <a:p xmlns:a="http://schemas.openxmlformats.org/drawingml/2006/main">
          <a:endParaRPr lang="zh-CN"/>
        </a:p>
      </cdr:txBody>
    </cdr:sp>
  </cdr:relSizeAnchor>
  <cdr:relSizeAnchor xmlns:cdr="http://schemas.openxmlformats.org/drawingml/2006/chartDrawing">
    <cdr:from>
      <cdr:x>0.39036</cdr:x>
      <cdr:y>0.45994</cdr:y>
    </cdr:from>
    <cdr:to>
      <cdr:x>0.53919</cdr:x>
      <cdr:y>0.51962</cdr:y>
    </cdr:to>
    <cdr:sp macro="" textlink="">
      <cdr:nvSpPr>
        <cdr:cNvPr id="4" name="矩形 3"/>
        <cdr:cNvSpPr/>
      </cdr:nvSpPr>
      <cdr:spPr>
        <a:xfrm xmlns:a="http://schemas.openxmlformats.org/drawingml/2006/main">
          <a:off x="2421774" y="1224329"/>
          <a:ext cx="923310" cy="158846"/>
        </a:xfrm>
        <a:prstGeom xmlns:a="http://schemas.openxmlformats.org/drawingml/2006/main" prst="rect">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vert="horz" wrap="none" lIns="45720" tIns="45720" rIns="45720" bIns="45720" anchor="t" anchorCtr="0">
          <a:normAutofit/>
        </a:bodyPr>
        <a:lstStyle xmlns:a="http://schemas.openxmlformats.org/drawingml/2006/main"/>
        <a:p xmlns:a="http://schemas.openxmlformats.org/drawingml/2006/main">
          <a:endParaRPr lang="zh-CN"/>
        </a:p>
      </cdr:txBody>
    </cdr:sp>
  </cdr:relSizeAnchor>
  <cdr:relSizeAnchor xmlns:cdr="http://schemas.openxmlformats.org/drawingml/2006/chartDrawing">
    <cdr:from>
      <cdr:x>0.17538</cdr:x>
      <cdr:y>0.15436</cdr:y>
    </cdr:from>
    <cdr:to>
      <cdr:x>0.84703</cdr:x>
      <cdr:y>0.67615</cdr:y>
    </cdr:to>
    <cdr:sp macro="" textlink="">
      <cdr:nvSpPr>
        <cdr:cNvPr id="5" name="任意多边形 4"/>
        <cdr:cNvSpPr/>
      </cdr:nvSpPr>
      <cdr:spPr>
        <a:xfrm xmlns:a="http://schemas.openxmlformats.org/drawingml/2006/main">
          <a:off x="1088021" y="410901"/>
          <a:ext cx="4166885" cy="1388962"/>
        </a:xfrm>
        <a:custGeom xmlns:a="http://schemas.openxmlformats.org/drawingml/2006/main">
          <a:avLst/>
          <a:gdLst>
            <a:gd name="connsiteX0" fmla="*/ 0 w 4392592"/>
            <a:gd name="connsiteY0" fmla="*/ 1388962 h 1388962"/>
            <a:gd name="connsiteX1" fmla="*/ 1556795 w 4392592"/>
            <a:gd name="connsiteY1" fmla="*/ 260430 h 1388962"/>
            <a:gd name="connsiteX2" fmla="*/ 4392592 w 4392592"/>
            <a:gd name="connsiteY2" fmla="*/ 0 h 1388962"/>
          </a:gdLst>
          <a:ahLst/>
          <a:cxnLst>
            <a:cxn ang="0">
              <a:pos x="connsiteX0" y="connsiteY0"/>
            </a:cxn>
            <a:cxn ang="0">
              <a:pos x="connsiteX1" y="connsiteY1"/>
            </a:cxn>
            <a:cxn ang="0">
              <a:pos x="connsiteX2" y="connsiteY2"/>
            </a:cxn>
          </a:cxnLst>
          <a:rect l="l" t="t" r="r" b="b"/>
          <a:pathLst>
            <a:path w="4392592" h="1388962">
              <a:moveTo>
                <a:pt x="0" y="1388962"/>
              </a:moveTo>
              <a:cubicBezTo>
                <a:pt x="412348" y="940443"/>
                <a:pt x="824696" y="491924"/>
                <a:pt x="1556795" y="260430"/>
              </a:cubicBezTo>
              <a:cubicBezTo>
                <a:pt x="2288894" y="28936"/>
                <a:pt x="3919959" y="28937"/>
                <a:pt x="4392592" y="0"/>
              </a:cubicBezTo>
            </a:path>
          </a:pathLst>
        </a:custGeom>
        <a:noFill xmlns:a="http://schemas.openxmlformats.org/drawingml/2006/main"/>
        <a:ln xmlns:a="http://schemas.openxmlformats.org/drawingml/2006/main">
          <a:solidFill>
            <a:schemeClr val="bg1">
              <a:lumMod val="65000"/>
            </a:schemeClr>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vert="horz" wrap="none" lIns="45720" tIns="45720" rIns="45720" bIns="45720" anchor="t" anchorCtr="0">
          <a:normAutofit/>
        </a:bodyPr>
        <a:lstStyle xmlns:a="http://schemas.openxmlformats.org/drawingml/2006/main"/>
        <a:p xmlns:a="http://schemas.openxmlformats.org/drawingml/2006/main">
          <a:endParaRPr lang="zh-CN"/>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A76F2E-856C-4BB3-9E94-34B9CED2E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2310</Words>
  <Characters>13171</Characters>
  <Application>Microsoft Office Word</Application>
  <DocSecurity>0</DocSecurity>
  <Lines>109</Lines>
  <Paragraphs>30</Paragraphs>
  <ScaleCrop>false</ScaleCrop>
  <Company>Microsoft</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基构通固收研究 - 近1月信用利差收窄，中高等级信用债基近1年平均回报6.07%——中高等级信用债基月报2019年8月</dc:title>
  <dc:creator>王喆</dc:creator>
  <cp:lastModifiedBy>徐意辰</cp:lastModifiedBy>
  <cp:revision>14</cp:revision>
  <cp:lastPrinted>2021-07-06T02:35:00Z</cp:lastPrinted>
  <dcterms:created xsi:type="dcterms:W3CDTF">2021-07-06T05:38:00Z</dcterms:created>
  <dcterms:modified xsi:type="dcterms:W3CDTF">2021-07-28T08:44:00Z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A4549F0EE81D440BBE6E5F67908AF09D</vt:lpwstr>
  </property>
</Properties>
</file>