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6230" w14:textId="77777777" w:rsidR="00694F14" w:rsidRDefault="00A463B7">
      <w:pPr>
        <w:spacing w:line="300" w:lineRule="auto"/>
        <w:jc w:val="right"/>
        <w:rPr>
          <w:rFonts w:ascii="华文宋体" w:hAnsi="华文宋体"/>
          <w:szCs w:val="21"/>
        </w:rPr>
      </w:pPr>
      <w:r>
        <w:rPr>
          <w:rFonts w:ascii="Arial" w:eastAsia="Arial" w:hAnsi="Arial" w:cs="Arial" w:hint="eastAsia"/>
          <w:color w:val="000000"/>
          <w:sz w:val="22"/>
        </w:rPr>
        <w:t>光银托管</w:t>
      </w:r>
      <w:r>
        <w:rPr>
          <w:rFonts w:ascii="Arial" w:eastAsia="宋体" w:hAnsi="Arial" w:cs="Arial" w:hint="eastAsia"/>
          <w:color w:val="000000"/>
          <w:sz w:val="22"/>
        </w:rPr>
        <w:t>青岛</w:t>
      </w:r>
      <w:r>
        <w:rPr>
          <w:rFonts w:ascii="Arial" w:eastAsia="宋体" w:hAnsi="Arial" w:cs="Arial" w:hint="eastAsia"/>
          <w:color w:val="000000"/>
          <w:sz w:val="22"/>
        </w:rPr>
        <w:t>2021QH00</w:t>
      </w:r>
      <w:del w:id="0" w:author="高超" w:date="2021-09-28T14:39:00Z">
        <w:r>
          <w:rPr>
            <w:rFonts w:ascii="Arial" w:eastAsia="宋体" w:hAnsi="Arial" w:cs="Arial"/>
            <w:color w:val="000000"/>
            <w:sz w:val="22"/>
          </w:rPr>
          <w:delText>12</w:delText>
        </w:r>
      </w:del>
      <w:ins w:id="1" w:author="michael" w:date="2021-09-28T13:21:00Z">
        <w:del w:id="2" w:author="高超" w:date="2021-09-28T14:39:00Z">
          <w:r>
            <w:rPr>
              <w:rFonts w:ascii="Arial" w:eastAsia="宋体" w:hAnsi="Arial" w:cs="Arial" w:hint="eastAsia"/>
              <w:color w:val="000000"/>
              <w:sz w:val="22"/>
            </w:rPr>
            <w:delText>XX</w:delText>
          </w:r>
        </w:del>
      </w:ins>
      <w:ins w:id="3" w:author="高超" w:date="2021-09-28T14:39:00Z">
        <w:r>
          <w:rPr>
            <w:rFonts w:ascii="Arial" w:eastAsia="宋体" w:hAnsi="Arial" w:cs="Arial" w:hint="eastAsia"/>
            <w:color w:val="000000"/>
            <w:sz w:val="22"/>
          </w:rPr>
          <w:t>14</w:t>
        </w:r>
      </w:ins>
    </w:p>
    <w:p w14:paraId="606EBA7B" w14:textId="77777777" w:rsidR="00694F14" w:rsidRDefault="00694F14">
      <w:pPr>
        <w:spacing w:line="300" w:lineRule="auto"/>
        <w:rPr>
          <w:rFonts w:ascii="华文宋体" w:hAnsi="华文宋体"/>
          <w:szCs w:val="21"/>
        </w:rPr>
      </w:pPr>
    </w:p>
    <w:p w14:paraId="12F4E205" w14:textId="77777777" w:rsidR="00694F14" w:rsidRDefault="00694F14">
      <w:pPr>
        <w:spacing w:line="300" w:lineRule="auto"/>
        <w:rPr>
          <w:rFonts w:ascii="华文宋体" w:hAnsi="华文宋体"/>
          <w:szCs w:val="21"/>
        </w:rPr>
      </w:pPr>
    </w:p>
    <w:p w14:paraId="578F8B6B" w14:textId="77777777" w:rsidR="00694F14" w:rsidRDefault="00694F14">
      <w:pPr>
        <w:spacing w:line="300" w:lineRule="auto"/>
        <w:rPr>
          <w:rFonts w:ascii="华文宋体" w:hAnsi="华文宋体"/>
          <w:szCs w:val="21"/>
        </w:rPr>
      </w:pPr>
    </w:p>
    <w:p w14:paraId="38E46B27" w14:textId="77777777" w:rsidR="00694F14" w:rsidRDefault="00694F14">
      <w:pPr>
        <w:spacing w:line="300" w:lineRule="auto"/>
        <w:rPr>
          <w:rFonts w:ascii="华文宋体" w:hAnsi="华文宋体"/>
          <w:szCs w:val="21"/>
        </w:rPr>
      </w:pPr>
    </w:p>
    <w:p w14:paraId="2DEF847F" w14:textId="77777777" w:rsidR="00694F14" w:rsidRDefault="00694F14">
      <w:pPr>
        <w:spacing w:line="300" w:lineRule="auto"/>
        <w:rPr>
          <w:rFonts w:ascii="华文宋体" w:hAnsi="华文宋体"/>
          <w:szCs w:val="21"/>
        </w:rPr>
      </w:pPr>
    </w:p>
    <w:p w14:paraId="58BAC0FF" w14:textId="77777777" w:rsidR="00694F14" w:rsidRDefault="00A463B7">
      <w:pPr>
        <w:spacing w:line="300" w:lineRule="auto"/>
        <w:jc w:val="center"/>
        <w:rPr>
          <w:rFonts w:ascii="华文宋体" w:hAnsi="华文宋体"/>
          <w:b/>
          <w:sz w:val="36"/>
          <w:szCs w:val="21"/>
        </w:rPr>
      </w:pPr>
      <w:r>
        <w:rPr>
          <w:rFonts w:ascii="华文宋体" w:hAnsi="华文宋体" w:hint="eastAsia"/>
          <w:b/>
          <w:sz w:val="36"/>
          <w:szCs w:val="21"/>
        </w:rPr>
        <w:t>光大期货光大理财阳光</w:t>
      </w:r>
      <w:proofErr w:type="gramStart"/>
      <w:r>
        <w:rPr>
          <w:rFonts w:ascii="华文宋体" w:hAnsi="华文宋体" w:hint="eastAsia"/>
          <w:b/>
          <w:sz w:val="36"/>
          <w:szCs w:val="21"/>
        </w:rPr>
        <w:t>橙</w:t>
      </w:r>
      <w:proofErr w:type="gramEnd"/>
      <w:r>
        <w:rPr>
          <w:rFonts w:ascii="华文宋体" w:hAnsi="华文宋体" w:hint="eastAsia"/>
          <w:b/>
          <w:sz w:val="36"/>
          <w:szCs w:val="21"/>
        </w:rPr>
        <w:t>精选</w:t>
      </w:r>
      <w:r>
        <w:rPr>
          <w:rFonts w:ascii="华文宋体" w:hAnsi="华文宋体" w:hint="eastAsia"/>
          <w:b/>
          <w:sz w:val="36"/>
          <w:szCs w:val="21"/>
        </w:rPr>
        <w:t>1</w:t>
      </w:r>
      <w:r>
        <w:rPr>
          <w:rFonts w:ascii="华文宋体" w:hAnsi="华文宋体" w:hint="eastAsia"/>
          <w:b/>
          <w:sz w:val="36"/>
          <w:szCs w:val="21"/>
        </w:rPr>
        <w:t>号</w:t>
      </w:r>
      <w:r>
        <w:rPr>
          <w:rFonts w:ascii="华文宋体" w:hAnsi="华文宋体" w:hint="eastAsia"/>
          <w:b/>
          <w:sz w:val="36"/>
          <w:szCs w:val="21"/>
        </w:rPr>
        <w:t>集合资产管理计划</w:t>
      </w:r>
    </w:p>
    <w:p w14:paraId="0F8ACDB5" w14:textId="77777777" w:rsidR="00694F14" w:rsidRDefault="00A463B7">
      <w:pPr>
        <w:spacing w:line="300" w:lineRule="auto"/>
        <w:jc w:val="center"/>
        <w:rPr>
          <w:rFonts w:ascii="华文宋体" w:hAnsi="华文宋体"/>
          <w:b/>
          <w:sz w:val="36"/>
          <w:szCs w:val="21"/>
        </w:rPr>
      </w:pPr>
      <w:r>
        <w:rPr>
          <w:rFonts w:ascii="华文宋体" w:hAnsi="华文宋体" w:hint="eastAsia"/>
          <w:b/>
          <w:sz w:val="36"/>
          <w:szCs w:val="21"/>
        </w:rPr>
        <w:t>资产管理合同</w:t>
      </w:r>
    </w:p>
    <w:p w14:paraId="5B024EC7" w14:textId="77777777" w:rsidR="00694F14" w:rsidRDefault="00A463B7">
      <w:pPr>
        <w:spacing w:line="300" w:lineRule="auto"/>
        <w:jc w:val="center"/>
        <w:rPr>
          <w:rFonts w:ascii="仿宋_GB2312" w:eastAsia="仿宋_GB2312"/>
          <w:b/>
          <w:color w:val="000000"/>
          <w:szCs w:val="21"/>
        </w:rPr>
      </w:pPr>
      <w:r>
        <w:rPr>
          <w:rFonts w:ascii="华文宋体" w:hAnsi="华文宋体" w:hint="eastAsia"/>
          <w:b/>
          <w:szCs w:val="21"/>
        </w:rPr>
        <w:t>合同编号：</w:t>
      </w:r>
      <w:r>
        <w:rPr>
          <w:rFonts w:ascii="仿宋_GB2312" w:eastAsia="仿宋_GB2312" w:hint="eastAsia"/>
          <w:b/>
          <w:color w:val="000000"/>
          <w:szCs w:val="21"/>
        </w:rPr>
        <w:t>【</w:t>
      </w:r>
      <w:r>
        <w:rPr>
          <w:rFonts w:ascii="仿宋_GB2312" w:eastAsia="仿宋_GB2312" w:hint="eastAsia"/>
          <w:b/>
          <w:color w:val="000000"/>
          <w:szCs w:val="21"/>
        </w:rPr>
        <w:t>G</w:t>
      </w:r>
      <w:r>
        <w:rPr>
          <w:rFonts w:ascii="仿宋_GB2312" w:eastAsia="仿宋_GB2312"/>
          <w:b/>
          <w:color w:val="000000"/>
          <w:szCs w:val="21"/>
        </w:rPr>
        <w:t>DQH</w:t>
      </w:r>
      <w:r>
        <w:rPr>
          <w:rFonts w:ascii="仿宋_GB2312" w:eastAsia="仿宋_GB2312" w:hint="eastAsia"/>
          <w:b/>
          <w:color w:val="000000"/>
          <w:szCs w:val="21"/>
        </w:rPr>
        <w:t>-2021JH0</w:t>
      </w:r>
      <w:r>
        <w:rPr>
          <w:rFonts w:ascii="仿宋_GB2312" w:eastAsia="仿宋_GB2312" w:hint="eastAsia"/>
          <w:b/>
          <w:color w:val="000000"/>
          <w:szCs w:val="21"/>
        </w:rPr>
        <w:t>12</w:t>
      </w:r>
      <w:r>
        <w:rPr>
          <w:rFonts w:ascii="仿宋_GB2312" w:eastAsia="仿宋_GB2312" w:hint="eastAsia"/>
          <w:b/>
          <w:color w:val="000000"/>
          <w:szCs w:val="21"/>
        </w:rPr>
        <w:t>】</w:t>
      </w:r>
    </w:p>
    <w:p w14:paraId="029500B6" w14:textId="77777777" w:rsidR="00694F14" w:rsidRDefault="00694F14">
      <w:pPr>
        <w:spacing w:line="300" w:lineRule="auto"/>
        <w:jc w:val="center"/>
        <w:rPr>
          <w:rFonts w:ascii="华文宋体" w:hAnsi="华文宋体"/>
          <w:b/>
          <w:szCs w:val="21"/>
        </w:rPr>
      </w:pPr>
    </w:p>
    <w:p w14:paraId="2949067B" w14:textId="77777777" w:rsidR="00694F14" w:rsidRDefault="00694F14">
      <w:pPr>
        <w:spacing w:line="300" w:lineRule="auto"/>
        <w:rPr>
          <w:rFonts w:ascii="华文宋体" w:hAnsi="华文宋体"/>
          <w:szCs w:val="21"/>
        </w:rPr>
      </w:pPr>
    </w:p>
    <w:p w14:paraId="718A77A5" w14:textId="77777777" w:rsidR="00694F14" w:rsidRDefault="00694F14">
      <w:pPr>
        <w:spacing w:line="300" w:lineRule="auto"/>
        <w:rPr>
          <w:rFonts w:ascii="华文宋体" w:hAnsi="华文宋体"/>
          <w:szCs w:val="21"/>
        </w:rPr>
      </w:pPr>
    </w:p>
    <w:p w14:paraId="681CF96A" w14:textId="77777777" w:rsidR="00694F14" w:rsidRDefault="00694F14">
      <w:pPr>
        <w:spacing w:line="300" w:lineRule="auto"/>
        <w:rPr>
          <w:rFonts w:ascii="华文宋体" w:hAnsi="华文宋体"/>
          <w:szCs w:val="21"/>
        </w:rPr>
      </w:pPr>
    </w:p>
    <w:p w14:paraId="3A9936BE" w14:textId="77777777" w:rsidR="00694F14" w:rsidRDefault="00694F14">
      <w:pPr>
        <w:spacing w:line="300" w:lineRule="auto"/>
        <w:rPr>
          <w:rFonts w:ascii="华文宋体" w:hAnsi="华文宋体"/>
          <w:szCs w:val="21"/>
        </w:rPr>
      </w:pPr>
    </w:p>
    <w:p w14:paraId="22D5EBB2" w14:textId="77777777" w:rsidR="00694F14" w:rsidRDefault="00694F14">
      <w:pPr>
        <w:spacing w:line="300" w:lineRule="auto"/>
        <w:rPr>
          <w:rFonts w:ascii="华文宋体" w:hAnsi="华文宋体"/>
          <w:szCs w:val="21"/>
        </w:rPr>
      </w:pPr>
    </w:p>
    <w:p w14:paraId="03BFC8E2" w14:textId="77777777" w:rsidR="00694F14" w:rsidRDefault="00694F14">
      <w:pPr>
        <w:spacing w:line="300" w:lineRule="auto"/>
        <w:jc w:val="center"/>
        <w:rPr>
          <w:rFonts w:ascii="华文宋体" w:hAnsi="华文宋体"/>
          <w:szCs w:val="21"/>
        </w:rPr>
      </w:pPr>
    </w:p>
    <w:p w14:paraId="6F8A48EF" w14:textId="77777777" w:rsidR="00694F14" w:rsidRDefault="00694F14">
      <w:pPr>
        <w:spacing w:line="300" w:lineRule="auto"/>
        <w:rPr>
          <w:rFonts w:ascii="华文宋体" w:hAnsi="华文宋体"/>
          <w:szCs w:val="21"/>
        </w:rPr>
      </w:pPr>
    </w:p>
    <w:p w14:paraId="271CF9ED" w14:textId="77777777" w:rsidR="00694F14" w:rsidRDefault="00A463B7">
      <w:pPr>
        <w:spacing w:line="300" w:lineRule="auto"/>
        <w:jc w:val="center"/>
        <w:rPr>
          <w:rFonts w:ascii="华文宋体" w:hAnsi="华文宋体"/>
          <w:b/>
          <w:szCs w:val="21"/>
        </w:rPr>
      </w:pPr>
      <w:r>
        <w:rPr>
          <w:rFonts w:ascii="华文宋体" w:hAnsi="华文宋体" w:hint="eastAsia"/>
          <w:b/>
          <w:szCs w:val="21"/>
        </w:rPr>
        <w:t>资产管理人：【光大期货有限公司】</w:t>
      </w:r>
      <w:r>
        <w:rPr>
          <w:rFonts w:ascii="华文宋体" w:hAnsi="华文宋体" w:hint="eastAsia"/>
          <w:b/>
          <w:szCs w:val="21"/>
        </w:rPr>
        <w:t xml:space="preserve"> </w:t>
      </w:r>
    </w:p>
    <w:p w14:paraId="1DACD1BE" w14:textId="77777777" w:rsidR="00694F14" w:rsidRDefault="00A463B7">
      <w:pPr>
        <w:spacing w:line="300" w:lineRule="auto"/>
        <w:jc w:val="center"/>
        <w:rPr>
          <w:rFonts w:ascii="华文宋体" w:hAnsi="华文宋体"/>
          <w:b/>
          <w:szCs w:val="21"/>
        </w:rPr>
      </w:pPr>
      <w:r>
        <w:rPr>
          <w:rFonts w:ascii="华文宋体" w:hAnsi="华文宋体" w:hint="eastAsia"/>
          <w:b/>
          <w:szCs w:val="21"/>
        </w:rPr>
        <w:t>资产托管人：【</w:t>
      </w:r>
      <w:r>
        <w:rPr>
          <w:rFonts w:ascii="华文宋体" w:hAnsi="华文宋体" w:hint="eastAsia"/>
          <w:b/>
          <w:szCs w:val="21"/>
        </w:rPr>
        <w:t>中国光大银行股份有限公司青岛分行</w:t>
      </w:r>
      <w:r>
        <w:rPr>
          <w:rFonts w:ascii="华文宋体" w:hAnsi="华文宋体" w:hint="eastAsia"/>
          <w:b/>
          <w:szCs w:val="21"/>
        </w:rPr>
        <w:t>】</w:t>
      </w:r>
      <w:r>
        <w:rPr>
          <w:rFonts w:ascii="华文宋体" w:hAnsi="华文宋体" w:hint="eastAsia"/>
          <w:b/>
          <w:szCs w:val="21"/>
        </w:rPr>
        <w:t xml:space="preserve"> </w:t>
      </w:r>
    </w:p>
    <w:p w14:paraId="09F714EF" w14:textId="77777777" w:rsidR="00694F14" w:rsidRDefault="00694F14">
      <w:pPr>
        <w:spacing w:line="300" w:lineRule="auto"/>
        <w:rPr>
          <w:rFonts w:ascii="华文宋体" w:hAnsi="华文宋体"/>
          <w:b/>
          <w:szCs w:val="21"/>
        </w:rPr>
      </w:pPr>
    </w:p>
    <w:p w14:paraId="66EABD0F" w14:textId="77777777" w:rsidR="00694F14" w:rsidRDefault="00A463B7">
      <w:pPr>
        <w:spacing w:line="300" w:lineRule="auto"/>
        <w:jc w:val="center"/>
        <w:rPr>
          <w:rFonts w:ascii="华文宋体" w:hAnsi="华文宋体"/>
          <w:b/>
          <w:szCs w:val="21"/>
        </w:rPr>
        <w:sectPr w:rsidR="00694F14">
          <w:headerReference w:type="default" r:id="rId9"/>
          <w:footerReference w:type="even" r:id="rId10"/>
          <w:footerReference w:type="default" r:id="rId11"/>
          <w:footerReference w:type="first" r:id="rId12"/>
          <w:pgSz w:w="11906" w:h="16838"/>
          <w:pgMar w:top="1440" w:right="1800" w:bottom="1440" w:left="1800" w:header="851" w:footer="992" w:gutter="0"/>
          <w:cols w:space="425"/>
          <w:titlePg/>
          <w:docGrid w:type="lines" w:linePitch="312"/>
        </w:sectPr>
      </w:pPr>
      <w:r>
        <w:rPr>
          <w:rFonts w:ascii="华文宋体" w:hAnsi="华文宋体" w:hint="eastAsia"/>
          <w:b/>
          <w:szCs w:val="21"/>
        </w:rPr>
        <w:t>二〇二一年</w:t>
      </w:r>
      <w:r>
        <w:rPr>
          <w:rFonts w:ascii="华文宋体" w:hAnsi="华文宋体" w:hint="eastAsia"/>
          <w:b/>
          <w:szCs w:val="21"/>
        </w:rPr>
        <w:t>十</w:t>
      </w:r>
      <w:r>
        <w:rPr>
          <w:rFonts w:ascii="华文宋体" w:hAnsi="华文宋体" w:hint="eastAsia"/>
          <w:b/>
          <w:szCs w:val="21"/>
        </w:rPr>
        <w:t>月</w:t>
      </w:r>
    </w:p>
    <w:p w14:paraId="5663D70B" w14:textId="77777777" w:rsidR="00694F14" w:rsidRDefault="00A463B7">
      <w:pPr>
        <w:spacing w:line="300" w:lineRule="auto"/>
        <w:jc w:val="center"/>
        <w:rPr>
          <w:rFonts w:ascii="华文宋体" w:hAnsi="华文宋体"/>
          <w:b/>
          <w:szCs w:val="21"/>
        </w:rPr>
      </w:pPr>
      <w:r>
        <w:rPr>
          <w:rFonts w:ascii="华文宋体" w:hAnsi="华文宋体" w:hint="eastAsia"/>
          <w:b/>
          <w:szCs w:val="21"/>
        </w:rPr>
        <w:lastRenderedPageBreak/>
        <w:t>目</w:t>
      </w:r>
      <w:r>
        <w:rPr>
          <w:rFonts w:ascii="华文宋体" w:hAnsi="华文宋体" w:hint="eastAsia"/>
          <w:b/>
          <w:szCs w:val="21"/>
        </w:rPr>
        <w:t xml:space="preserve">   </w:t>
      </w:r>
      <w:r>
        <w:rPr>
          <w:rFonts w:ascii="华文宋体" w:hAnsi="华文宋体" w:hint="eastAsia"/>
          <w:b/>
          <w:szCs w:val="21"/>
        </w:rPr>
        <w:t>录</w:t>
      </w:r>
    </w:p>
    <w:p w14:paraId="4F3D9EBB" w14:textId="77777777" w:rsidR="00694F14" w:rsidRDefault="00694F14">
      <w:pPr>
        <w:spacing w:line="300" w:lineRule="auto"/>
        <w:jc w:val="center"/>
        <w:rPr>
          <w:rFonts w:ascii="华文宋体" w:hAnsi="华文宋体"/>
          <w:szCs w:val="21"/>
        </w:rPr>
      </w:pPr>
    </w:p>
    <w:p w14:paraId="09FF4EB1" w14:textId="77777777" w:rsidR="00694F14" w:rsidRDefault="00A463B7">
      <w:pPr>
        <w:pStyle w:val="TOC1"/>
        <w:spacing w:line="240" w:lineRule="auto"/>
        <w:jc w:val="center"/>
        <w:rPr>
          <w:rFonts w:ascii="宋体" w:eastAsia="宋体" w:hAnsi="宋体" w:cs="宋体"/>
          <w:sz w:val="21"/>
          <w:szCs w:val="21"/>
        </w:rPr>
      </w:pPr>
      <w:r>
        <w:rPr>
          <w:rFonts w:ascii="宋体" w:eastAsia="宋体" w:hAnsi="宋体" w:cs="宋体" w:hint="eastAsia"/>
          <w:sz w:val="21"/>
          <w:szCs w:val="21"/>
        </w:rPr>
        <w:fldChar w:fldCharType="begin"/>
      </w:r>
      <w:r>
        <w:rPr>
          <w:rFonts w:ascii="宋体" w:eastAsia="宋体" w:hAnsi="宋体" w:cs="宋体" w:hint="eastAsia"/>
          <w:sz w:val="21"/>
          <w:szCs w:val="21"/>
        </w:rPr>
        <w:instrText>TOC \o "1-3" \h \z \u</w:instrText>
      </w:r>
      <w:r>
        <w:rPr>
          <w:rFonts w:ascii="宋体" w:eastAsia="宋体" w:hAnsi="宋体" w:cs="宋体" w:hint="eastAsia"/>
          <w:sz w:val="21"/>
          <w:szCs w:val="21"/>
        </w:rPr>
        <w:fldChar w:fldCharType="separate"/>
      </w:r>
      <w:hyperlink w:anchor="_Toc70622180" w:history="1">
        <w:r>
          <w:rPr>
            <w:rStyle w:val="af8"/>
            <w:rFonts w:ascii="宋体" w:eastAsia="宋体" w:hAnsi="宋体" w:cs="宋体" w:hint="eastAsia"/>
            <w:sz w:val="21"/>
            <w:szCs w:val="21"/>
          </w:rPr>
          <w:t>一、前言</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w:t>
        </w:r>
        <w:r>
          <w:rPr>
            <w:rFonts w:ascii="宋体" w:eastAsia="宋体" w:hAnsi="宋体" w:cs="宋体" w:hint="eastAsia"/>
            <w:sz w:val="21"/>
            <w:szCs w:val="21"/>
          </w:rPr>
          <w:fldChar w:fldCharType="end"/>
        </w:r>
      </w:hyperlink>
    </w:p>
    <w:p w14:paraId="227A9F37" w14:textId="77777777" w:rsidR="00694F14" w:rsidRDefault="00A463B7">
      <w:pPr>
        <w:pStyle w:val="TOC1"/>
        <w:spacing w:line="240" w:lineRule="auto"/>
        <w:jc w:val="center"/>
        <w:rPr>
          <w:rFonts w:ascii="宋体" w:eastAsia="宋体" w:hAnsi="宋体" w:cs="宋体"/>
          <w:sz w:val="21"/>
          <w:szCs w:val="21"/>
        </w:rPr>
      </w:pPr>
      <w:hyperlink w:anchor="_Toc70622181" w:history="1">
        <w:r>
          <w:rPr>
            <w:rStyle w:val="af8"/>
            <w:rFonts w:ascii="宋体" w:eastAsia="宋体" w:hAnsi="宋体" w:cs="宋体" w:hint="eastAsia"/>
            <w:sz w:val="21"/>
            <w:szCs w:val="21"/>
          </w:rPr>
          <w:t>二、释义</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w:t>
        </w:r>
        <w:r>
          <w:rPr>
            <w:rFonts w:ascii="宋体" w:eastAsia="宋体" w:hAnsi="宋体" w:cs="宋体" w:hint="eastAsia"/>
            <w:sz w:val="21"/>
            <w:szCs w:val="21"/>
          </w:rPr>
          <w:fldChar w:fldCharType="end"/>
        </w:r>
      </w:hyperlink>
    </w:p>
    <w:p w14:paraId="553ABC53" w14:textId="77777777" w:rsidR="00694F14" w:rsidRDefault="00A463B7">
      <w:pPr>
        <w:pStyle w:val="TOC1"/>
        <w:spacing w:line="240" w:lineRule="auto"/>
        <w:jc w:val="center"/>
        <w:rPr>
          <w:rFonts w:ascii="宋体" w:eastAsia="宋体" w:hAnsi="宋体" w:cs="宋体"/>
          <w:sz w:val="21"/>
          <w:szCs w:val="21"/>
        </w:rPr>
      </w:pPr>
      <w:hyperlink w:anchor="_Toc70622182" w:history="1">
        <w:r>
          <w:rPr>
            <w:rStyle w:val="af8"/>
            <w:rFonts w:ascii="宋体" w:eastAsia="宋体" w:hAnsi="宋体" w:cs="宋体" w:hint="eastAsia"/>
            <w:sz w:val="21"/>
            <w:szCs w:val="21"/>
          </w:rPr>
          <w:t>三、承诺与声明</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w:t>
        </w:r>
        <w:r>
          <w:rPr>
            <w:rFonts w:ascii="宋体" w:eastAsia="宋体" w:hAnsi="宋体" w:cs="宋体" w:hint="eastAsia"/>
            <w:sz w:val="21"/>
            <w:szCs w:val="21"/>
          </w:rPr>
          <w:fldChar w:fldCharType="end"/>
        </w:r>
      </w:hyperlink>
    </w:p>
    <w:p w14:paraId="49579099" w14:textId="77777777" w:rsidR="00694F14" w:rsidRDefault="00A463B7">
      <w:pPr>
        <w:pStyle w:val="TOC1"/>
        <w:spacing w:line="240" w:lineRule="auto"/>
        <w:jc w:val="center"/>
        <w:rPr>
          <w:rFonts w:ascii="宋体" w:eastAsia="宋体" w:hAnsi="宋体" w:cs="宋体"/>
          <w:sz w:val="21"/>
          <w:szCs w:val="21"/>
        </w:rPr>
      </w:pPr>
      <w:hyperlink w:anchor="_Toc70622183" w:history="1">
        <w:r>
          <w:rPr>
            <w:rStyle w:val="af8"/>
            <w:rFonts w:ascii="宋体" w:eastAsia="宋体" w:hAnsi="宋体" w:cs="宋体" w:hint="eastAsia"/>
            <w:sz w:val="21"/>
            <w:szCs w:val="21"/>
          </w:rPr>
          <w:t>四、当事人及权利义务</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7</w:t>
        </w:r>
        <w:r>
          <w:rPr>
            <w:rFonts w:ascii="宋体" w:eastAsia="宋体" w:hAnsi="宋体" w:cs="宋体" w:hint="eastAsia"/>
            <w:sz w:val="21"/>
            <w:szCs w:val="21"/>
          </w:rPr>
          <w:fldChar w:fldCharType="end"/>
        </w:r>
      </w:hyperlink>
    </w:p>
    <w:p w14:paraId="3F530C42" w14:textId="77777777" w:rsidR="00694F14" w:rsidRDefault="00A463B7">
      <w:pPr>
        <w:pStyle w:val="TOC1"/>
        <w:spacing w:line="240" w:lineRule="auto"/>
        <w:jc w:val="center"/>
        <w:rPr>
          <w:rFonts w:ascii="宋体" w:eastAsia="宋体" w:hAnsi="宋体" w:cs="宋体"/>
          <w:sz w:val="21"/>
          <w:szCs w:val="21"/>
        </w:rPr>
      </w:pPr>
      <w:hyperlink w:anchor="_Toc70622184" w:history="1">
        <w:r>
          <w:rPr>
            <w:rStyle w:val="af8"/>
            <w:rFonts w:ascii="宋体" w:eastAsia="宋体" w:hAnsi="宋体" w:cs="宋体" w:hint="eastAsia"/>
            <w:sz w:val="21"/>
            <w:szCs w:val="21"/>
          </w:rPr>
          <w:t>五、资产管理计划的基本情况</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w:instrText>
        </w:r>
        <w:r>
          <w:rPr>
            <w:rFonts w:ascii="宋体" w:eastAsia="宋体" w:hAnsi="宋体" w:cs="宋体" w:hint="eastAsia"/>
            <w:sz w:val="21"/>
            <w:szCs w:val="21"/>
          </w:rPr>
          <w:instrText xml:space="preserve">Toc70622184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13</w:t>
        </w:r>
        <w:r>
          <w:rPr>
            <w:rFonts w:ascii="宋体" w:eastAsia="宋体" w:hAnsi="宋体" w:cs="宋体" w:hint="eastAsia"/>
            <w:sz w:val="21"/>
            <w:szCs w:val="21"/>
          </w:rPr>
          <w:fldChar w:fldCharType="end"/>
        </w:r>
      </w:hyperlink>
    </w:p>
    <w:p w14:paraId="700A0F2C" w14:textId="77777777" w:rsidR="00694F14" w:rsidRDefault="00A463B7">
      <w:pPr>
        <w:pStyle w:val="TOC1"/>
        <w:spacing w:line="240" w:lineRule="auto"/>
        <w:jc w:val="center"/>
        <w:rPr>
          <w:rFonts w:ascii="宋体" w:eastAsia="宋体" w:hAnsi="宋体" w:cs="宋体"/>
          <w:sz w:val="21"/>
          <w:szCs w:val="21"/>
        </w:rPr>
      </w:pPr>
      <w:hyperlink w:anchor="_Toc70622185" w:history="1">
        <w:r>
          <w:rPr>
            <w:rStyle w:val="af8"/>
            <w:rFonts w:ascii="宋体" w:eastAsia="宋体" w:hAnsi="宋体" w:cs="宋体" w:hint="eastAsia"/>
            <w:sz w:val="21"/>
            <w:szCs w:val="21"/>
          </w:rPr>
          <w:t>六、资产管理计划的募集</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16</w:t>
        </w:r>
        <w:r>
          <w:rPr>
            <w:rFonts w:ascii="宋体" w:eastAsia="宋体" w:hAnsi="宋体" w:cs="宋体" w:hint="eastAsia"/>
            <w:sz w:val="21"/>
            <w:szCs w:val="21"/>
          </w:rPr>
          <w:fldChar w:fldCharType="end"/>
        </w:r>
      </w:hyperlink>
    </w:p>
    <w:p w14:paraId="4CF50AF6" w14:textId="77777777" w:rsidR="00694F14" w:rsidRDefault="00A463B7">
      <w:pPr>
        <w:pStyle w:val="TOC1"/>
        <w:spacing w:line="240" w:lineRule="auto"/>
        <w:jc w:val="center"/>
        <w:rPr>
          <w:rFonts w:ascii="宋体" w:eastAsia="宋体" w:hAnsi="宋体" w:cs="宋体"/>
          <w:sz w:val="21"/>
          <w:szCs w:val="21"/>
        </w:rPr>
      </w:pPr>
      <w:hyperlink w:anchor="_Toc70622186" w:history="1">
        <w:r>
          <w:rPr>
            <w:rStyle w:val="af8"/>
            <w:rFonts w:ascii="宋体" w:eastAsia="宋体" w:hAnsi="宋体" w:cs="宋体" w:hint="eastAsia"/>
            <w:sz w:val="21"/>
            <w:szCs w:val="21"/>
          </w:rPr>
          <w:t>七、资产管理计划的成立与备案</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17</w:t>
        </w:r>
        <w:r>
          <w:rPr>
            <w:rFonts w:ascii="宋体" w:eastAsia="宋体" w:hAnsi="宋体" w:cs="宋体" w:hint="eastAsia"/>
            <w:sz w:val="21"/>
            <w:szCs w:val="21"/>
          </w:rPr>
          <w:fldChar w:fldCharType="end"/>
        </w:r>
      </w:hyperlink>
    </w:p>
    <w:p w14:paraId="6FB2627F" w14:textId="77777777" w:rsidR="00694F14" w:rsidRDefault="00A463B7">
      <w:pPr>
        <w:pStyle w:val="TOC1"/>
        <w:spacing w:line="240" w:lineRule="auto"/>
        <w:jc w:val="center"/>
        <w:rPr>
          <w:rFonts w:ascii="宋体" w:eastAsia="宋体" w:hAnsi="宋体" w:cs="宋体"/>
          <w:sz w:val="21"/>
          <w:szCs w:val="21"/>
        </w:rPr>
      </w:pPr>
      <w:hyperlink w:anchor="_Toc70622187" w:history="1">
        <w:r>
          <w:rPr>
            <w:rStyle w:val="af8"/>
            <w:rFonts w:ascii="宋体" w:eastAsia="宋体" w:hAnsi="宋体" w:cs="宋体" w:hint="eastAsia"/>
            <w:sz w:val="21"/>
            <w:szCs w:val="21"/>
          </w:rPr>
          <w:t>八、资产管理计划的参与、退出与转让</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18</w:t>
        </w:r>
        <w:r>
          <w:rPr>
            <w:rFonts w:ascii="宋体" w:eastAsia="宋体" w:hAnsi="宋体" w:cs="宋体" w:hint="eastAsia"/>
            <w:sz w:val="21"/>
            <w:szCs w:val="21"/>
          </w:rPr>
          <w:fldChar w:fldCharType="end"/>
        </w:r>
      </w:hyperlink>
    </w:p>
    <w:p w14:paraId="297987E4" w14:textId="77777777" w:rsidR="00694F14" w:rsidRDefault="00A463B7">
      <w:pPr>
        <w:pStyle w:val="TOC1"/>
        <w:spacing w:line="240" w:lineRule="auto"/>
        <w:jc w:val="center"/>
        <w:rPr>
          <w:rFonts w:ascii="宋体" w:eastAsia="宋体" w:hAnsi="宋体" w:cs="宋体"/>
          <w:sz w:val="21"/>
          <w:szCs w:val="21"/>
        </w:rPr>
      </w:pPr>
      <w:hyperlink w:anchor="_Toc70622188" w:history="1">
        <w:r>
          <w:rPr>
            <w:rStyle w:val="af8"/>
            <w:rFonts w:ascii="宋体" w:eastAsia="宋体" w:hAnsi="宋体" w:cs="宋体" w:hint="eastAsia"/>
            <w:sz w:val="21"/>
            <w:szCs w:val="21"/>
          </w:rPr>
          <w:t>九、份额持有人大会及日常机构</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_Toc70622188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24</w:t>
        </w:r>
        <w:r>
          <w:rPr>
            <w:rFonts w:ascii="宋体" w:eastAsia="宋体" w:hAnsi="宋体" w:cs="宋体" w:hint="eastAsia"/>
            <w:sz w:val="21"/>
            <w:szCs w:val="21"/>
          </w:rPr>
          <w:fldChar w:fldCharType="end"/>
        </w:r>
      </w:hyperlink>
    </w:p>
    <w:p w14:paraId="365F0315" w14:textId="77777777" w:rsidR="00694F14" w:rsidRDefault="00A463B7">
      <w:pPr>
        <w:pStyle w:val="TOC1"/>
        <w:spacing w:line="240" w:lineRule="auto"/>
        <w:jc w:val="center"/>
        <w:rPr>
          <w:rFonts w:ascii="宋体" w:eastAsia="宋体" w:hAnsi="宋体" w:cs="宋体"/>
          <w:sz w:val="21"/>
          <w:szCs w:val="21"/>
        </w:rPr>
      </w:pPr>
      <w:hyperlink w:anchor="_Toc70622189" w:history="1">
        <w:r>
          <w:rPr>
            <w:rStyle w:val="af8"/>
            <w:rFonts w:ascii="宋体" w:eastAsia="宋体" w:hAnsi="宋体" w:cs="宋体" w:hint="eastAsia"/>
            <w:sz w:val="21"/>
            <w:szCs w:val="21"/>
          </w:rPr>
          <w:t>十、资产管理计划份额的登记</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w:instrText>
        </w:r>
        <w:r>
          <w:rPr>
            <w:rFonts w:ascii="宋体" w:eastAsia="宋体" w:hAnsi="宋体" w:cs="宋体" w:hint="eastAsia"/>
            <w:sz w:val="21"/>
            <w:szCs w:val="21"/>
          </w:rPr>
          <w:instrText xml:space="preserve">EREF _Toc70622189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24</w:t>
        </w:r>
        <w:r>
          <w:rPr>
            <w:rFonts w:ascii="宋体" w:eastAsia="宋体" w:hAnsi="宋体" w:cs="宋体" w:hint="eastAsia"/>
            <w:sz w:val="21"/>
            <w:szCs w:val="21"/>
          </w:rPr>
          <w:fldChar w:fldCharType="end"/>
        </w:r>
      </w:hyperlink>
    </w:p>
    <w:p w14:paraId="7605FA84" w14:textId="77777777" w:rsidR="00694F14" w:rsidRDefault="00A463B7">
      <w:pPr>
        <w:pStyle w:val="TOC1"/>
        <w:spacing w:line="240" w:lineRule="auto"/>
        <w:jc w:val="center"/>
        <w:rPr>
          <w:rFonts w:ascii="宋体" w:eastAsia="宋体" w:hAnsi="宋体" w:cs="宋体"/>
          <w:sz w:val="21"/>
          <w:szCs w:val="21"/>
        </w:rPr>
      </w:pPr>
      <w:hyperlink w:anchor="_Toc70622190" w:history="1">
        <w:r>
          <w:rPr>
            <w:rStyle w:val="af8"/>
            <w:rFonts w:ascii="宋体" w:eastAsia="宋体" w:hAnsi="宋体" w:cs="宋体" w:hint="eastAsia"/>
            <w:sz w:val="21"/>
            <w:szCs w:val="21"/>
          </w:rPr>
          <w:t>十一、资产管理计划的投资</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25</w:t>
        </w:r>
        <w:r>
          <w:rPr>
            <w:rFonts w:ascii="宋体" w:eastAsia="宋体" w:hAnsi="宋体" w:cs="宋体" w:hint="eastAsia"/>
            <w:sz w:val="21"/>
            <w:szCs w:val="21"/>
          </w:rPr>
          <w:fldChar w:fldCharType="end"/>
        </w:r>
      </w:hyperlink>
    </w:p>
    <w:p w14:paraId="5E689B81" w14:textId="77777777" w:rsidR="00694F14" w:rsidRDefault="00A463B7">
      <w:pPr>
        <w:pStyle w:val="TOC1"/>
        <w:spacing w:line="240" w:lineRule="auto"/>
        <w:jc w:val="center"/>
        <w:rPr>
          <w:rFonts w:ascii="宋体" w:eastAsia="宋体" w:hAnsi="宋体" w:cs="宋体"/>
          <w:sz w:val="21"/>
          <w:szCs w:val="21"/>
        </w:rPr>
      </w:pPr>
      <w:hyperlink w:anchor="_Toc70622191" w:history="1">
        <w:r>
          <w:rPr>
            <w:rStyle w:val="af8"/>
            <w:rFonts w:ascii="宋体" w:eastAsia="宋体" w:hAnsi="宋体" w:cs="宋体" w:hint="eastAsia"/>
            <w:sz w:val="21"/>
            <w:szCs w:val="21"/>
          </w:rPr>
          <w:t>十二、投资顾问</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29</w:t>
        </w:r>
        <w:r>
          <w:rPr>
            <w:rFonts w:ascii="宋体" w:eastAsia="宋体" w:hAnsi="宋体" w:cs="宋体" w:hint="eastAsia"/>
            <w:sz w:val="21"/>
            <w:szCs w:val="21"/>
          </w:rPr>
          <w:fldChar w:fldCharType="end"/>
        </w:r>
      </w:hyperlink>
    </w:p>
    <w:p w14:paraId="6E227FF3" w14:textId="77777777" w:rsidR="00694F14" w:rsidRDefault="00A463B7">
      <w:pPr>
        <w:pStyle w:val="TOC1"/>
        <w:spacing w:line="240" w:lineRule="auto"/>
        <w:jc w:val="center"/>
        <w:rPr>
          <w:rFonts w:ascii="宋体" w:eastAsia="宋体" w:hAnsi="宋体" w:cs="宋体"/>
          <w:sz w:val="21"/>
          <w:szCs w:val="21"/>
        </w:rPr>
      </w:pPr>
      <w:hyperlink w:anchor="_Toc70622192" w:history="1">
        <w:r>
          <w:rPr>
            <w:rStyle w:val="af8"/>
            <w:rFonts w:ascii="宋体" w:eastAsia="宋体" w:hAnsi="宋体" w:cs="宋体" w:hint="eastAsia"/>
            <w:sz w:val="21"/>
            <w:szCs w:val="21"/>
          </w:rPr>
          <w:t>十三、分级安排</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29</w:t>
        </w:r>
        <w:r>
          <w:rPr>
            <w:rFonts w:ascii="宋体" w:eastAsia="宋体" w:hAnsi="宋体" w:cs="宋体" w:hint="eastAsia"/>
            <w:sz w:val="21"/>
            <w:szCs w:val="21"/>
          </w:rPr>
          <w:fldChar w:fldCharType="end"/>
        </w:r>
      </w:hyperlink>
    </w:p>
    <w:p w14:paraId="3C93702F" w14:textId="77777777" w:rsidR="00694F14" w:rsidRDefault="00A463B7">
      <w:pPr>
        <w:pStyle w:val="TOC1"/>
        <w:spacing w:line="240" w:lineRule="auto"/>
        <w:jc w:val="center"/>
        <w:rPr>
          <w:rFonts w:ascii="宋体" w:eastAsia="宋体" w:hAnsi="宋体" w:cs="宋体"/>
          <w:sz w:val="21"/>
          <w:szCs w:val="21"/>
        </w:rPr>
      </w:pPr>
      <w:hyperlink w:anchor="_Toc70622193" w:history="1">
        <w:r>
          <w:rPr>
            <w:rStyle w:val="af8"/>
            <w:rFonts w:ascii="宋体" w:eastAsia="宋体" w:hAnsi="宋体" w:cs="宋体" w:hint="eastAsia"/>
            <w:sz w:val="21"/>
            <w:szCs w:val="21"/>
          </w:rPr>
          <w:t>十四、利益冲突及关联交易</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29</w:t>
        </w:r>
        <w:r>
          <w:rPr>
            <w:rFonts w:ascii="宋体" w:eastAsia="宋体" w:hAnsi="宋体" w:cs="宋体" w:hint="eastAsia"/>
            <w:sz w:val="21"/>
            <w:szCs w:val="21"/>
          </w:rPr>
          <w:fldChar w:fldCharType="end"/>
        </w:r>
      </w:hyperlink>
    </w:p>
    <w:p w14:paraId="7F438BEB" w14:textId="77777777" w:rsidR="00694F14" w:rsidRDefault="00A463B7">
      <w:pPr>
        <w:pStyle w:val="TOC1"/>
        <w:spacing w:line="240" w:lineRule="auto"/>
        <w:jc w:val="center"/>
        <w:rPr>
          <w:rFonts w:ascii="宋体" w:eastAsia="宋体" w:hAnsi="宋体" w:cs="宋体"/>
          <w:sz w:val="21"/>
          <w:szCs w:val="21"/>
        </w:rPr>
      </w:pPr>
      <w:hyperlink w:anchor="_Toc70622194" w:history="1">
        <w:r>
          <w:rPr>
            <w:rStyle w:val="af8"/>
            <w:rFonts w:ascii="宋体" w:eastAsia="宋体" w:hAnsi="宋体" w:cs="宋体" w:hint="eastAsia"/>
            <w:sz w:val="21"/>
            <w:szCs w:val="21"/>
          </w:rPr>
          <w:t>十五、投资经理的指定与变更</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31</w:t>
        </w:r>
        <w:r>
          <w:rPr>
            <w:rFonts w:ascii="宋体" w:eastAsia="宋体" w:hAnsi="宋体" w:cs="宋体" w:hint="eastAsia"/>
            <w:sz w:val="21"/>
            <w:szCs w:val="21"/>
          </w:rPr>
          <w:fldChar w:fldCharType="end"/>
        </w:r>
      </w:hyperlink>
    </w:p>
    <w:p w14:paraId="5D5BB633" w14:textId="77777777" w:rsidR="00694F14" w:rsidRDefault="00A463B7">
      <w:pPr>
        <w:pStyle w:val="TOC1"/>
        <w:spacing w:line="240" w:lineRule="auto"/>
        <w:jc w:val="center"/>
        <w:rPr>
          <w:rFonts w:ascii="宋体" w:eastAsia="宋体" w:hAnsi="宋体" w:cs="宋体"/>
          <w:sz w:val="21"/>
          <w:szCs w:val="21"/>
        </w:rPr>
      </w:pPr>
      <w:hyperlink w:anchor="_Toc70622195" w:history="1">
        <w:r>
          <w:rPr>
            <w:rStyle w:val="af8"/>
            <w:rFonts w:ascii="宋体" w:eastAsia="宋体" w:hAnsi="宋体" w:cs="宋体" w:hint="eastAsia"/>
            <w:sz w:val="21"/>
            <w:szCs w:val="21"/>
          </w:rPr>
          <w:t>十六、资产管理计划的财产</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31</w:t>
        </w:r>
        <w:r>
          <w:rPr>
            <w:rFonts w:ascii="宋体" w:eastAsia="宋体" w:hAnsi="宋体" w:cs="宋体" w:hint="eastAsia"/>
            <w:sz w:val="21"/>
            <w:szCs w:val="21"/>
          </w:rPr>
          <w:fldChar w:fldCharType="end"/>
        </w:r>
      </w:hyperlink>
    </w:p>
    <w:p w14:paraId="226997DF" w14:textId="77777777" w:rsidR="00694F14" w:rsidRDefault="00A463B7">
      <w:pPr>
        <w:pStyle w:val="TOC1"/>
        <w:spacing w:line="240" w:lineRule="auto"/>
        <w:jc w:val="center"/>
        <w:rPr>
          <w:rFonts w:ascii="宋体" w:eastAsia="宋体" w:hAnsi="宋体" w:cs="宋体"/>
          <w:sz w:val="21"/>
          <w:szCs w:val="21"/>
        </w:rPr>
      </w:pPr>
      <w:hyperlink w:anchor="_Toc70622196" w:history="1">
        <w:r>
          <w:rPr>
            <w:rStyle w:val="af8"/>
            <w:rFonts w:ascii="宋体" w:eastAsia="宋体" w:hAnsi="宋体" w:cs="宋体" w:hint="eastAsia"/>
            <w:sz w:val="21"/>
            <w:szCs w:val="21"/>
          </w:rPr>
          <w:t>十七、投资指令的发送、确认与执行</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33</w:t>
        </w:r>
        <w:r>
          <w:rPr>
            <w:rFonts w:ascii="宋体" w:eastAsia="宋体" w:hAnsi="宋体" w:cs="宋体" w:hint="eastAsia"/>
            <w:sz w:val="21"/>
            <w:szCs w:val="21"/>
          </w:rPr>
          <w:fldChar w:fldCharType="end"/>
        </w:r>
      </w:hyperlink>
    </w:p>
    <w:p w14:paraId="47F41B94" w14:textId="77777777" w:rsidR="00694F14" w:rsidRDefault="00A463B7">
      <w:pPr>
        <w:pStyle w:val="TOC1"/>
        <w:spacing w:line="240" w:lineRule="auto"/>
        <w:jc w:val="center"/>
        <w:rPr>
          <w:rFonts w:ascii="宋体" w:eastAsia="宋体" w:hAnsi="宋体" w:cs="宋体"/>
          <w:sz w:val="21"/>
          <w:szCs w:val="21"/>
        </w:rPr>
      </w:pPr>
      <w:hyperlink w:anchor="_Toc70622197" w:history="1">
        <w:r>
          <w:rPr>
            <w:rStyle w:val="af8"/>
            <w:rFonts w:ascii="宋体" w:eastAsia="宋体" w:hAnsi="宋体" w:cs="宋体" w:hint="eastAsia"/>
            <w:sz w:val="21"/>
            <w:szCs w:val="21"/>
          </w:rPr>
          <w:t>十八、越权交易的界定</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36</w:t>
        </w:r>
        <w:r>
          <w:rPr>
            <w:rFonts w:ascii="宋体" w:eastAsia="宋体" w:hAnsi="宋体" w:cs="宋体" w:hint="eastAsia"/>
            <w:sz w:val="21"/>
            <w:szCs w:val="21"/>
          </w:rPr>
          <w:fldChar w:fldCharType="end"/>
        </w:r>
      </w:hyperlink>
    </w:p>
    <w:p w14:paraId="7AD2E73C" w14:textId="77777777" w:rsidR="00694F14" w:rsidRDefault="00A463B7">
      <w:pPr>
        <w:pStyle w:val="TOC1"/>
        <w:spacing w:line="240" w:lineRule="auto"/>
        <w:jc w:val="center"/>
        <w:rPr>
          <w:rFonts w:ascii="宋体" w:eastAsia="宋体" w:hAnsi="宋体" w:cs="宋体"/>
          <w:sz w:val="21"/>
          <w:szCs w:val="21"/>
        </w:rPr>
      </w:pPr>
      <w:hyperlink w:anchor="_Toc70622198" w:history="1">
        <w:r>
          <w:rPr>
            <w:rStyle w:val="af8"/>
            <w:rFonts w:ascii="宋体" w:eastAsia="宋体" w:hAnsi="宋体" w:cs="宋体" w:hint="eastAsia"/>
            <w:sz w:val="21"/>
            <w:szCs w:val="21"/>
          </w:rPr>
          <w:t>十九、交易及清算交收安排</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38</w:t>
        </w:r>
        <w:r>
          <w:rPr>
            <w:rFonts w:ascii="宋体" w:eastAsia="宋体" w:hAnsi="宋体" w:cs="宋体" w:hint="eastAsia"/>
            <w:sz w:val="21"/>
            <w:szCs w:val="21"/>
          </w:rPr>
          <w:fldChar w:fldCharType="end"/>
        </w:r>
      </w:hyperlink>
    </w:p>
    <w:p w14:paraId="07FDED46" w14:textId="77777777" w:rsidR="00694F14" w:rsidRDefault="00A463B7">
      <w:pPr>
        <w:pStyle w:val="TOC1"/>
        <w:spacing w:line="240" w:lineRule="auto"/>
        <w:jc w:val="center"/>
        <w:rPr>
          <w:rFonts w:ascii="宋体" w:eastAsia="宋体" w:hAnsi="宋体" w:cs="宋体"/>
          <w:sz w:val="21"/>
          <w:szCs w:val="21"/>
        </w:rPr>
      </w:pPr>
      <w:hyperlink w:anchor="_Toc70622199" w:history="1">
        <w:r>
          <w:rPr>
            <w:rStyle w:val="af8"/>
            <w:rFonts w:ascii="宋体" w:eastAsia="宋体" w:hAnsi="宋体" w:cs="宋体" w:hint="eastAsia"/>
            <w:sz w:val="21"/>
            <w:szCs w:val="21"/>
          </w:rPr>
          <w:t>二十、资产管理计划财产的估值和会计核算</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_Toc70622199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41</w:t>
        </w:r>
        <w:r>
          <w:rPr>
            <w:rFonts w:ascii="宋体" w:eastAsia="宋体" w:hAnsi="宋体" w:cs="宋体" w:hint="eastAsia"/>
            <w:sz w:val="21"/>
            <w:szCs w:val="21"/>
          </w:rPr>
          <w:fldChar w:fldCharType="end"/>
        </w:r>
      </w:hyperlink>
    </w:p>
    <w:p w14:paraId="33844F4D" w14:textId="77777777" w:rsidR="00694F14" w:rsidRDefault="00A463B7">
      <w:pPr>
        <w:pStyle w:val="TOC1"/>
        <w:spacing w:line="240" w:lineRule="auto"/>
        <w:jc w:val="center"/>
        <w:rPr>
          <w:rFonts w:ascii="宋体" w:eastAsia="宋体" w:hAnsi="宋体" w:cs="宋体"/>
          <w:sz w:val="21"/>
          <w:szCs w:val="21"/>
        </w:rPr>
      </w:pPr>
      <w:hyperlink w:anchor="_Toc70622200" w:history="1">
        <w:r>
          <w:rPr>
            <w:rStyle w:val="af8"/>
            <w:rFonts w:ascii="宋体" w:eastAsia="宋体" w:hAnsi="宋体" w:cs="宋体" w:hint="eastAsia"/>
            <w:sz w:val="21"/>
            <w:szCs w:val="21"/>
          </w:rPr>
          <w:t>二十一、资产管理计划的费用与税收</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46</w:t>
        </w:r>
        <w:r>
          <w:rPr>
            <w:rFonts w:ascii="宋体" w:eastAsia="宋体" w:hAnsi="宋体" w:cs="宋体" w:hint="eastAsia"/>
            <w:sz w:val="21"/>
            <w:szCs w:val="21"/>
          </w:rPr>
          <w:fldChar w:fldCharType="end"/>
        </w:r>
      </w:hyperlink>
    </w:p>
    <w:p w14:paraId="75E311A3" w14:textId="77777777" w:rsidR="00694F14" w:rsidRDefault="00A463B7">
      <w:pPr>
        <w:pStyle w:val="TOC1"/>
        <w:spacing w:line="240" w:lineRule="auto"/>
        <w:jc w:val="center"/>
        <w:rPr>
          <w:rFonts w:ascii="宋体" w:eastAsia="宋体" w:hAnsi="宋体" w:cs="宋体"/>
          <w:sz w:val="21"/>
          <w:szCs w:val="21"/>
        </w:rPr>
      </w:pPr>
      <w:hyperlink w:anchor="_Toc70622201" w:history="1">
        <w:r>
          <w:rPr>
            <w:rStyle w:val="af8"/>
            <w:rFonts w:ascii="宋体" w:eastAsia="宋体" w:hAnsi="宋体" w:cs="宋体" w:hint="eastAsia"/>
            <w:sz w:val="21"/>
            <w:szCs w:val="21"/>
          </w:rPr>
          <w:t>二十二、资产管理计划的收益分配</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49</w:t>
        </w:r>
        <w:r>
          <w:rPr>
            <w:rFonts w:ascii="宋体" w:eastAsia="宋体" w:hAnsi="宋体" w:cs="宋体" w:hint="eastAsia"/>
            <w:sz w:val="21"/>
            <w:szCs w:val="21"/>
          </w:rPr>
          <w:fldChar w:fldCharType="end"/>
        </w:r>
      </w:hyperlink>
    </w:p>
    <w:p w14:paraId="2328A429" w14:textId="77777777" w:rsidR="00694F14" w:rsidRDefault="00A463B7">
      <w:pPr>
        <w:pStyle w:val="TOC1"/>
        <w:spacing w:line="240" w:lineRule="auto"/>
        <w:jc w:val="center"/>
        <w:rPr>
          <w:rFonts w:ascii="宋体" w:eastAsia="宋体" w:hAnsi="宋体" w:cs="宋体"/>
          <w:sz w:val="21"/>
          <w:szCs w:val="21"/>
        </w:rPr>
      </w:pPr>
      <w:hyperlink w:anchor="_Toc70622202" w:history="1">
        <w:r>
          <w:rPr>
            <w:rStyle w:val="af8"/>
            <w:rFonts w:ascii="宋体" w:eastAsia="宋体" w:hAnsi="宋体" w:cs="宋体" w:hint="eastAsia"/>
            <w:sz w:val="21"/>
            <w:szCs w:val="21"/>
          </w:rPr>
          <w:t>二十三、信息披露与报告</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w:instrText>
        </w:r>
        <w:r>
          <w:rPr>
            <w:rFonts w:ascii="宋体" w:eastAsia="宋体" w:hAnsi="宋体" w:cs="宋体" w:hint="eastAsia"/>
            <w:sz w:val="21"/>
            <w:szCs w:val="21"/>
          </w:rPr>
          <w:instrText xml:space="preserve">EF _Toc70622202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50</w:t>
        </w:r>
        <w:r>
          <w:rPr>
            <w:rFonts w:ascii="宋体" w:eastAsia="宋体" w:hAnsi="宋体" w:cs="宋体" w:hint="eastAsia"/>
            <w:sz w:val="21"/>
            <w:szCs w:val="21"/>
          </w:rPr>
          <w:fldChar w:fldCharType="end"/>
        </w:r>
      </w:hyperlink>
    </w:p>
    <w:p w14:paraId="692E7BCE" w14:textId="77777777" w:rsidR="00694F14" w:rsidRDefault="00A463B7">
      <w:pPr>
        <w:pStyle w:val="TOC1"/>
        <w:spacing w:line="240" w:lineRule="auto"/>
        <w:jc w:val="center"/>
        <w:rPr>
          <w:rFonts w:ascii="宋体" w:eastAsia="宋体" w:hAnsi="宋体" w:cs="宋体"/>
          <w:sz w:val="21"/>
          <w:szCs w:val="21"/>
        </w:rPr>
      </w:pPr>
      <w:hyperlink w:anchor="_Toc70622203" w:history="1">
        <w:r>
          <w:rPr>
            <w:rStyle w:val="af8"/>
            <w:rFonts w:ascii="宋体" w:eastAsia="宋体" w:hAnsi="宋体" w:cs="宋体" w:hint="eastAsia"/>
            <w:sz w:val="21"/>
            <w:szCs w:val="21"/>
          </w:rPr>
          <w:t>二十四、风险揭示</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52</w:t>
        </w:r>
        <w:r>
          <w:rPr>
            <w:rFonts w:ascii="宋体" w:eastAsia="宋体" w:hAnsi="宋体" w:cs="宋体" w:hint="eastAsia"/>
            <w:sz w:val="21"/>
            <w:szCs w:val="21"/>
          </w:rPr>
          <w:fldChar w:fldCharType="end"/>
        </w:r>
      </w:hyperlink>
    </w:p>
    <w:p w14:paraId="37506F8B" w14:textId="77777777" w:rsidR="00694F14" w:rsidRDefault="00A463B7">
      <w:pPr>
        <w:pStyle w:val="TOC1"/>
        <w:spacing w:line="240" w:lineRule="auto"/>
        <w:jc w:val="center"/>
        <w:rPr>
          <w:rFonts w:ascii="宋体" w:eastAsia="宋体" w:hAnsi="宋体" w:cs="宋体"/>
          <w:sz w:val="21"/>
          <w:szCs w:val="21"/>
        </w:rPr>
      </w:pPr>
      <w:hyperlink w:anchor="_Toc70622204" w:history="1">
        <w:r>
          <w:rPr>
            <w:rStyle w:val="af8"/>
            <w:rFonts w:ascii="宋体" w:eastAsia="宋体" w:hAnsi="宋体" w:cs="宋体" w:hint="eastAsia"/>
            <w:sz w:val="21"/>
            <w:szCs w:val="21"/>
          </w:rPr>
          <w:t>二十五、资产管理合同的变更、终止与财产清算</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62</w:t>
        </w:r>
        <w:r>
          <w:rPr>
            <w:rFonts w:ascii="宋体" w:eastAsia="宋体" w:hAnsi="宋体" w:cs="宋体" w:hint="eastAsia"/>
            <w:sz w:val="21"/>
            <w:szCs w:val="21"/>
          </w:rPr>
          <w:fldChar w:fldCharType="end"/>
        </w:r>
      </w:hyperlink>
    </w:p>
    <w:p w14:paraId="23D3FBF1" w14:textId="77777777" w:rsidR="00694F14" w:rsidRDefault="00A463B7">
      <w:pPr>
        <w:pStyle w:val="TOC1"/>
        <w:spacing w:line="240" w:lineRule="auto"/>
        <w:jc w:val="center"/>
        <w:rPr>
          <w:rFonts w:ascii="宋体" w:eastAsia="宋体" w:hAnsi="宋体" w:cs="宋体"/>
          <w:sz w:val="21"/>
          <w:szCs w:val="21"/>
        </w:rPr>
      </w:pPr>
      <w:hyperlink w:anchor="_Toc70622205" w:history="1">
        <w:r>
          <w:rPr>
            <w:rStyle w:val="af8"/>
            <w:rFonts w:ascii="宋体" w:eastAsia="宋体" w:hAnsi="宋体" w:cs="宋体" w:hint="eastAsia"/>
            <w:sz w:val="21"/>
            <w:szCs w:val="21"/>
          </w:rPr>
          <w:t>二十六、违约责任</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66</w:t>
        </w:r>
        <w:r>
          <w:rPr>
            <w:rFonts w:ascii="宋体" w:eastAsia="宋体" w:hAnsi="宋体" w:cs="宋体" w:hint="eastAsia"/>
            <w:sz w:val="21"/>
            <w:szCs w:val="21"/>
          </w:rPr>
          <w:fldChar w:fldCharType="end"/>
        </w:r>
      </w:hyperlink>
    </w:p>
    <w:p w14:paraId="16751B3A" w14:textId="77777777" w:rsidR="00694F14" w:rsidRDefault="00A463B7">
      <w:pPr>
        <w:pStyle w:val="TOC1"/>
        <w:spacing w:line="240" w:lineRule="auto"/>
        <w:jc w:val="center"/>
        <w:rPr>
          <w:rFonts w:ascii="宋体" w:eastAsia="宋体" w:hAnsi="宋体" w:cs="宋体"/>
          <w:sz w:val="21"/>
          <w:szCs w:val="21"/>
        </w:rPr>
      </w:pPr>
      <w:hyperlink w:anchor="_Toc70622206" w:history="1">
        <w:r>
          <w:rPr>
            <w:rStyle w:val="af8"/>
            <w:rFonts w:ascii="宋体" w:eastAsia="宋体" w:hAnsi="宋体" w:cs="宋体" w:hint="eastAsia"/>
            <w:sz w:val="21"/>
            <w:szCs w:val="21"/>
          </w:rPr>
          <w:t>二十七、通知与送达</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67</w:t>
        </w:r>
        <w:r>
          <w:rPr>
            <w:rFonts w:ascii="宋体" w:eastAsia="宋体" w:hAnsi="宋体" w:cs="宋体" w:hint="eastAsia"/>
            <w:sz w:val="21"/>
            <w:szCs w:val="21"/>
          </w:rPr>
          <w:fldChar w:fldCharType="end"/>
        </w:r>
      </w:hyperlink>
    </w:p>
    <w:p w14:paraId="25A24F45" w14:textId="77777777" w:rsidR="00694F14" w:rsidRDefault="00A463B7">
      <w:pPr>
        <w:pStyle w:val="TOC1"/>
        <w:spacing w:line="240" w:lineRule="auto"/>
        <w:jc w:val="center"/>
        <w:rPr>
          <w:rFonts w:ascii="宋体" w:eastAsia="宋体" w:hAnsi="宋体" w:cs="宋体"/>
          <w:sz w:val="21"/>
          <w:szCs w:val="21"/>
        </w:rPr>
      </w:pPr>
      <w:hyperlink w:anchor="_Toc70622207" w:history="1">
        <w:r>
          <w:rPr>
            <w:rStyle w:val="af8"/>
            <w:rFonts w:ascii="宋体" w:eastAsia="宋体" w:hAnsi="宋体" w:cs="宋体" w:hint="eastAsia"/>
            <w:sz w:val="21"/>
            <w:szCs w:val="21"/>
          </w:rPr>
          <w:t>二十八、保密要求</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w:instrText>
        </w:r>
        <w:r>
          <w:rPr>
            <w:rFonts w:ascii="宋体" w:eastAsia="宋体" w:hAnsi="宋体" w:cs="宋体" w:hint="eastAsia"/>
            <w:sz w:val="21"/>
            <w:szCs w:val="21"/>
          </w:rPr>
          <w:instrText xml:space="preserve">622207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68</w:t>
        </w:r>
        <w:r>
          <w:rPr>
            <w:rFonts w:ascii="宋体" w:eastAsia="宋体" w:hAnsi="宋体" w:cs="宋体" w:hint="eastAsia"/>
            <w:sz w:val="21"/>
            <w:szCs w:val="21"/>
          </w:rPr>
          <w:fldChar w:fldCharType="end"/>
        </w:r>
      </w:hyperlink>
    </w:p>
    <w:p w14:paraId="5EC7E3AE" w14:textId="77777777" w:rsidR="00694F14" w:rsidRDefault="00A463B7">
      <w:pPr>
        <w:pStyle w:val="TOC1"/>
        <w:spacing w:line="240" w:lineRule="auto"/>
        <w:jc w:val="center"/>
        <w:rPr>
          <w:rFonts w:ascii="宋体" w:eastAsia="宋体" w:hAnsi="宋体" w:cs="宋体"/>
          <w:sz w:val="21"/>
          <w:szCs w:val="21"/>
        </w:rPr>
      </w:pPr>
      <w:hyperlink w:anchor="_Toc70622208" w:history="1">
        <w:r>
          <w:rPr>
            <w:rStyle w:val="af8"/>
            <w:rFonts w:ascii="宋体" w:eastAsia="宋体" w:hAnsi="宋体" w:cs="宋体" w:hint="eastAsia"/>
            <w:sz w:val="21"/>
            <w:szCs w:val="21"/>
          </w:rPr>
          <w:t>二十九、法律适用和争议的处理</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_Toc70622208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68</w:t>
        </w:r>
        <w:r>
          <w:rPr>
            <w:rFonts w:ascii="宋体" w:eastAsia="宋体" w:hAnsi="宋体" w:cs="宋体" w:hint="eastAsia"/>
            <w:sz w:val="21"/>
            <w:szCs w:val="21"/>
          </w:rPr>
          <w:fldChar w:fldCharType="end"/>
        </w:r>
      </w:hyperlink>
    </w:p>
    <w:p w14:paraId="35766D58" w14:textId="77777777" w:rsidR="00694F14" w:rsidRDefault="00A463B7">
      <w:pPr>
        <w:pStyle w:val="TOC1"/>
        <w:spacing w:line="240" w:lineRule="auto"/>
        <w:jc w:val="center"/>
        <w:rPr>
          <w:rFonts w:ascii="宋体" w:eastAsia="宋体" w:hAnsi="宋体" w:cs="宋体"/>
          <w:sz w:val="21"/>
          <w:szCs w:val="21"/>
        </w:rPr>
      </w:pPr>
      <w:hyperlink w:anchor="_Toc70622209" w:history="1">
        <w:r>
          <w:rPr>
            <w:rStyle w:val="af8"/>
            <w:rFonts w:ascii="宋体" w:eastAsia="宋体" w:hAnsi="宋体" w:cs="宋体" w:hint="eastAsia"/>
            <w:sz w:val="21"/>
            <w:szCs w:val="21"/>
          </w:rPr>
          <w:t>三十、资产管理合同的效力</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_Toc70622209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69</w:t>
        </w:r>
        <w:r>
          <w:rPr>
            <w:rFonts w:ascii="宋体" w:eastAsia="宋体" w:hAnsi="宋体" w:cs="宋体" w:hint="eastAsia"/>
            <w:sz w:val="21"/>
            <w:szCs w:val="21"/>
          </w:rPr>
          <w:fldChar w:fldCharType="end"/>
        </w:r>
      </w:hyperlink>
    </w:p>
    <w:p w14:paraId="1B4D885C" w14:textId="77777777" w:rsidR="00694F14" w:rsidRDefault="00A463B7">
      <w:pPr>
        <w:pStyle w:val="TOC1"/>
        <w:spacing w:line="240" w:lineRule="auto"/>
        <w:jc w:val="center"/>
        <w:rPr>
          <w:rFonts w:ascii="宋体" w:eastAsia="宋体" w:hAnsi="宋体" w:cs="宋体"/>
          <w:sz w:val="21"/>
          <w:szCs w:val="21"/>
        </w:rPr>
      </w:pPr>
      <w:hyperlink w:anchor="_Toc70622210" w:history="1">
        <w:r>
          <w:rPr>
            <w:rStyle w:val="af8"/>
            <w:rFonts w:ascii="宋体" w:eastAsia="宋体" w:hAnsi="宋体" w:cs="宋体" w:hint="eastAsia"/>
            <w:sz w:val="21"/>
            <w:szCs w:val="21"/>
          </w:rPr>
          <w:t>三十一、其他事项</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_Toc70622210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69</w:t>
        </w:r>
        <w:r>
          <w:rPr>
            <w:rFonts w:ascii="宋体" w:eastAsia="宋体" w:hAnsi="宋体" w:cs="宋体" w:hint="eastAsia"/>
            <w:sz w:val="21"/>
            <w:szCs w:val="21"/>
          </w:rPr>
          <w:fldChar w:fldCharType="end"/>
        </w:r>
      </w:hyperlink>
    </w:p>
    <w:p w14:paraId="0874FE87" w14:textId="77777777" w:rsidR="00694F14" w:rsidRDefault="00A463B7">
      <w:pPr>
        <w:pStyle w:val="TOC1"/>
        <w:spacing w:line="240" w:lineRule="auto"/>
        <w:jc w:val="center"/>
        <w:rPr>
          <w:rFonts w:ascii="宋体" w:eastAsia="宋体" w:hAnsi="宋体" w:cs="宋体"/>
          <w:sz w:val="21"/>
          <w:szCs w:val="21"/>
        </w:rPr>
      </w:pPr>
      <w:hyperlink w:anchor="_Toc70622211" w:history="1">
        <w:r>
          <w:rPr>
            <w:rStyle w:val="af8"/>
            <w:rFonts w:ascii="宋体" w:eastAsia="宋体" w:hAnsi="宋体" w:cs="宋体" w:hint="eastAsia"/>
            <w:sz w:val="21"/>
            <w:szCs w:val="21"/>
          </w:rPr>
          <w:t>附件一</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_Toc70622211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73</w:t>
        </w:r>
        <w:r>
          <w:rPr>
            <w:rFonts w:ascii="宋体" w:eastAsia="宋体" w:hAnsi="宋体" w:cs="宋体" w:hint="eastAsia"/>
            <w:sz w:val="21"/>
            <w:szCs w:val="21"/>
          </w:rPr>
          <w:fldChar w:fldCharType="end"/>
        </w:r>
      </w:hyperlink>
    </w:p>
    <w:p w14:paraId="0B553100" w14:textId="77777777" w:rsidR="00694F14" w:rsidRDefault="00A463B7">
      <w:pPr>
        <w:pStyle w:val="TOC1"/>
        <w:spacing w:line="240" w:lineRule="auto"/>
        <w:jc w:val="center"/>
        <w:rPr>
          <w:rFonts w:ascii="宋体" w:eastAsia="宋体" w:hAnsi="宋体" w:cs="宋体"/>
          <w:sz w:val="21"/>
          <w:szCs w:val="21"/>
        </w:rPr>
      </w:pPr>
      <w:hyperlink w:anchor="_Toc70622212" w:history="1">
        <w:r>
          <w:rPr>
            <w:rStyle w:val="af8"/>
            <w:rFonts w:ascii="宋体" w:eastAsia="宋体" w:hAnsi="宋体" w:cs="宋体" w:hint="eastAsia"/>
            <w:sz w:val="21"/>
            <w:szCs w:val="21"/>
          </w:rPr>
          <w:t>附件二</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_Toc70622212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75</w:t>
        </w:r>
        <w:r>
          <w:rPr>
            <w:rFonts w:ascii="宋体" w:eastAsia="宋体" w:hAnsi="宋体" w:cs="宋体" w:hint="eastAsia"/>
            <w:sz w:val="21"/>
            <w:szCs w:val="21"/>
          </w:rPr>
          <w:fldChar w:fldCharType="end"/>
        </w:r>
      </w:hyperlink>
    </w:p>
    <w:p w14:paraId="5E458A11" w14:textId="77777777" w:rsidR="00694F14" w:rsidRDefault="00A463B7">
      <w:pPr>
        <w:pStyle w:val="TOC1"/>
        <w:spacing w:line="240" w:lineRule="auto"/>
        <w:jc w:val="center"/>
        <w:rPr>
          <w:rFonts w:ascii="宋体" w:eastAsia="宋体" w:hAnsi="宋体" w:cs="宋体"/>
          <w:sz w:val="21"/>
          <w:szCs w:val="21"/>
        </w:rPr>
      </w:pPr>
      <w:hyperlink w:anchor="_Toc70622213" w:history="1">
        <w:r>
          <w:rPr>
            <w:rStyle w:val="af8"/>
            <w:rFonts w:ascii="宋体" w:eastAsia="宋体" w:hAnsi="宋体" w:cs="宋体" w:hint="eastAsia"/>
            <w:sz w:val="21"/>
            <w:szCs w:val="21"/>
          </w:rPr>
          <w:t>附件三</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_Toc70622213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88</w:t>
        </w:r>
        <w:r>
          <w:rPr>
            <w:rFonts w:ascii="宋体" w:eastAsia="宋体" w:hAnsi="宋体" w:cs="宋体" w:hint="eastAsia"/>
            <w:sz w:val="21"/>
            <w:szCs w:val="21"/>
          </w:rPr>
          <w:fldChar w:fldCharType="end"/>
        </w:r>
      </w:hyperlink>
    </w:p>
    <w:p w14:paraId="2CCE8971" w14:textId="77777777" w:rsidR="00694F14" w:rsidRDefault="00A463B7">
      <w:pPr>
        <w:pStyle w:val="TOC1"/>
        <w:spacing w:line="240" w:lineRule="auto"/>
        <w:jc w:val="center"/>
        <w:rPr>
          <w:rFonts w:ascii="宋体" w:eastAsia="宋体" w:hAnsi="宋体" w:cs="宋体"/>
          <w:sz w:val="21"/>
          <w:szCs w:val="21"/>
        </w:rPr>
      </w:pPr>
      <w:hyperlink w:anchor="_Toc70622214" w:history="1">
        <w:r>
          <w:rPr>
            <w:rStyle w:val="af8"/>
            <w:rFonts w:ascii="宋体" w:eastAsia="宋体" w:hAnsi="宋体" w:cs="宋体" w:hint="eastAsia"/>
            <w:sz w:val="21"/>
            <w:szCs w:val="21"/>
          </w:rPr>
          <w:t>附件四</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_Toc70622214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89</w:t>
        </w:r>
        <w:r>
          <w:rPr>
            <w:rFonts w:ascii="宋体" w:eastAsia="宋体" w:hAnsi="宋体" w:cs="宋体" w:hint="eastAsia"/>
            <w:sz w:val="21"/>
            <w:szCs w:val="21"/>
          </w:rPr>
          <w:fldChar w:fldCharType="end"/>
        </w:r>
      </w:hyperlink>
    </w:p>
    <w:p w14:paraId="0A7B70AC" w14:textId="77777777" w:rsidR="00694F14" w:rsidRDefault="00A463B7">
      <w:pPr>
        <w:pStyle w:val="TOC1"/>
        <w:spacing w:line="240" w:lineRule="auto"/>
        <w:jc w:val="center"/>
        <w:rPr>
          <w:rFonts w:ascii="宋体" w:eastAsia="宋体" w:hAnsi="宋体" w:cs="宋体"/>
          <w:sz w:val="21"/>
          <w:szCs w:val="21"/>
        </w:rPr>
      </w:pPr>
      <w:hyperlink w:anchor="_Toc70622215" w:history="1">
        <w:r>
          <w:rPr>
            <w:rStyle w:val="af8"/>
            <w:rFonts w:ascii="宋体" w:eastAsia="宋体" w:hAnsi="宋体" w:cs="宋体" w:hint="eastAsia"/>
            <w:sz w:val="21"/>
            <w:szCs w:val="21"/>
          </w:rPr>
          <w:t>附件五</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_Toc70622215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90</w:t>
        </w:r>
        <w:r>
          <w:rPr>
            <w:rFonts w:ascii="宋体" w:eastAsia="宋体" w:hAnsi="宋体" w:cs="宋体" w:hint="eastAsia"/>
            <w:sz w:val="21"/>
            <w:szCs w:val="21"/>
          </w:rPr>
          <w:fldChar w:fldCharType="end"/>
        </w:r>
      </w:hyperlink>
    </w:p>
    <w:p w14:paraId="3C9E27F0" w14:textId="77777777" w:rsidR="00694F14" w:rsidRDefault="00A463B7">
      <w:pPr>
        <w:pStyle w:val="TOC1"/>
        <w:spacing w:line="240" w:lineRule="auto"/>
        <w:jc w:val="center"/>
        <w:rPr>
          <w:rFonts w:ascii="宋体" w:eastAsia="宋体" w:hAnsi="宋体" w:cs="宋体"/>
          <w:sz w:val="21"/>
          <w:szCs w:val="21"/>
        </w:rPr>
      </w:pPr>
      <w:hyperlink w:anchor="_Toc70622216" w:history="1">
        <w:r>
          <w:rPr>
            <w:rStyle w:val="af8"/>
            <w:rFonts w:ascii="宋体" w:eastAsia="宋体" w:hAnsi="宋体" w:cs="宋体" w:hint="eastAsia"/>
            <w:sz w:val="21"/>
            <w:szCs w:val="21"/>
          </w:rPr>
          <w:t>附件六</w:t>
        </w:r>
        <w:r>
          <w:rPr>
            <w:rFonts w:ascii="宋体" w:eastAsia="宋体" w:hAnsi="宋体" w:cs="宋体" w:hint="eastAsia"/>
            <w:sz w:val="21"/>
            <w:szCs w:val="21"/>
          </w:rPr>
          <w:tab/>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PAGEREF _Toc70622216 \h </w:instrText>
        </w:r>
        <w:r>
          <w:rPr>
            <w:rFonts w:ascii="宋体" w:eastAsia="宋体" w:hAnsi="宋体" w:cs="宋体" w:hint="eastAsia"/>
            <w:sz w:val="21"/>
            <w:szCs w:val="21"/>
          </w:rPr>
        </w:r>
        <w:r>
          <w:rPr>
            <w:rFonts w:ascii="宋体" w:eastAsia="宋体" w:hAnsi="宋体" w:cs="宋体" w:hint="eastAsia"/>
            <w:sz w:val="21"/>
            <w:szCs w:val="21"/>
          </w:rPr>
          <w:fldChar w:fldCharType="separate"/>
        </w:r>
        <w:r>
          <w:rPr>
            <w:rFonts w:ascii="宋体" w:eastAsia="宋体" w:hAnsi="宋体" w:cs="宋体" w:hint="eastAsia"/>
            <w:sz w:val="21"/>
            <w:szCs w:val="21"/>
          </w:rPr>
          <w:t>9</w:t>
        </w:r>
        <w:r>
          <w:rPr>
            <w:rFonts w:ascii="宋体" w:eastAsia="宋体" w:hAnsi="宋体" w:cs="宋体" w:hint="eastAsia"/>
            <w:sz w:val="21"/>
            <w:szCs w:val="21"/>
          </w:rPr>
          <w:t>1</w:t>
        </w:r>
        <w:r>
          <w:rPr>
            <w:rFonts w:ascii="宋体" w:eastAsia="宋体" w:hAnsi="宋体" w:cs="宋体" w:hint="eastAsia"/>
            <w:sz w:val="21"/>
            <w:szCs w:val="21"/>
          </w:rPr>
          <w:fldChar w:fldCharType="end"/>
        </w:r>
      </w:hyperlink>
    </w:p>
    <w:p w14:paraId="1A6EF789" w14:textId="77777777" w:rsidR="00694F14" w:rsidRDefault="00A463B7">
      <w:pPr>
        <w:jc w:val="center"/>
        <w:rPr>
          <w:rFonts w:ascii="华文宋体" w:hAnsi="华文宋体"/>
          <w:szCs w:val="21"/>
        </w:rPr>
      </w:pPr>
      <w:r>
        <w:rPr>
          <w:rFonts w:ascii="宋体" w:eastAsia="宋体" w:hAnsi="宋体" w:cs="宋体" w:hint="eastAsia"/>
          <w:sz w:val="21"/>
          <w:szCs w:val="21"/>
        </w:rPr>
        <w:fldChar w:fldCharType="end"/>
      </w:r>
      <w:r>
        <w:rPr>
          <w:rFonts w:ascii="华文宋体" w:hAnsi="华文宋体"/>
          <w:szCs w:val="21"/>
        </w:rPr>
        <w:br w:type="page"/>
      </w:r>
    </w:p>
    <w:p w14:paraId="2E1AF1FA" w14:textId="77777777" w:rsidR="00694F14" w:rsidRDefault="00A463B7">
      <w:pPr>
        <w:pStyle w:val="1"/>
        <w:spacing w:before="0" w:after="0" w:line="300" w:lineRule="auto"/>
        <w:jc w:val="center"/>
        <w:rPr>
          <w:rFonts w:ascii="宋体" w:eastAsia="宋体" w:hAnsi="宋体" w:cs="宋体"/>
          <w:sz w:val="21"/>
          <w:szCs w:val="21"/>
        </w:rPr>
      </w:pPr>
      <w:bookmarkStart w:id="4" w:name="_Toc194741904"/>
      <w:bookmarkStart w:id="5" w:name="_Toc401668928"/>
      <w:bookmarkStart w:id="6" w:name="_Toc70622180"/>
      <w:r>
        <w:rPr>
          <w:rFonts w:ascii="宋体" w:eastAsia="宋体" w:hAnsi="宋体" w:cs="宋体" w:hint="eastAsia"/>
          <w:sz w:val="21"/>
          <w:szCs w:val="21"/>
        </w:rPr>
        <w:lastRenderedPageBreak/>
        <w:t>一、前言</w:t>
      </w:r>
      <w:bookmarkEnd w:id="4"/>
      <w:bookmarkEnd w:id="5"/>
      <w:bookmarkEnd w:id="6"/>
    </w:p>
    <w:p w14:paraId="5AC1C7EE"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订立本合同的依据、目的和原则：</w:t>
      </w:r>
    </w:p>
    <w:p w14:paraId="571FD392"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依据是《中华人民共和国民法典》、《中华人民共和国证券法》、《中华人民共和国证券投资基金法》（以下简称“《基金法》”）、《关于规范金融机构资产管理业务的指导意见》（以下简称“《指导意见》”）、《证券期货经营机构私募资产管理业务运作管理暂行规定》、《证券期货经营机构私募资产管理业务管理办法》</w:t>
      </w:r>
      <w:r>
        <w:rPr>
          <w:rFonts w:ascii="宋体" w:eastAsia="宋体" w:hAnsi="宋体" w:cs="宋体" w:hint="eastAsia"/>
          <w:sz w:val="21"/>
          <w:szCs w:val="21"/>
        </w:rPr>
        <w:t>(</w:t>
      </w:r>
      <w:r>
        <w:rPr>
          <w:rFonts w:ascii="宋体" w:eastAsia="宋体" w:hAnsi="宋体" w:cs="宋体" w:hint="eastAsia"/>
          <w:sz w:val="21"/>
          <w:szCs w:val="21"/>
        </w:rPr>
        <w:t>以下</w:t>
      </w:r>
      <w:r>
        <w:rPr>
          <w:rFonts w:ascii="宋体" w:eastAsia="宋体" w:hAnsi="宋体" w:cs="宋体" w:hint="eastAsia"/>
          <w:sz w:val="21"/>
          <w:szCs w:val="21"/>
        </w:rPr>
        <w:t>简称“《管理办法》”）、《证券期货经营机构私募资产管理计划运作管理规定》（以下简称“《运作规定》”）、《集合资产管理计划资产管理合同内容与格式指引（试行）》和其他有关规定。</w:t>
      </w:r>
    </w:p>
    <w:p w14:paraId="7B046745"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管理合同的目的是为了明确资产委托人、资产管理人和资产托管人在集合资产管理业务过程中的权利、义务及职责，确保资产管理计划财产的安全，保护当事人各方的合法权益。</w:t>
      </w:r>
    </w:p>
    <w:p w14:paraId="72FABD19"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、订立</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管理合同应当遵循平等自愿、诚实信用、公平原则，充分保护本合同各方当事人的合法权益，不得损害国家利益、社会公共利益和他人合法权益。</w:t>
      </w:r>
    </w:p>
    <w:p w14:paraId="18354BD0"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、资产委托人自签订资产管理合同即成为资产管理合同的当事人。在本计划存续期间，资产委托人</w:t>
      </w:r>
      <w:proofErr w:type="gramStart"/>
      <w:r>
        <w:rPr>
          <w:rFonts w:ascii="宋体" w:eastAsia="宋体" w:hAnsi="宋体" w:cs="宋体" w:hint="eastAsia"/>
          <w:sz w:val="21"/>
          <w:szCs w:val="21"/>
        </w:rPr>
        <w:t>自全部</w:t>
      </w:r>
      <w:proofErr w:type="gramEnd"/>
      <w:r>
        <w:rPr>
          <w:rFonts w:ascii="宋体" w:eastAsia="宋体" w:hAnsi="宋体" w:cs="宋体" w:hint="eastAsia"/>
          <w:sz w:val="21"/>
          <w:szCs w:val="21"/>
        </w:rPr>
        <w:t>退出资产管理计划之日起，该资产委托人不再是资产管理计划的投资人和资产管理合同的当事人。</w:t>
      </w:r>
    </w:p>
    <w:p w14:paraId="4FAA3B69" w14:textId="77777777" w:rsidR="00694F14" w:rsidRDefault="00A463B7">
      <w:pPr>
        <w:spacing w:line="360" w:lineRule="auto"/>
        <w:ind w:firstLine="482"/>
        <w:rPr>
          <w:rFonts w:ascii="宋体" w:eastAsia="宋体" w:hAnsi="宋体" w:cs="宋体"/>
          <w:sz w:val="21"/>
          <w:szCs w:val="21"/>
        </w:rPr>
      </w:pPr>
      <w:r>
        <w:rPr>
          <w:rFonts w:ascii="宋体" w:eastAsia="宋体" w:hAnsi="宋体" w:cs="宋体" w:hint="eastAsia"/>
          <w:sz w:val="21"/>
          <w:szCs w:val="21"/>
        </w:rPr>
        <w:t>资产管理人应当</w:t>
      </w:r>
      <w:r>
        <w:rPr>
          <w:rFonts w:ascii="宋体" w:eastAsia="宋体" w:hAnsi="宋体" w:cs="宋体" w:hint="eastAsia"/>
          <w:sz w:val="21"/>
          <w:szCs w:val="21"/>
        </w:rPr>
        <w:t>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管理计划的设立、变更、展期、终止、清算等行为向中国证券投资基金业协会（以下简称“基金业协会”）进行备案，并抄报中国证券监督管理委员会（以下简称“中国证监会”）相关派出机构。基金业协会接受</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管理计划的备案不能免除资产管理人按照规定真实、准确、完整、及时地披露产品信息的法律责任，也不代表基金业协会对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性、投资价值及投资风险做出保证和判断。投资者应当自行识别产品投资风险并承担投资行为可能出现的损失，但</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因此免除资产管理人的产品管理责任和受托义务。</w:t>
      </w:r>
    </w:p>
    <w:p w14:paraId="50B6049C" w14:textId="77777777" w:rsidR="00694F14" w:rsidRDefault="00694F14">
      <w:pPr>
        <w:spacing w:line="300" w:lineRule="auto"/>
        <w:ind w:firstLine="480"/>
        <w:rPr>
          <w:rFonts w:ascii="宋体" w:eastAsia="宋体" w:hAnsi="宋体" w:cs="宋体"/>
          <w:sz w:val="21"/>
          <w:szCs w:val="21"/>
        </w:rPr>
      </w:pPr>
    </w:p>
    <w:p w14:paraId="71DBA9DD" w14:textId="77777777" w:rsidR="00694F14" w:rsidRDefault="00A463B7">
      <w:pPr>
        <w:pStyle w:val="1"/>
        <w:spacing w:before="0" w:after="0" w:line="300" w:lineRule="auto"/>
        <w:ind w:firstLine="420"/>
        <w:jc w:val="center"/>
        <w:rPr>
          <w:rFonts w:ascii="宋体" w:eastAsia="宋体" w:hAnsi="宋体" w:cs="宋体"/>
          <w:sz w:val="21"/>
          <w:szCs w:val="21"/>
        </w:rPr>
      </w:pPr>
      <w:bookmarkStart w:id="7" w:name="_Toc194741905"/>
      <w:bookmarkStart w:id="8" w:name="_Toc70622181"/>
      <w:bookmarkStart w:id="9" w:name="_Toc401668929"/>
      <w:r>
        <w:rPr>
          <w:rFonts w:ascii="宋体" w:eastAsia="宋体" w:hAnsi="宋体" w:cs="宋体" w:hint="eastAsia"/>
          <w:sz w:val="21"/>
          <w:szCs w:val="21"/>
        </w:rPr>
        <w:t>二、释义</w:t>
      </w:r>
      <w:bookmarkEnd w:id="7"/>
      <w:bookmarkEnd w:id="8"/>
      <w:bookmarkEnd w:id="9"/>
    </w:p>
    <w:p w14:paraId="1310714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在本合同中，除上下文另有</w:t>
      </w:r>
      <w:r>
        <w:rPr>
          <w:rFonts w:ascii="宋体" w:eastAsia="宋体" w:hAnsi="宋体" w:cs="宋体" w:hint="eastAsia"/>
          <w:sz w:val="21"/>
          <w:szCs w:val="21"/>
        </w:rPr>
        <w:t>规定外，下列用语应当具有如下含义：</w:t>
      </w:r>
    </w:p>
    <w:p w14:paraId="78D6A38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、资产管理合同、本合同、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管理合同：指资产委托人、资产管理人和资产托管人签署的《</w:t>
      </w:r>
      <w:r>
        <w:rPr>
          <w:rFonts w:ascii="宋体" w:eastAsia="宋体" w:hAnsi="宋体" w:cs="宋体" w:hint="eastAsia"/>
          <w:sz w:val="21"/>
          <w:szCs w:val="21"/>
        </w:rPr>
        <w:t>光大期货光大理财阳光橙精选</w:t>
      </w:r>
      <w:r>
        <w:rPr>
          <w:rFonts w:ascii="宋体" w:eastAsia="宋体" w:hAnsi="宋体" w:cs="宋体" w:hint="eastAsia"/>
          <w:sz w:val="21"/>
          <w:szCs w:val="21"/>
        </w:rPr>
        <w:t>1</w:t>
      </w:r>
      <w:r>
        <w:rPr>
          <w:rFonts w:ascii="宋体" w:eastAsia="宋体" w:hAnsi="宋体" w:cs="宋体" w:hint="eastAsia"/>
          <w:sz w:val="21"/>
          <w:szCs w:val="21"/>
        </w:rPr>
        <w:t>号</w:t>
      </w:r>
      <w:r>
        <w:rPr>
          <w:rFonts w:ascii="宋体" w:eastAsia="宋体" w:hAnsi="宋体" w:cs="宋体" w:hint="eastAsia"/>
          <w:sz w:val="21"/>
          <w:szCs w:val="21"/>
        </w:rPr>
        <w:t>集合资产管理计划资产管理合同》及其附件，以及对该合同及附件做出的任何有效变更和补充</w:t>
      </w:r>
    </w:p>
    <w:p w14:paraId="5D4B8F9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、投资者、委托人、资产委托人：指签订本合同，具备相应风险识别能力和风险承担能力，投资于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管理计划不低于【</w:t>
      </w:r>
      <w:r>
        <w:rPr>
          <w:rFonts w:ascii="宋体" w:eastAsia="宋体" w:hAnsi="宋体" w:cs="宋体" w:hint="eastAsia"/>
          <w:sz w:val="21"/>
          <w:szCs w:val="21"/>
        </w:rPr>
        <w:t>40</w:t>
      </w:r>
      <w:r>
        <w:rPr>
          <w:rFonts w:ascii="宋体" w:eastAsia="宋体" w:hAnsi="宋体" w:cs="宋体" w:hint="eastAsia"/>
          <w:sz w:val="21"/>
          <w:szCs w:val="21"/>
        </w:rPr>
        <w:t>】万元人民币（不含认购费和参与费）且符合《指导意见》、《运作规定》关于合格投资者要求的投资者</w:t>
      </w:r>
    </w:p>
    <w:p w14:paraId="36D053E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w:t>
      </w:r>
      <w:r>
        <w:rPr>
          <w:rFonts w:ascii="宋体" w:eastAsia="宋体" w:hAnsi="宋体" w:cs="宋体" w:hint="eastAsia"/>
          <w:sz w:val="21"/>
          <w:szCs w:val="21"/>
        </w:rPr>
        <w:t>、资产管理人、管理人：指【光大期货有限公司】</w:t>
      </w:r>
    </w:p>
    <w:p w14:paraId="713043D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、资产托管人、托管</w:t>
      </w:r>
      <w:r>
        <w:rPr>
          <w:rFonts w:ascii="宋体" w:eastAsia="宋体" w:hAnsi="宋体" w:cs="宋体" w:hint="eastAsia"/>
          <w:sz w:val="21"/>
          <w:szCs w:val="21"/>
        </w:rPr>
        <w:t>人：指【</w:t>
      </w:r>
      <w:r>
        <w:rPr>
          <w:rFonts w:ascii="宋体" w:eastAsia="宋体" w:hAnsi="宋体" w:cs="宋体" w:hint="eastAsia"/>
          <w:sz w:val="21"/>
          <w:szCs w:val="21"/>
        </w:rPr>
        <w:t>中国光大银行股份有限公司青岛分行</w:t>
      </w:r>
      <w:r>
        <w:rPr>
          <w:rFonts w:ascii="宋体" w:eastAsia="宋体" w:hAnsi="宋体" w:cs="宋体" w:hint="eastAsia"/>
          <w:sz w:val="21"/>
          <w:szCs w:val="21"/>
        </w:rPr>
        <w:t>】</w:t>
      </w:r>
    </w:p>
    <w:p w14:paraId="63A6CD3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、注册登记机构、份额登记机构：指资产管理人或其委托的经中国证监会认定可办理开放式证券投资基金份额登记业务的机构。本计划的注册登记机构为【光大证券股份有限公司】</w:t>
      </w:r>
    </w:p>
    <w:p w14:paraId="111CAA6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、资产管理计划、</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管理计划、本计划、计划：指按照本合同的约定设立，为资产委托人的利益，将多个资产委托人交付的资金进行集中管理、运用或处分，进行投资活动的集合资产管理安排，即</w:t>
      </w:r>
      <w:r>
        <w:rPr>
          <w:rFonts w:ascii="宋体" w:eastAsia="宋体" w:hAnsi="宋体" w:cs="宋体" w:hint="eastAsia"/>
          <w:sz w:val="21"/>
          <w:szCs w:val="21"/>
        </w:rPr>
        <w:t>光大期货光大理财阳光</w:t>
      </w:r>
      <w:proofErr w:type="gramStart"/>
      <w:r>
        <w:rPr>
          <w:rFonts w:ascii="宋体" w:eastAsia="宋体" w:hAnsi="宋体" w:cs="宋体" w:hint="eastAsia"/>
          <w:sz w:val="21"/>
          <w:szCs w:val="21"/>
        </w:rPr>
        <w:t>橙</w:t>
      </w:r>
      <w:proofErr w:type="gramEnd"/>
      <w:r>
        <w:rPr>
          <w:rFonts w:ascii="宋体" w:eastAsia="宋体" w:hAnsi="宋体" w:cs="宋体" w:hint="eastAsia"/>
          <w:sz w:val="21"/>
          <w:szCs w:val="21"/>
        </w:rPr>
        <w:t>精选</w:t>
      </w:r>
      <w:r>
        <w:rPr>
          <w:rFonts w:ascii="宋体" w:eastAsia="宋体" w:hAnsi="宋体" w:cs="宋体" w:hint="eastAsia"/>
          <w:sz w:val="21"/>
          <w:szCs w:val="21"/>
        </w:rPr>
        <w:t>1</w:t>
      </w:r>
      <w:r>
        <w:rPr>
          <w:rFonts w:ascii="宋体" w:eastAsia="宋体" w:hAnsi="宋体" w:cs="宋体" w:hint="eastAsia"/>
          <w:sz w:val="21"/>
          <w:szCs w:val="21"/>
        </w:rPr>
        <w:t>号</w:t>
      </w:r>
      <w:r>
        <w:rPr>
          <w:rFonts w:ascii="宋体" w:eastAsia="宋体" w:hAnsi="宋体" w:cs="宋体" w:hint="eastAsia"/>
          <w:sz w:val="21"/>
          <w:szCs w:val="21"/>
        </w:rPr>
        <w:t>集合资产管理计划</w:t>
      </w:r>
    </w:p>
    <w:p w14:paraId="13C1F3F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、计划说明书：指《</w:t>
      </w:r>
      <w:r>
        <w:rPr>
          <w:rFonts w:ascii="宋体" w:eastAsia="宋体" w:hAnsi="宋体" w:cs="宋体" w:hint="eastAsia"/>
          <w:sz w:val="21"/>
          <w:szCs w:val="21"/>
        </w:rPr>
        <w:t>光大期货光大理财阳光橙精选</w:t>
      </w:r>
      <w:r>
        <w:rPr>
          <w:rFonts w:ascii="宋体" w:eastAsia="宋体" w:hAnsi="宋体" w:cs="宋体" w:hint="eastAsia"/>
          <w:sz w:val="21"/>
          <w:szCs w:val="21"/>
        </w:rPr>
        <w:t>1</w:t>
      </w:r>
      <w:r>
        <w:rPr>
          <w:rFonts w:ascii="宋体" w:eastAsia="宋体" w:hAnsi="宋体" w:cs="宋体" w:hint="eastAsia"/>
          <w:sz w:val="21"/>
          <w:szCs w:val="21"/>
        </w:rPr>
        <w:t>号</w:t>
      </w:r>
      <w:r>
        <w:rPr>
          <w:rFonts w:ascii="宋体" w:eastAsia="宋体" w:hAnsi="宋体" w:cs="宋体" w:hint="eastAsia"/>
          <w:sz w:val="21"/>
          <w:szCs w:val="21"/>
        </w:rPr>
        <w:t>集合资产管理计划计划说明书》，</w:t>
      </w:r>
      <w:r>
        <w:rPr>
          <w:rFonts w:ascii="宋体" w:eastAsia="宋体" w:hAnsi="宋体" w:cs="宋体" w:hint="eastAsia"/>
          <w:sz w:val="21"/>
          <w:szCs w:val="21"/>
        </w:rPr>
        <w:t>内容包括资产管理计划名称和类型、资产管理人与资产托管人概况、资产管理计划的投资范围、投资策略和投资限制情况、投资风险揭示、中国证监会规定的其他事项等</w:t>
      </w:r>
    </w:p>
    <w:p w14:paraId="12B8BCD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、工作日：</w:t>
      </w:r>
      <w:r>
        <w:rPr>
          <w:rFonts w:ascii="宋体" w:eastAsia="宋体" w:hAnsi="宋体" w:cs="宋体" w:hint="eastAsia"/>
          <w:sz w:val="21"/>
          <w:szCs w:val="21"/>
        </w:rPr>
        <w:t xml:space="preserve"> </w:t>
      </w:r>
      <w:r>
        <w:rPr>
          <w:rFonts w:ascii="宋体" w:eastAsia="宋体" w:hAnsi="宋体" w:cs="宋体" w:hint="eastAsia"/>
          <w:sz w:val="21"/>
          <w:szCs w:val="21"/>
        </w:rPr>
        <w:t>指资产管理人和资产托管人均办理相关业务的营业日</w:t>
      </w:r>
    </w:p>
    <w:p w14:paraId="543279B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、交易日：指上海证券交易所、深圳证券交易所的正常交易日</w:t>
      </w:r>
    </w:p>
    <w:p w14:paraId="2F7394D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10</w:t>
      </w:r>
      <w:r>
        <w:rPr>
          <w:rFonts w:ascii="宋体" w:eastAsia="宋体" w:hAnsi="宋体" w:cs="宋体" w:hint="eastAsia"/>
          <w:sz w:val="21"/>
          <w:szCs w:val="21"/>
        </w:rPr>
        <w:t>、估值日：指资产管理计划成立后的每一个交易日及国家法律法规规定的需要进行估值的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w:t>
      </w:r>
    </w:p>
    <w:p w14:paraId="002169D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11</w:t>
      </w:r>
      <w:r>
        <w:rPr>
          <w:rFonts w:ascii="宋体" w:eastAsia="宋体" w:hAnsi="宋体" w:cs="宋体" w:hint="eastAsia"/>
          <w:sz w:val="21"/>
          <w:szCs w:val="21"/>
        </w:rPr>
        <w:t>、开放日：指非计划初始募集期间，资产管理人办理计划参与、退出业务的工作日</w:t>
      </w:r>
    </w:p>
    <w:p w14:paraId="1CE5913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12</w:t>
      </w:r>
      <w:r>
        <w:rPr>
          <w:rFonts w:ascii="宋体" w:eastAsia="宋体" w:hAnsi="宋体" w:cs="宋体" w:hint="eastAsia"/>
          <w:sz w:val="21"/>
          <w:szCs w:val="21"/>
        </w:rPr>
        <w:t>、证券账户：指根据中国证监会有关规定和中国证券登记结算有限责任公司等相关机构的有关业务规则，由资产托管人为资产管理计划财产在中国证券登记结算有限责任公司上海分公司、深圳分公司开设的专用证券账户、在中央国债登记结算有限责任公司、银行间市场清算所股份有限公司开立的有关账户及其他证券类账户</w:t>
      </w:r>
    </w:p>
    <w:p w14:paraId="2E0051A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13</w:t>
      </w:r>
      <w:r>
        <w:rPr>
          <w:rFonts w:ascii="宋体" w:eastAsia="宋体" w:hAnsi="宋体" w:cs="宋体" w:hint="eastAsia"/>
          <w:sz w:val="21"/>
          <w:szCs w:val="21"/>
        </w:rPr>
        <w:t>、资金账户、托管账户：指资产托管人根据有关规定为资产管理计划财产开立的专门用于清算交收的银行账户</w:t>
      </w:r>
    </w:p>
    <w:p w14:paraId="5D49731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14</w:t>
      </w:r>
      <w:r>
        <w:rPr>
          <w:rFonts w:ascii="宋体" w:eastAsia="宋体" w:hAnsi="宋体" w:cs="宋体" w:hint="eastAsia"/>
          <w:sz w:val="21"/>
          <w:szCs w:val="21"/>
        </w:rPr>
        <w:t>、期货账户（如有）：指根据中国证监会有</w:t>
      </w:r>
      <w:r>
        <w:rPr>
          <w:rFonts w:ascii="宋体" w:eastAsia="宋体" w:hAnsi="宋体" w:cs="宋体" w:hint="eastAsia"/>
          <w:sz w:val="21"/>
          <w:szCs w:val="21"/>
        </w:rPr>
        <w:t>关规定和中国金融期货交易所等相关期货交易所的有关业务规则，资产管理人为委托资产在资产管理人选定的期货公司处开立的用于存放委托资产期货保证金的账户，其用途包括出入金、支付期货交易结算款和相关费用等，期货账户对应唯一的期货结算账户，也即资金账户</w:t>
      </w:r>
    </w:p>
    <w:p w14:paraId="65D244F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15</w:t>
      </w:r>
      <w:r>
        <w:rPr>
          <w:rFonts w:ascii="宋体" w:eastAsia="宋体" w:hAnsi="宋体" w:cs="宋体" w:hint="eastAsia"/>
          <w:sz w:val="21"/>
          <w:szCs w:val="21"/>
        </w:rPr>
        <w:t>、资产管理计划财产、委托财产：指资产委托人拥有合法处分权、委托资产管理人管理并由资产托管人托管的作为本合同标的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财产以及对上述财产投资运作产生的损益</w:t>
      </w:r>
    </w:p>
    <w:p w14:paraId="4EAD070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16</w:t>
      </w:r>
      <w:r>
        <w:rPr>
          <w:rFonts w:ascii="宋体" w:eastAsia="宋体" w:hAnsi="宋体" w:cs="宋体" w:hint="eastAsia"/>
          <w:sz w:val="21"/>
          <w:szCs w:val="21"/>
        </w:rPr>
        <w:t>、计划资产总值：指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管理计划拥有的各类有价证券、银行存款本息及其他资产的价值总和</w:t>
      </w:r>
    </w:p>
    <w:p w14:paraId="5EF494E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17</w:t>
      </w:r>
      <w:r>
        <w:rPr>
          <w:rFonts w:ascii="宋体" w:eastAsia="宋体" w:hAnsi="宋体" w:cs="宋体" w:hint="eastAsia"/>
          <w:sz w:val="21"/>
          <w:szCs w:val="21"/>
        </w:rPr>
        <w:t>、计划资产净值、计划财</w:t>
      </w:r>
      <w:r>
        <w:rPr>
          <w:rFonts w:ascii="宋体" w:eastAsia="宋体" w:hAnsi="宋体" w:cs="宋体" w:hint="eastAsia"/>
          <w:sz w:val="21"/>
          <w:szCs w:val="21"/>
        </w:rPr>
        <w:t>产净值：指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管理计划资产总值减去负债后的价值</w:t>
      </w:r>
    </w:p>
    <w:p w14:paraId="6802371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18</w:t>
      </w:r>
      <w:r>
        <w:rPr>
          <w:rFonts w:ascii="宋体" w:eastAsia="宋体" w:hAnsi="宋体" w:cs="宋体" w:hint="eastAsia"/>
          <w:sz w:val="21"/>
          <w:szCs w:val="21"/>
        </w:rPr>
        <w:t>、计划份额净值：指计算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管理计划资产净值除以计算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管理计划份额总数所得的数值</w:t>
      </w:r>
    </w:p>
    <w:p w14:paraId="3807616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19</w:t>
      </w:r>
      <w:r>
        <w:rPr>
          <w:rFonts w:ascii="宋体" w:eastAsia="宋体" w:hAnsi="宋体" w:cs="宋体" w:hint="eastAsia"/>
          <w:sz w:val="21"/>
          <w:szCs w:val="21"/>
        </w:rPr>
        <w:t>、资产管理计划资产估值：指计算、评估资产管理计划资产和负债的价值，以确定</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管理计划资产净值和份额净值的过程</w:t>
      </w:r>
    </w:p>
    <w:p w14:paraId="0E30077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rPr>
        <w:t>、初始募集期间：指资产管理合同及计划说明书中载明的计划初始销售期限，</w:t>
      </w:r>
      <w:proofErr w:type="gramStart"/>
      <w:r>
        <w:rPr>
          <w:rFonts w:ascii="宋体" w:eastAsia="宋体" w:hAnsi="宋体" w:cs="宋体" w:hint="eastAsia"/>
          <w:sz w:val="21"/>
          <w:szCs w:val="21"/>
        </w:rPr>
        <w:t>自计划</w:t>
      </w:r>
      <w:proofErr w:type="gramEnd"/>
      <w:r>
        <w:rPr>
          <w:rFonts w:ascii="宋体" w:eastAsia="宋体" w:hAnsi="宋体" w:cs="宋体" w:hint="eastAsia"/>
          <w:sz w:val="21"/>
          <w:szCs w:val="21"/>
        </w:rPr>
        <w:t>份额发售之日起最长不超过</w:t>
      </w:r>
      <w:r>
        <w:rPr>
          <w:rFonts w:ascii="宋体" w:eastAsia="宋体" w:hAnsi="宋体" w:cs="宋体" w:hint="eastAsia"/>
          <w:sz w:val="21"/>
          <w:szCs w:val="21"/>
        </w:rPr>
        <w:t>60</w:t>
      </w:r>
      <w:r>
        <w:rPr>
          <w:rFonts w:ascii="宋体" w:eastAsia="宋体" w:hAnsi="宋体" w:cs="宋体" w:hint="eastAsia"/>
          <w:sz w:val="21"/>
          <w:szCs w:val="21"/>
        </w:rPr>
        <w:t>天</w:t>
      </w:r>
    </w:p>
    <w:p w14:paraId="639BBE7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21</w:t>
      </w:r>
      <w:r>
        <w:rPr>
          <w:rFonts w:ascii="宋体" w:eastAsia="宋体" w:hAnsi="宋体" w:cs="宋体" w:hint="eastAsia"/>
          <w:sz w:val="21"/>
          <w:szCs w:val="21"/>
        </w:rPr>
        <w:t>、存续期：指本计划成立至终止之间的期限</w:t>
      </w:r>
    </w:p>
    <w:p w14:paraId="68E6D1B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22</w:t>
      </w:r>
      <w:r>
        <w:rPr>
          <w:rFonts w:ascii="宋体" w:eastAsia="宋体" w:hAnsi="宋体" w:cs="宋体" w:hint="eastAsia"/>
          <w:sz w:val="21"/>
          <w:szCs w:val="21"/>
        </w:rPr>
        <w:t>、资产管理计划成立日</w:t>
      </w:r>
      <w:r>
        <w:rPr>
          <w:rFonts w:ascii="宋体" w:eastAsia="宋体" w:hAnsi="宋体" w:cs="宋体" w:hint="eastAsia"/>
          <w:sz w:val="21"/>
          <w:szCs w:val="21"/>
        </w:rPr>
        <w:t xml:space="preserve">: </w:t>
      </w:r>
      <w:r>
        <w:rPr>
          <w:rFonts w:ascii="宋体" w:eastAsia="宋体" w:hAnsi="宋体" w:cs="宋体" w:hint="eastAsia"/>
          <w:sz w:val="21"/>
          <w:szCs w:val="21"/>
        </w:rPr>
        <w:t>指本计划的募集金额缴足之日起十个工作日内，资产管理人应当委托具有证券相关业</w:t>
      </w:r>
      <w:r>
        <w:rPr>
          <w:rFonts w:ascii="宋体" w:eastAsia="宋体" w:hAnsi="宋体" w:cs="宋体" w:hint="eastAsia"/>
          <w:sz w:val="21"/>
          <w:szCs w:val="21"/>
        </w:rPr>
        <w:t>务资格的会计师事务所进行验资并出具验资报告。本计划在取得验资报告后，由资产管理人公告资产管理计划成立之日</w:t>
      </w:r>
    </w:p>
    <w:p w14:paraId="7A0753C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23</w:t>
      </w:r>
      <w:r>
        <w:rPr>
          <w:rFonts w:ascii="宋体" w:eastAsia="宋体" w:hAnsi="宋体" w:cs="宋体" w:hint="eastAsia"/>
          <w:sz w:val="21"/>
          <w:szCs w:val="21"/>
        </w:rPr>
        <w:t>、认购：指在资产管理计划初始募集期间，资产委托人按照本合同的约定购买本计划份额的行为</w:t>
      </w:r>
    </w:p>
    <w:p w14:paraId="0627043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24</w:t>
      </w:r>
      <w:r>
        <w:rPr>
          <w:rFonts w:ascii="宋体" w:eastAsia="宋体" w:hAnsi="宋体" w:cs="宋体" w:hint="eastAsia"/>
          <w:sz w:val="21"/>
          <w:szCs w:val="21"/>
        </w:rPr>
        <w:t>、参与：指在资产管理计划开放日，资产委托人按照本合同的规定参与本计划份额的行为</w:t>
      </w:r>
    </w:p>
    <w:p w14:paraId="21DA827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25</w:t>
      </w:r>
      <w:r>
        <w:rPr>
          <w:rFonts w:ascii="宋体" w:eastAsia="宋体" w:hAnsi="宋体" w:cs="宋体" w:hint="eastAsia"/>
          <w:sz w:val="21"/>
          <w:szCs w:val="21"/>
        </w:rPr>
        <w:t>、退出：指在资产管理计划开放日，资产委托人按照本合同的规定退出本计划份额的行为</w:t>
      </w:r>
    </w:p>
    <w:p w14:paraId="56CC9F3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26</w:t>
      </w:r>
      <w:r>
        <w:rPr>
          <w:rFonts w:ascii="宋体" w:eastAsia="宋体" w:hAnsi="宋体" w:cs="宋体" w:hint="eastAsia"/>
          <w:sz w:val="21"/>
          <w:szCs w:val="21"/>
        </w:rPr>
        <w:t>、违约退出：指资产委托人在非合同约定的退出开放日退出资产管理计划的行为，本计划不接受违约退出</w:t>
      </w:r>
    </w:p>
    <w:p w14:paraId="03050ED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27</w:t>
      </w:r>
      <w:r>
        <w:rPr>
          <w:rFonts w:ascii="宋体" w:eastAsia="宋体" w:hAnsi="宋体" w:cs="宋体" w:hint="eastAsia"/>
          <w:sz w:val="21"/>
          <w:szCs w:val="21"/>
        </w:rPr>
        <w:t>、代理销售机构：指上海基</w:t>
      </w:r>
      <w:proofErr w:type="gramStart"/>
      <w:r>
        <w:rPr>
          <w:rFonts w:ascii="宋体" w:eastAsia="宋体" w:hAnsi="宋体" w:cs="宋体" w:hint="eastAsia"/>
          <w:sz w:val="21"/>
          <w:szCs w:val="21"/>
        </w:rPr>
        <w:t>煜</w:t>
      </w:r>
      <w:proofErr w:type="gramEnd"/>
      <w:r>
        <w:rPr>
          <w:rFonts w:ascii="宋体" w:eastAsia="宋体" w:hAnsi="宋体" w:cs="宋体" w:hint="eastAsia"/>
          <w:sz w:val="21"/>
          <w:szCs w:val="21"/>
        </w:rPr>
        <w:t>基金销售有限公司及其</w:t>
      </w:r>
      <w:r>
        <w:rPr>
          <w:rFonts w:ascii="宋体" w:eastAsia="宋体" w:hAnsi="宋体" w:cs="宋体" w:hint="eastAsia"/>
          <w:sz w:val="21"/>
          <w:szCs w:val="21"/>
        </w:rPr>
        <w:t>他符合中国证监会规定的条件，取得基金销售资格并接受资产管理人委托，代为办理本计划认购、参与、退出等业务的机构</w:t>
      </w:r>
    </w:p>
    <w:p w14:paraId="7416623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28</w:t>
      </w:r>
      <w:r>
        <w:rPr>
          <w:rFonts w:ascii="宋体" w:eastAsia="宋体" w:hAnsi="宋体" w:cs="宋体" w:hint="eastAsia"/>
          <w:sz w:val="21"/>
          <w:szCs w:val="21"/>
        </w:rPr>
        <w:t>、销售机构：指管理人和代理销售机构</w:t>
      </w:r>
    </w:p>
    <w:p w14:paraId="19C275E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29</w:t>
      </w:r>
      <w:r>
        <w:rPr>
          <w:rFonts w:ascii="宋体" w:eastAsia="宋体" w:hAnsi="宋体" w:cs="宋体" w:hint="eastAsia"/>
          <w:sz w:val="21"/>
          <w:szCs w:val="21"/>
        </w:rPr>
        <w:t>、法律法规</w:t>
      </w:r>
      <w:r>
        <w:rPr>
          <w:rFonts w:ascii="宋体" w:eastAsia="宋体" w:hAnsi="宋体" w:cs="宋体" w:hint="eastAsia"/>
          <w:sz w:val="21"/>
          <w:szCs w:val="21"/>
        </w:rPr>
        <w:t xml:space="preserve">: </w:t>
      </w:r>
      <w:r>
        <w:rPr>
          <w:rFonts w:ascii="宋体" w:eastAsia="宋体" w:hAnsi="宋体" w:cs="宋体" w:hint="eastAsia"/>
          <w:sz w:val="21"/>
          <w:szCs w:val="21"/>
        </w:rPr>
        <w:t>指中国现行有效并公布实施的法律、行政法规、部门规章、规范性文件、监管政策、自律规则以及对该等法律法规不时的修订和补充</w:t>
      </w:r>
    </w:p>
    <w:p w14:paraId="5431156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30</w:t>
      </w:r>
      <w:r>
        <w:rPr>
          <w:rFonts w:ascii="宋体" w:eastAsia="宋体" w:hAnsi="宋体" w:cs="宋体" w:hint="eastAsia"/>
          <w:sz w:val="21"/>
          <w:szCs w:val="21"/>
        </w:rPr>
        <w:t>、信义义务：指托管人须恪尽职守、诚实信用和勤勉谨慎履约，依据相关法律法规，在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管理计划合同所约定的范围内履行相应的托管人职责</w:t>
      </w:r>
    </w:p>
    <w:p w14:paraId="7A0FC48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31</w:t>
      </w:r>
      <w:r>
        <w:rPr>
          <w:rFonts w:ascii="宋体" w:eastAsia="宋体" w:hAnsi="宋体" w:cs="宋体" w:hint="eastAsia"/>
          <w:sz w:val="21"/>
          <w:szCs w:val="21"/>
        </w:rPr>
        <w:t>、不可抗力：指不能预见、不能避免并不能克服的客观情况，包括但不限于地震、台风、水灾、火灾、战争、暴乱、流行病、疫情、严重传染病、导致本合同不能履行的政府行为、罢工、停工、停电、通讯失败等，非因资产管理人、资产托管人自身原因导致的技术系统异常事故、导致本合同不能履行的法律法规调整等情形。因交易所、银行、登记结算机构的交易、结算系统出现故障导致的交易、结算无法进行的情形，因电信服务商原因导致资金划付的网络中断、无法使用的情形，亦构成不可抗力事件</w:t>
      </w:r>
    </w:p>
    <w:p w14:paraId="49F31EEC" w14:textId="77777777" w:rsidR="00694F14" w:rsidRDefault="00694F14">
      <w:pPr>
        <w:spacing w:line="360" w:lineRule="auto"/>
        <w:ind w:firstLine="480"/>
        <w:rPr>
          <w:rFonts w:ascii="宋体" w:eastAsia="宋体" w:hAnsi="宋体" w:cs="宋体"/>
          <w:sz w:val="21"/>
          <w:szCs w:val="21"/>
        </w:rPr>
      </w:pPr>
    </w:p>
    <w:p w14:paraId="0EF62046" w14:textId="77777777" w:rsidR="00694F14" w:rsidRDefault="00A463B7">
      <w:pPr>
        <w:pStyle w:val="1"/>
        <w:spacing w:before="0" w:after="0" w:line="360" w:lineRule="auto"/>
        <w:jc w:val="center"/>
        <w:rPr>
          <w:rFonts w:ascii="宋体" w:eastAsia="宋体" w:hAnsi="宋体" w:cs="宋体"/>
          <w:sz w:val="21"/>
          <w:szCs w:val="21"/>
        </w:rPr>
      </w:pPr>
      <w:bookmarkStart w:id="10" w:name="_Toc401668930"/>
      <w:bookmarkStart w:id="11" w:name="_Toc194741906"/>
      <w:bookmarkStart w:id="12" w:name="_Toc70622182"/>
      <w:r>
        <w:rPr>
          <w:rFonts w:ascii="宋体" w:eastAsia="宋体" w:hAnsi="宋体" w:cs="宋体" w:hint="eastAsia"/>
          <w:sz w:val="21"/>
          <w:szCs w:val="21"/>
        </w:rPr>
        <w:lastRenderedPageBreak/>
        <w:t>三、承诺</w:t>
      </w:r>
      <w:bookmarkEnd w:id="10"/>
      <w:bookmarkEnd w:id="11"/>
      <w:r>
        <w:rPr>
          <w:rFonts w:ascii="宋体" w:eastAsia="宋体" w:hAnsi="宋体" w:cs="宋体" w:hint="eastAsia"/>
          <w:sz w:val="21"/>
          <w:szCs w:val="21"/>
        </w:rPr>
        <w:t>与声明</w:t>
      </w:r>
      <w:bookmarkEnd w:id="12"/>
    </w:p>
    <w:p w14:paraId="1340DD6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（一）资产管理人承诺</w:t>
      </w:r>
      <w:r>
        <w:rPr>
          <w:rFonts w:ascii="宋体" w:eastAsia="宋体" w:hAnsi="宋体" w:cs="宋体" w:hint="eastAsia"/>
          <w:sz w:val="21"/>
          <w:szCs w:val="21"/>
        </w:rPr>
        <w:t xml:space="preserve"> </w:t>
      </w:r>
    </w:p>
    <w:p w14:paraId="3A7B305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、在签订本合同前充分向投资者说明了有关法律法规和相关投资工具的运作市场及方式，并充分揭示了相关风险。</w:t>
      </w:r>
      <w:r>
        <w:rPr>
          <w:rFonts w:ascii="宋体" w:eastAsia="宋体" w:hAnsi="宋体" w:cs="宋体" w:hint="eastAsia"/>
          <w:sz w:val="21"/>
          <w:szCs w:val="21"/>
        </w:rPr>
        <w:t xml:space="preserve"> </w:t>
      </w:r>
    </w:p>
    <w:p w14:paraId="22FAEEC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、已经了解投资者的风险偏好、风险认知能力和承受能力，对投资者的财务状况进行了充分评估。</w:t>
      </w:r>
      <w:r>
        <w:rPr>
          <w:rFonts w:ascii="宋体" w:eastAsia="宋体" w:hAnsi="宋体" w:cs="宋体" w:hint="eastAsia"/>
          <w:sz w:val="21"/>
          <w:szCs w:val="21"/>
        </w:rPr>
        <w:t xml:space="preserve"> </w:t>
      </w:r>
    </w:p>
    <w:p w14:paraId="0FA6E1F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、按照《基金法》恪尽职守、诚实信用、谨慎勤勉的原则管理和运用委托财产，不保证委托财产一定盈利，也不保证最低收益或本金不受损失，以及限定投资损失金额或者比例。</w:t>
      </w:r>
    </w:p>
    <w:p w14:paraId="1038B2B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、资产管理人应承担尽职调查等反洗</w:t>
      </w:r>
      <w:proofErr w:type="gramStart"/>
      <w:r>
        <w:rPr>
          <w:rFonts w:ascii="宋体" w:eastAsia="宋体" w:hAnsi="宋体" w:cs="宋体" w:hint="eastAsia"/>
          <w:sz w:val="21"/>
          <w:szCs w:val="21"/>
        </w:rPr>
        <w:t>钱工作</w:t>
      </w:r>
      <w:proofErr w:type="gramEnd"/>
      <w:r>
        <w:rPr>
          <w:rFonts w:ascii="宋体" w:eastAsia="宋体" w:hAnsi="宋体" w:cs="宋体" w:hint="eastAsia"/>
          <w:sz w:val="21"/>
          <w:szCs w:val="21"/>
        </w:rPr>
        <w:t>职责，包括但不限于建立合理有效的反洗</w:t>
      </w:r>
      <w:proofErr w:type="gramStart"/>
      <w:r>
        <w:rPr>
          <w:rFonts w:ascii="宋体" w:eastAsia="宋体" w:hAnsi="宋体" w:cs="宋体" w:hint="eastAsia"/>
          <w:sz w:val="21"/>
          <w:szCs w:val="21"/>
        </w:rPr>
        <w:t>钱控制</w:t>
      </w:r>
      <w:proofErr w:type="gramEnd"/>
      <w:r>
        <w:rPr>
          <w:rFonts w:ascii="宋体" w:eastAsia="宋体" w:hAnsi="宋体" w:cs="宋体" w:hint="eastAsia"/>
          <w:sz w:val="21"/>
          <w:szCs w:val="21"/>
        </w:rPr>
        <w:t>措施，对其自身客户开展反洗钱尽职调查等管控工作，确保所管理的资金来源合法</w:t>
      </w:r>
      <w:r>
        <w:rPr>
          <w:rFonts w:ascii="宋体" w:eastAsia="宋体" w:hAnsi="宋体" w:cs="宋体" w:hint="eastAsia"/>
          <w:sz w:val="21"/>
          <w:szCs w:val="21"/>
        </w:rPr>
        <w:t>，资金管理及投资使用不涉及恐怖融资或其他违法犯罪活动，不涉及被联合国、美国、欧盟、英国、中国有权机关等制裁规则制裁的人员或行为等。资产管理人应建立健全客户尽职调查等反洗</w:t>
      </w:r>
      <w:proofErr w:type="gramStart"/>
      <w:r>
        <w:rPr>
          <w:rFonts w:ascii="宋体" w:eastAsia="宋体" w:hAnsi="宋体" w:cs="宋体" w:hint="eastAsia"/>
          <w:sz w:val="21"/>
          <w:szCs w:val="21"/>
        </w:rPr>
        <w:t>钱内部</w:t>
      </w:r>
      <w:proofErr w:type="gramEnd"/>
      <w:r>
        <w:rPr>
          <w:rFonts w:ascii="宋体" w:eastAsia="宋体" w:hAnsi="宋体" w:cs="宋体" w:hint="eastAsia"/>
          <w:sz w:val="21"/>
          <w:szCs w:val="21"/>
        </w:rPr>
        <w:t>控制机制，在必要情形下与资产托管人共享本业务项下客户尽职调查及其他相关情况。</w:t>
      </w:r>
    </w:p>
    <w:p w14:paraId="6A2D612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（二）资产托管人承诺</w:t>
      </w:r>
    </w:p>
    <w:p w14:paraId="69F548B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、按照《基金法》恪尽职守、诚实信用、谨慎勤勉的原则安全保管委托财产，履行信义义务以及本合同约定的其他义务。</w:t>
      </w:r>
    </w:p>
    <w:p w14:paraId="01F2B69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、根据法律法规、中国证监会及证券投资基金业协会的规定和资产管理合同的约定，对管理人的投资或清算指令等进行监督。</w:t>
      </w:r>
    </w:p>
    <w:p w14:paraId="5753CE9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、在资产管理</w:t>
      </w:r>
      <w:r>
        <w:rPr>
          <w:rFonts w:ascii="宋体" w:eastAsia="宋体" w:hAnsi="宋体" w:cs="宋体" w:hint="eastAsia"/>
          <w:sz w:val="21"/>
          <w:szCs w:val="21"/>
        </w:rPr>
        <w:t>人发生异常且无法履行管理职能时，依照法律法规的规定、本合同的约定以及中国证监会、基金业协会的要求履行相关资产托管人职责，维护投资者权益。资产管理人发生异常且无法履行管理职能的情况包括资产管理人被依法撤销资产管理业务资格或者依法解散、宣告破产。</w:t>
      </w:r>
    </w:p>
    <w:p w14:paraId="4528795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（三）资产委托人声明</w:t>
      </w:r>
    </w:p>
    <w:p w14:paraId="3CC4590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委托财产为其拥有合法所有权或处分权的资产，保证委托财产的来源及用途符合国家有关规定，保证其参与投资</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管理计划符合法律法规的规定及业务决策程序的要求，保证有完全及合法的授权委托资产管理人和资产托管人进行委托财产的投资管理和托管业务，保证没有任何</w:t>
      </w:r>
      <w:r>
        <w:rPr>
          <w:rFonts w:ascii="宋体" w:eastAsia="宋体" w:hAnsi="宋体" w:cs="宋体" w:hint="eastAsia"/>
          <w:sz w:val="21"/>
          <w:szCs w:val="21"/>
        </w:rPr>
        <w:t>其他限制性条件妨碍资产管理人和资产托管人对该委托财产行使相关权利且该权利不会为任何</w:t>
      </w:r>
      <w:proofErr w:type="gramStart"/>
      <w:r>
        <w:rPr>
          <w:rFonts w:ascii="宋体" w:eastAsia="宋体" w:hAnsi="宋体" w:cs="宋体" w:hint="eastAsia"/>
          <w:sz w:val="21"/>
          <w:szCs w:val="21"/>
        </w:rPr>
        <w:t>其他第三</w:t>
      </w:r>
      <w:proofErr w:type="gramEnd"/>
      <w:r>
        <w:rPr>
          <w:rFonts w:ascii="宋体" w:eastAsia="宋体" w:hAnsi="宋体" w:cs="宋体" w:hint="eastAsia"/>
          <w:sz w:val="21"/>
          <w:szCs w:val="21"/>
        </w:rPr>
        <w:t>方所质疑。</w:t>
      </w:r>
    </w:p>
    <w:p w14:paraId="5398012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资产委托人声明已充分理解本合同条款，了解相关权利、义务，了解有关法律法规及所投资资产管理计划的风险收益特征，知晓管理人、托管人及相关机构不应对资产管理计划的收益状况或本金不受损失</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任何承诺，了解“卖者尽责，买者自负”的原则，投资于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管理计划将自行承担投资风险。资产委</w:t>
      </w:r>
      <w:r>
        <w:rPr>
          <w:rFonts w:ascii="宋体" w:eastAsia="宋体" w:hAnsi="宋体" w:cs="宋体" w:hint="eastAsia"/>
          <w:sz w:val="21"/>
          <w:szCs w:val="21"/>
        </w:rPr>
        <w:lastRenderedPageBreak/>
        <w:t>托人承认，资产管理人、资产托管人未对委托财产的收益状况及本金安全</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任何承诺或担保。</w:t>
      </w:r>
    </w:p>
    <w:p w14:paraId="097174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资产委托人承诺其向资产管理人提供的（若通过代理销售机</w:t>
      </w:r>
      <w:r>
        <w:rPr>
          <w:rFonts w:ascii="宋体" w:eastAsia="宋体" w:hAnsi="宋体" w:cs="宋体" w:hint="eastAsia"/>
          <w:sz w:val="21"/>
          <w:szCs w:val="21"/>
        </w:rPr>
        <w:t>构认购、参与本计划的，则向代理销售机构提供）有关投资目的、投资偏好、投资限制、财产收入情况和风险承受能力等基本情况真实、完整、准确、合法，不存在任何虚假陈述、重大遗漏或误导。前述信息资料如发生任何实质性变更，应当及时书面告知资产管理人或代理销售机构。</w:t>
      </w:r>
    </w:p>
    <w:p w14:paraId="609921C6" w14:textId="77777777" w:rsidR="00694F14" w:rsidRDefault="00A463B7">
      <w:pPr>
        <w:spacing w:line="360" w:lineRule="auto"/>
        <w:ind w:firstLine="541"/>
        <w:rPr>
          <w:rFonts w:ascii="宋体" w:eastAsia="宋体" w:hAnsi="宋体" w:cs="宋体"/>
          <w:b/>
          <w:sz w:val="21"/>
          <w:szCs w:val="21"/>
        </w:rPr>
      </w:pPr>
      <w:r>
        <w:rPr>
          <w:rFonts w:ascii="宋体" w:eastAsia="宋体" w:hAnsi="宋体" w:cs="宋体" w:hint="eastAsia"/>
          <w:b/>
          <w:sz w:val="21"/>
          <w:szCs w:val="21"/>
        </w:rPr>
        <w:t>资产委托人承诺及保证：符合法律法规、监管机构及自律组织对于本计划投资者的各项要求，包括但不限于：</w:t>
      </w:r>
    </w:p>
    <w:p w14:paraId="6DB186F6"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1</w:t>
      </w:r>
      <w:r>
        <w:rPr>
          <w:rFonts w:ascii="宋体" w:eastAsia="宋体" w:hAnsi="宋体" w:cs="宋体" w:hint="eastAsia"/>
          <w:b/>
          <w:sz w:val="21"/>
          <w:szCs w:val="21"/>
        </w:rPr>
        <w:t>、资产委托人具备相应风险识别能力和风险承担能力，为符合要求的合格投资者：</w:t>
      </w:r>
      <w:r>
        <w:rPr>
          <w:rFonts w:ascii="宋体" w:eastAsia="宋体" w:hAnsi="宋体" w:cs="宋体" w:hint="eastAsia"/>
          <w:b/>
          <w:sz w:val="21"/>
          <w:szCs w:val="21"/>
        </w:rPr>
        <w:t>1</w:t>
      </w:r>
      <w:r>
        <w:rPr>
          <w:rFonts w:ascii="宋体" w:eastAsia="宋体" w:hAnsi="宋体" w:cs="宋体" w:hint="eastAsia"/>
          <w:b/>
          <w:sz w:val="21"/>
          <w:szCs w:val="21"/>
        </w:rPr>
        <w:t>）具有</w:t>
      </w:r>
      <w:r>
        <w:rPr>
          <w:rFonts w:ascii="宋体" w:eastAsia="宋体" w:hAnsi="宋体" w:cs="宋体" w:hint="eastAsia"/>
          <w:b/>
          <w:sz w:val="21"/>
          <w:szCs w:val="21"/>
        </w:rPr>
        <w:t xml:space="preserve">2 </w:t>
      </w:r>
      <w:r>
        <w:rPr>
          <w:rFonts w:ascii="宋体" w:eastAsia="宋体" w:hAnsi="宋体" w:cs="宋体" w:hint="eastAsia"/>
          <w:b/>
          <w:sz w:val="21"/>
          <w:szCs w:val="21"/>
        </w:rPr>
        <w:t>年以上投资经历，且满足下列三项条件之一的自然人：家庭金融净资产不低于</w:t>
      </w:r>
      <w:r>
        <w:rPr>
          <w:rFonts w:ascii="宋体" w:eastAsia="宋体" w:hAnsi="宋体" w:cs="宋体" w:hint="eastAsia"/>
          <w:b/>
          <w:sz w:val="21"/>
          <w:szCs w:val="21"/>
        </w:rPr>
        <w:t xml:space="preserve">300 </w:t>
      </w:r>
      <w:r>
        <w:rPr>
          <w:rFonts w:ascii="宋体" w:eastAsia="宋体" w:hAnsi="宋体" w:cs="宋体" w:hint="eastAsia"/>
          <w:b/>
          <w:sz w:val="21"/>
          <w:szCs w:val="21"/>
        </w:rPr>
        <w:t>万元，家庭金融资产不低于</w:t>
      </w:r>
      <w:r>
        <w:rPr>
          <w:rFonts w:ascii="宋体" w:eastAsia="宋体" w:hAnsi="宋体" w:cs="宋体" w:hint="eastAsia"/>
          <w:b/>
          <w:sz w:val="21"/>
          <w:szCs w:val="21"/>
        </w:rPr>
        <w:t xml:space="preserve">500 </w:t>
      </w:r>
      <w:r>
        <w:rPr>
          <w:rFonts w:ascii="宋体" w:eastAsia="宋体" w:hAnsi="宋体" w:cs="宋体" w:hint="eastAsia"/>
          <w:b/>
          <w:sz w:val="21"/>
          <w:szCs w:val="21"/>
        </w:rPr>
        <w:t>万元，或者近</w:t>
      </w:r>
      <w:r>
        <w:rPr>
          <w:rFonts w:ascii="宋体" w:eastAsia="宋体" w:hAnsi="宋体" w:cs="宋体" w:hint="eastAsia"/>
          <w:b/>
          <w:sz w:val="21"/>
          <w:szCs w:val="21"/>
        </w:rPr>
        <w:t xml:space="preserve">3 </w:t>
      </w:r>
      <w:r>
        <w:rPr>
          <w:rFonts w:ascii="宋体" w:eastAsia="宋体" w:hAnsi="宋体" w:cs="宋体" w:hint="eastAsia"/>
          <w:b/>
          <w:sz w:val="21"/>
          <w:szCs w:val="21"/>
        </w:rPr>
        <w:t>年本人年均收入不低于</w:t>
      </w:r>
      <w:r>
        <w:rPr>
          <w:rFonts w:ascii="宋体" w:eastAsia="宋体" w:hAnsi="宋体" w:cs="宋体" w:hint="eastAsia"/>
          <w:b/>
          <w:sz w:val="21"/>
          <w:szCs w:val="21"/>
        </w:rPr>
        <w:t xml:space="preserve">40 </w:t>
      </w:r>
      <w:r>
        <w:rPr>
          <w:rFonts w:ascii="宋体" w:eastAsia="宋体" w:hAnsi="宋体" w:cs="宋体" w:hint="eastAsia"/>
          <w:b/>
          <w:sz w:val="21"/>
          <w:szCs w:val="21"/>
        </w:rPr>
        <w:t>万元；</w:t>
      </w:r>
      <w:r>
        <w:rPr>
          <w:rFonts w:ascii="宋体" w:eastAsia="宋体" w:hAnsi="宋体" w:cs="宋体" w:hint="eastAsia"/>
          <w:b/>
          <w:sz w:val="21"/>
          <w:szCs w:val="21"/>
        </w:rPr>
        <w:t>2</w:t>
      </w:r>
      <w:r>
        <w:rPr>
          <w:rFonts w:ascii="宋体" w:eastAsia="宋体" w:hAnsi="宋体" w:cs="宋体" w:hint="eastAsia"/>
          <w:b/>
          <w:sz w:val="21"/>
          <w:szCs w:val="21"/>
        </w:rPr>
        <w:t>）最近</w:t>
      </w:r>
      <w:r>
        <w:rPr>
          <w:rFonts w:ascii="宋体" w:eastAsia="宋体" w:hAnsi="宋体" w:cs="宋体" w:hint="eastAsia"/>
          <w:b/>
          <w:sz w:val="21"/>
          <w:szCs w:val="21"/>
        </w:rPr>
        <w:t xml:space="preserve">1 </w:t>
      </w:r>
      <w:r>
        <w:rPr>
          <w:rFonts w:ascii="宋体" w:eastAsia="宋体" w:hAnsi="宋体" w:cs="宋体" w:hint="eastAsia"/>
          <w:b/>
          <w:sz w:val="21"/>
          <w:szCs w:val="21"/>
        </w:rPr>
        <w:t>年末净资产不低于</w:t>
      </w:r>
      <w:r>
        <w:rPr>
          <w:rFonts w:ascii="宋体" w:eastAsia="宋体" w:hAnsi="宋体" w:cs="宋体" w:hint="eastAsia"/>
          <w:b/>
          <w:sz w:val="21"/>
          <w:szCs w:val="21"/>
        </w:rPr>
        <w:t xml:space="preserve">1000 </w:t>
      </w:r>
      <w:r>
        <w:rPr>
          <w:rFonts w:ascii="宋体" w:eastAsia="宋体" w:hAnsi="宋体" w:cs="宋体" w:hint="eastAsia"/>
          <w:b/>
          <w:sz w:val="21"/>
          <w:szCs w:val="21"/>
        </w:rPr>
        <w:t>万元的法人单位；</w:t>
      </w:r>
      <w:r>
        <w:rPr>
          <w:rFonts w:ascii="宋体" w:eastAsia="宋体" w:hAnsi="宋体" w:cs="宋体" w:hint="eastAsia"/>
          <w:b/>
          <w:sz w:val="21"/>
          <w:szCs w:val="21"/>
        </w:rPr>
        <w:t>3</w:t>
      </w:r>
      <w:r>
        <w:rPr>
          <w:rFonts w:ascii="宋体" w:eastAsia="宋体" w:hAnsi="宋体" w:cs="宋体" w:hint="eastAsia"/>
          <w:b/>
          <w:sz w:val="21"/>
          <w:szCs w:val="21"/>
        </w:rPr>
        <w:t>）依法设立并接受国务院金融监督管理机构监管的机构，包括证券公司及其子公司、基金管理公司及其子公司、期货公司及其子公司、在基金业协会登记的私募基金管理人、商业银行、金融资产投资公司、信托公司、保险公司、保险资产管理机构、财务公司及中国证监会认定的其他机构；</w:t>
      </w:r>
      <w:r>
        <w:rPr>
          <w:rFonts w:ascii="宋体" w:eastAsia="宋体" w:hAnsi="宋体" w:cs="宋体" w:hint="eastAsia"/>
          <w:b/>
          <w:sz w:val="21"/>
          <w:szCs w:val="21"/>
        </w:rPr>
        <w:t>4</w:t>
      </w:r>
      <w:r>
        <w:rPr>
          <w:rFonts w:ascii="宋体" w:eastAsia="宋体" w:hAnsi="宋体" w:cs="宋体" w:hint="eastAsia"/>
          <w:b/>
          <w:sz w:val="21"/>
          <w:szCs w:val="21"/>
        </w:rPr>
        <w:t>）接受国务院金融监督管理机构监管的机构发行的资产管理产品；</w:t>
      </w:r>
      <w:r>
        <w:rPr>
          <w:rFonts w:ascii="宋体" w:eastAsia="宋体" w:hAnsi="宋体" w:cs="宋体" w:hint="eastAsia"/>
          <w:b/>
          <w:sz w:val="21"/>
          <w:szCs w:val="21"/>
        </w:rPr>
        <w:t>5</w:t>
      </w:r>
      <w:r>
        <w:rPr>
          <w:rFonts w:ascii="宋体" w:eastAsia="宋体" w:hAnsi="宋体" w:cs="宋体" w:hint="eastAsia"/>
          <w:b/>
          <w:sz w:val="21"/>
          <w:szCs w:val="21"/>
        </w:rPr>
        <w:t>）基本养老金、社会保障基金、企业年金等养老基金，慈善基金等社</w:t>
      </w:r>
      <w:r>
        <w:rPr>
          <w:rFonts w:ascii="宋体" w:eastAsia="宋体" w:hAnsi="宋体" w:cs="宋体" w:hint="eastAsia"/>
          <w:b/>
          <w:sz w:val="21"/>
          <w:szCs w:val="21"/>
        </w:rPr>
        <w:t>会公益基金，合格境外机构投资者（</w:t>
      </w:r>
      <w:r>
        <w:rPr>
          <w:rFonts w:ascii="宋体" w:eastAsia="宋体" w:hAnsi="宋体" w:cs="宋体" w:hint="eastAsia"/>
          <w:b/>
          <w:sz w:val="21"/>
          <w:szCs w:val="21"/>
        </w:rPr>
        <w:t>QFII</w:t>
      </w:r>
      <w:r>
        <w:rPr>
          <w:rFonts w:ascii="宋体" w:eastAsia="宋体" w:hAnsi="宋体" w:cs="宋体" w:hint="eastAsia"/>
          <w:b/>
          <w:sz w:val="21"/>
          <w:szCs w:val="21"/>
        </w:rPr>
        <w:t>）、人民币合格境外机构投资者（</w:t>
      </w:r>
      <w:r>
        <w:rPr>
          <w:rFonts w:ascii="宋体" w:eastAsia="宋体" w:hAnsi="宋体" w:cs="宋体" w:hint="eastAsia"/>
          <w:b/>
          <w:sz w:val="21"/>
          <w:szCs w:val="21"/>
        </w:rPr>
        <w:t>RQFII</w:t>
      </w:r>
      <w:r>
        <w:rPr>
          <w:rFonts w:ascii="宋体" w:eastAsia="宋体" w:hAnsi="宋体" w:cs="宋体" w:hint="eastAsia"/>
          <w:b/>
          <w:sz w:val="21"/>
          <w:szCs w:val="21"/>
        </w:rPr>
        <w:t>）；</w:t>
      </w:r>
      <w:r>
        <w:rPr>
          <w:rFonts w:ascii="宋体" w:eastAsia="宋体" w:hAnsi="宋体" w:cs="宋体" w:hint="eastAsia"/>
          <w:b/>
          <w:sz w:val="21"/>
          <w:szCs w:val="21"/>
        </w:rPr>
        <w:t>6</w:t>
      </w:r>
      <w:r>
        <w:rPr>
          <w:rFonts w:ascii="宋体" w:eastAsia="宋体" w:hAnsi="宋体" w:cs="宋体" w:hint="eastAsia"/>
          <w:b/>
          <w:sz w:val="21"/>
          <w:szCs w:val="21"/>
        </w:rPr>
        <w:t>）中国证监会视为合格投资者的其他情形。</w:t>
      </w:r>
    </w:p>
    <w:p w14:paraId="4E9389FF" w14:textId="77777777" w:rsidR="00694F14" w:rsidRDefault="00A463B7">
      <w:pPr>
        <w:spacing w:line="360" w:lineRule="auto"/>
        <w:ind w:firstLine="541"/>
        <w:rPr>
          <w:rFonts w:ascii="宋体" w:eastAsia="宋体" w:hAnsi="宋体" w:cs="宋体"/>
          <w:b/>
          <w:sz w:val="21"/>
          <w:szCs w:val="21"/>
        </w:rPr>
      </w:pPr>
      <w:r>
        <w:rPr>
          <w:rFonts w:ascii="宋体" w:eastAsia="宋体" w:hAnsi="宋体" w:cs="宋体" w:hint="eastAsia"/>
          <w:b/>
          <w:sz w:val="21"/>
          <w:szCs w:val="21"/>
        </w:rPr>
        <w:t>2</w:t>
      </w:r>
      <w:r>
        <w:rPr>
          <w:rFonts w:ascii="宋体" w:eastAsia="宋体" w:hAnsi="宋体" w:cs="宋体" w:hint="eastAsia"/>
          <w:b/>
          <w:sz w:val="21"/>
          <w:szCs w:val="21"/>
        </w:rPr>
        <w:t>、资产委托人的资金来源合法合</w:t>
      </w:r>
      <w:proofErr w:type="gramStart"/>
      <w:r>
        <w:rPr>
          <w:rFonts w:ascii="宋体" w:eastAsia="宋体" w:hAnsi="宋体" w:cs="宋体" w:hint="eastAsia"/>
          <w:b/>
          <w:sz w:val="21"/>
          <w:szCs w:val="21"/>
        </w:rPr>
        <w:t>规</w:t>
      </w:r>
      <w:proofErr w:type="gramEnd"/>
      <w:r>
        <w:rPr>
          <w:rFonts w:ascii="宋体" w:eastAsia="宋体" w:hAnsi="宋体" w:cs="宋体" w:hint="eastAsia"/>
          <w:b/>
          <w:sz w:val="21"/>
          <w:szCs w:val="21"/>
        </w:rPr>
        <w:t>，不存在使用贷款、发行债券等筹集的非自有资金（合法募集的理财资金除外）投资</w:t>
      </w:r>
      <w:proofErr w:type="gramStart"/>
      <w:r>
        <w:rPr>
          <w:rFonts w:ascii="宋体" w:eastAsia="宋体" w:hAnsi="宋体" w:cs="宋体" w:hint="eastAsia"/>
          <w:b/>
          <w:sz w:val="21"/>
          <w:szCs w:val="21"/>
        </w:rPr>
        <w:t>本资产</w:t>
      </w:r>
      <w:proofErr w:type="gramEnd"/>
      <w:r>
        <w:rPr>
          <w:rFonts w:ascii="宋体" w:eastAsia="宋体" w:hAnsi="宋体" w:cs="宋体" w:hint="eastAsia"/>
          <w:b/>
          <w:sz w:val="21"/>
          <w:szCs w:val="21"/>
        </w:rPr>
        <w:t>管理计划的情形。</w:t>
      </w:r>
      <w:r>
        <w:rPr>
          <w:rFonts w:ascii="宋体" w:eastAsia="宋体" w:hAnsi="宋体" w:cs="宋体" w:hint="eastAsia"/>
          <w:b/>
          <w:sz w:val="21"/>
          <w:szCs w:val="21"/>
        </w:rPr>
        <w:t xml:space="preserve"> </w:t>
      </w:r>
    </w:p>
    <w:p w14:paraId="0D21D494"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3</w:t>
      </w:r>
      <w:r>
        <w:rPr>
          <w:rFonts w:ascii="宋体" w:eastAsia="宋体" w:hAnsi="宋体" w:cs="宋体" w:hint="eastAsia"/>
          <w:b/>
          <w:sz w:val="21"/>
          <w:szCs w:val="21"/>
        </w:rPr>
        <w:t>、资产委托人承诺投资本计划向上穿透后不存在违反监管要求的产品嵌套，以及以投资本计划规避投资范围、杠杆约束等监管要求等违法违规行为。</w:t>
      </w:r>
    </w:p>
    <w:p w14:paraId="65E4FC8B" w14:textId="77777777" w:rsidR="00694F14" w:rsidRDefault="00694F14">
      <w:pPr>
        <w:spacing w:line="360" w:lineRule="auto"/>
        <w:ind w:firstLine="480"/>
        <w:rPr>
          <w:rFonts w:ascii="宋体" w:eastAsia="宋体" w:hAnsi="宋体" w:cs="宋体"/>
          <w:b/>
          <w:sz w:val="21"/>
          <w:szCs w:val="21"/>
        </w:rPr>
      </w:pPr>
    </w:p>
    <w:p w14:paraId="1CB944FA" w14:textId="77777777" w:rsidR="00694F14" w:rsidRDefault="00A463B7">
      <w:pPr>
        <w:pStyle w:val="1"/>
        <w:spacing w:before="0" w:after="0" w:line="360" w:lineRule="auto"/>
        <w:jc w:val="center"/>
        <w:rPr>
          <w:rFonts w:ascii="宋体" w:eastAsia="宋体" w:hAnsi="宋体" w:cs="宋体"/>
          <w:sz w:val="21"/>
          <w:szCs w:val="21"/>
        </w:rPr>
      </w:pPr>
      <w:bookmarkStart w:id="13" w:name="_Toc401668935"/>
      <w:bookmarkStart w:id="14" w:name="_Toc70622183"/>
      <w:r>
        <w:rPr>
          <w:rFonts w:ascii="宋体" w:eastAsia="宋体" w:hAnsi="宋体" w:cs="宋体" w:hint="eastAsia"/>
          <w:sz w:val="21"/>
          <w:szCs w:val="21"/>
        </w:rPr>
        <w:t>四、当事人及权利义务</w:t>
      </w:r>
      <w:bookmarkEnd w:id="13"/>
      <w:bookmarkEnd w:id="14"/>
    </w:p>
    <w:p w14:paraId="0A97F4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（一）资产委托人</w:t>
      </w:r>
    </w:p>
    <w:p w14:paraId="028D94E0" w14:textId="77777777" w:rsidR="00694F14" w:rsidRDefault="00A463B7">
      <w:pPr>
        <w:pStyle w:val="afd"/>
        <w:rPr>
          <w:rFonts w:eastAsia="宋体" w:hAnsi="宋体" w:cs="宋体"/>
          <w:sz w:val="21"/>
          <w:szCs w:val="21"/>
        </w:rPr>
      </w:pPr>
      <w:r>
        <w:rPr>
          <w:rFonts w:eastAsia="宋体" w:hAnsi="宋体" w:cs="宋体" w:hint="eastAsia"/>
          <w:sz w:val="21"/>
          <w:szCs w:val="21"/>
        </w:rPr>
        <w:t>1</w:t>
      </w:r>
      <w:r>
        <w:rPr>
          <w:rFonts w:eastAsia="宋体" w:hAnsi="宋体" w:cs="宋体" w:hint="eastAsia"/>
          <w:sz w:val="21"/>
          <w:szCs w:val="21"/>
        </w:rPr>
        <w:t>、资产委托人基本情况</w:t>
      </w:r>
    </w:p>
    <w:p w14:paraId="0C950C13" w14:textId="77777777" w:rsidR="00694F14" w:rsidRDefault="00A463B7">
      <w:pPr>
        <w:pStyle w:val="afd"/>
        <w:rPr>
          <w:rFonts w:eastAsia="宋体" w:hAnsi="宋体" w:cs="宋体"/>
          <w:sz w:val="21"/>
          <w:szCs w:val="21"/>
        </w:rPr>
      </w:pPr>
      <w:r>
        <w:rPr>
          <w:rFonts w:eastAsia="宋体" w:hAnsi="宋体" w:cs="宋体" w:hint="eastAsia"/>
          <w:sz w:val="21"/>
          <w:szCs w:val="21"/>
        </w:rPr>
        <w:t>签署本合同且合同正式生效的投资者即为本合同的资产委托人</w:t>
      </w:r>
      <w:r>
        <w:rPr>
          <w:rFonts w:eastAsia="宋体" w:hAnsi="宋体" w:cs="宋体" w:hint="eastAsia"/>
          <w:sz w:val="21"/>
          <w:szCs w:val="21"/>
        </w:rPr>
        <w:t>。资产委托人的详细情况在合同签署页列示。</w:t>
      </w:r>
    </w:p>
    <w:p w14:paraId="4CFCFF4F" w14:textId="77777777" w:rsidR="00694F14" w:rsidRDefault="00A463B7">
      <w:pPr>
        <w:pStyle w:val="afd"/>
        <w:rPr>
          <w:rFonts w:eastAsia="宋体" w:hAnsi="宋体" w:cs="宋体"/>
          <w:sz w:val="21"/>
          <w:szCs w:val="21"/>
        </w:rPr>
      </w:pPr>
      <w:r>
        <w:rPr>
          <w:rFonts w:eastAsia="宋体" w:hAnsi="宋体" w:cs="宋体" w:hint="eastAsia"/>
          <w:sz w:val="21"/>
          <w:szCs w:val="21"/>
        </w:rPr>
        <w:t>2</w:t>
      </w:r>
      <w:r>
        <w:rPr>
          <w:rFonts w:eastAsia="宋体" w:hAnsi="宋体" w:cs="宋体" w:hint="eastAsia"/>
          <w:sz w:val="21"/>
          <w:szCs w:val="21"/>
        </w:rPr>
        <w:t>、资产委托人的权利</w:t>
      </w:r>
    </w:p>
    <w:p w14:paraId="20DB5255"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1</w:t>
      </w:r>
      <w:r>
        <w:rPr>
          <w:rFonts w:eastAsia="宋体" w:hAnsi="宋体" w:cs="宋体" w:hint="eastAsia"/>
          <w:sz w:val="21"/>
          <w:szCs w:val="21"/>
        </w:rPr>
        <w:t>）分享资产管理计划财产收益；</w:t>
      </w:r>
    </w:p>
    <w:p w14:paraId="18F24CDD"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lastRenderedPageBreak/>
        <w:t>（</w:t>
      </w:r>
      <w:r>
        <w:rPr>
          <w:rFonts w:eastAsia="宋体" w:hAnsi="宋体" w:cs="宋体" w:hint="eastAsia"/>
          <w:sz w:val="21"/>
          <w:szCs w:val="21"/>
        </w:rPr>
        <w:t>2</w:t>
      </w:r>
      <w:r>
        <w:rPr>
          <w:rFonts w:eastAsia="宋体" w:hAnsi="宋体" w:cs="宋体" w:hint="eastAsia"/>
          <w:sz w:val="21"/>
          <w:szCs w:val="21"/>
        </w:rPr>
        <w:t>）取得分配清算后的剩余资产管理计划财产；</w:t>
      </w:r>
    </w:p>
    <w:p w14:paraId="227B86CA"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3</w:t>
      </w:r>
      <w:r>
        <w:rPr>
          <w:rFonts w:eastAsia="宋体" w:hAnsi="宋体" w:cs="宋体" w:hint="eastAsia"/>
          <w:sz w:val="21"/>
          <w:szCs w:val="21"/>
        </w:rPr>
        <w:t>）按照本合同的约定参与、退出和转让资产管理计划份额；</w:t>
      </w:r>
    </w:p>
    <w:p w14:paraId="77EEB850"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4</w:t>
      </w:r>
      <w:r>
        <w:rPr>
          <w:rFonts w:eastAsia="宋体" w:hAnsi="宋体" w:cs="宋体" w:hint="eastAsia"/>
          <w:sz w:val="21"/>
          <w:szCs w:val="21"/>
        </w:rPr>
        <w:t>）按照法律法规及本合同约定的时间和方式获得资产管理计划的信息披露资料；</w:t>
      </w:r>
    </w:p>
    <w:p w14:paraId="1C21D977"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5</w:t>
      </w:r>
      <w:r>
        <w:rPr>
          <w:rFonts w:eastAsia="宋体" w:hAnsi="宋体" w:cs="宋体" w:hint="eastAsia"/>
          <w:sz w:val="21"/>
          <w:szCs w:val="21"/>
        </w:rPr>
        <w:t>）监督资产管理人及资产托管人履行投资管理和托管义务的情况；</w:t>
      </w:r>
      <w:r>
        <w:rPr>
          <w:rFonts w:eastAsia="宋体" w:hAnsi="宋体" w:cs="宋体" w:hint="eastAsia"/>
          <w:sz w:val="21"/>
          <w:szCs w:val="21"/>
        </w:rPr>
        <w:t xml:space="preserve"> </w:t>
      </w:r>
    </w:p>
    <w:p w14:paraId="59A05C35"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6</w:t>
      </w:r>
      <w:r>
        <w:rPr>
          <w:rFonts w:eastAsia="宋体" w:hAnsi="宋体" w:cs="宋体" w:hint="eastAsia"/>
          <w:sz w:val="21"/>
          <w:szCs w:val="21"/>
        </w:rPr>
        <w:t>）要求管理人配合资产委托人的底层资产穿透管理；</w:t>
      </w:r>
    </w:p>
    <w:p w14:paraId="77FE3D02"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7</w:t>
      </w:r>
      <w:r>
        <w:rPr>
          <w:rFonts w:eastAsia="宋体" w:hAnsi="宋体" w:cs="宋体" w:hint="eastAsia"/>
          <w:sz w:val="21"/>
          <w:szCs w:val="21"/>
        </w:rPr>
        <w:t>）资产管理计划设定为均等份额。除本合同另有约定外，每份份额具有同等的合法权益；</w:t>
      </w:r>
      <w:r>
        <w:rPr>
          <w:rFonts w:eastAsia="宋体" w:hAnsi="宋体" w:cs="宋体" w:hint="eastAsia"/>
          <w:sz w:val="21"/>
          <w:szCs w:val="21"/>
        </w:rPr>
        <w:t xml:space="preserve"> </w:t>
      </w:r>
    </w:p>
    <w:p w14:paraId="6F777B2C"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8</w:t>
      </w:r>
      <w:r>
        <w:rPr>
          <w:rFonts w:eastAsia="宋体" w:hAnsi="宋体" w:cs="宋体" w:hint="eastAsia"/>
          <w:sz w:val="21"/>
          <w:szCs w:val="21"/>
        </w:rPr>
        <w:t>）法律法规、中国证监会及基金业协会规定的及本合同约定的其他权利。</w:t>
      </w:r>
      <w:r>
        <w:rPr>
          <w:rFonts w:eastAsia="宋体" w:hAnsi="宋体" w:cs="宋体" w:hint="eastAsia"/>
          <w:sz w:val="21"/>
          <w:szCs w:val="21"/>
        </w:rPr>
        <w:t xml:space="preserve">   </w:t>
      </w:r>
    </w:p>
    <w:p w14:paraId="55BD3427" w14:textId="77777777" w:rsidR="00694F14" w:rsidRDefault="00A463B7">
      <w:pPr>
        <w:pStyle w:val="afd"/>
        <w:rPr>
          <w:rFonts w:eastAsia="宋体" w:hAnsi="宋体" w:cs="宋体"/>
          <w:sz w:val="21"/>
          <w:szCs w:val="21"/>
        </w:rPr>
      </w:pPr>
      <w:r>
        <w:rPr>
          <w:rFonts w:eastAsia="宋体" w:hAnsi="宋体" w:cs="宋体" w:hint="eastAsia"/>
          <w:sz w:val="21"/>
          <w:szCs w:val="21"/>
        </w:rPr>
        <w:t>3</w:t>
      </w:r>
      <w:r>
        <w:rPr>
          <w:rFonts w:eastAsia="宋体" w:hAnsi="宋体" w:cs="宋体" w:hint="eastAsia"/>
          <w:sz w:val="21"/>
          <w:szCs w:val="21"/>
        </w:rPr>
        <w:t>、资产委托人的义务</w:t>
      </w:r>
    </w:p>
    <w:p w14:paraId="5686AF08"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1</w:t>
      </w:r>
      <w:r>
        <w:rPr>
          <w:rFonts w:eastAsia="宋体" w:hAnsi="宋体" w:cs="宋体" w:hint="eastAsia"/>
          <w:sz w:val="21"/>
          <w:szCs w:val="21"/>
        </w:rPr>
        <w:t>）认真阅读并遵守本合同，保证投资资金的来源及用途合法；</w:t>
      </w:r>
    </w:p>
    <w:p w14:paraId="07F5B135"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2</w:t>
      </w:r>
      <w:r>
        <w:rPr>
          <w:rFonts w:eastAsia="宋体" w:hAnsi="宋体" w:cs="宋体" w:hint="eastAsia"/>
          <w:sz w:val="21"/>
          <w:szCs w:val="21"/>
        </w:rPr>
        <w:t>）接受合格投资者认定程序，如实填写风险识别能力和风险承担能力问卷，如实提供资金来源、金融资产、收入及负债情况（如适用），并对其真实性、准确性和完整性负责，签署合格投资者相关文件；</w:t>
      </w:r>
    </w:p>
    <w:p w14:paraId="779BF5EC"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3</w:t>
      </w:r>
      <w:r>
        <w:rPr>
          <w:rFonts w:eastAsia="宋体" w:hAnsi="宋体" w:cs="宋体" w:hint="eastAsia"/>
          <w:sz w:val="21"/>
          <w:szCs w:val="21"/>
        </w:rPr>
        <w:t>）除公</w:t>
      </w:r>
      <w:proofErr w:type="gramStart"/>
      <w:r>
        <w:rPr>
          <w:rFonts w:eastAsia="宋体" w:hAnsi="宋体" w:cs="宋体" w:hint="eastAsia"/>
          <w:sz w:val="21"/>
          <w:szCs w:val="21"/>
        </w:rPr>
        <w:t>募资产</w:t>
      </w:r>
      <w:proofErr w:type="gramEnd"/>
      <w:r>
        <w:rPr>
          <w:rFonts w:eastAsia="宋体" w:hAnsi="宋体" w:cs="宋体" w:hint="eastAsia"/>
          <w:sz w:val="21"/>
          <w:szCs w:val="21"/>
        </w:rPr>
        <w:t>管理产品外，以合伙企业、契约等非法人形式直接或者间接投资于资产管理计划的，应向管理人充分披露实际投资者和最终资金来源；</w:t>
      </w:r>
    </w:p>
    <w:p w14:paraId="35365D5D"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4</w:t>
      </w:r>
      <w:r>
        <w:rPr>
          <w:rFonts w:eastAsia="宋体" w:hAnsi="宋体" w:cs="宋体" w:hint="eastAsia"/>
          <w:sz w:val="21"/>
          <w:szCs w:val="21"/>
        </w:rPr>
        <w:t>）认真阅读并签署风险揭示书；</w:t>
      </w:r>
    </w:p>
    <w:p w14:paraId="01A891BB"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5</w:t>
      </w:r>
      <w:r>
        <w:rPr>
          <w:rFonts w:eastAsia="宋体" w:hAnsi="宋体" w:cs="宋体" w:hint="eastAsia"/>
          <w:sz w:val="21"/>
          <w:szCs w:val="21"/>
        </w:rPr>
        <w:t>）按照资产管理合同约定支付资产管理计划份额的参与款项，承担资产管理合同约定的管理费、业绩报酬（如有）、托管费、审计费、税费等合理费用；</w:t>
      </w:r>
    </w:p>
    <w:p w14:paraId="3AEB5759"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6</w:t>
      </w:r>
      <w:r>
        <w:rPr>
          <w:rFonts w:eastAsia="宋体" w:hAnsi="宋体" w:cs="宋体" w:hint="eastAsia"/>
          <w:sz w:val="21"/>
          <w:szCs w:val="21"/>
        </w:rPr>
        <w:t>）在持有的资产管理计划份额范围内，承担资产管理计划亏损或者终止的有限责任；</w:t>
      </w:r>
    </w:p>
    <w:p w14:paraId="7182D5CF"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7</w:t>
      </w:r>
      <w:r>
        <w:rPr>
          <w:rFonts w:eastAsia="宋体" w:hAnsi="宋体" w:cs="宋体" w:hint="eastAsia"/>
          <w:sz w:val="21"/>
          <w:szCs w:val="21"/>
        </w:rPr>
        <w:t>）向管理人或资产管理计划销售机构提供法律法规规定的信息资料及身份证明文件（如适用），配合管理人或其销售机构完成投资者适</w:t>
      </w:r>
      <w:r>
        <w:rPr>
          <w:rFonts w:eastAsia="宋体" w:hAnsi="宋体" w:cs="宋体" w:hint="eastAsia"/>
          <w:sz w:val="21"/>
          <w:szCs w:val="21"/>
        </w:rPr>
        <w:t>当性管理、非居民金融账户涉税信息尽职调查、反洗钱等监管规定的工作；</w:t>
      </w:r>
    </w:p>
    <w:p w14:paraId="435161C2"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8</w:t>
      </w:r>
      <w:r>
        <w:rPr>
          <w:rFonts w:eastAsia="宋体" w:hAnsi="宋体" w:cs="宋体" w:hint="eastAsia"/>
          <w:sz w:val="21"/>
          <w:szCs w:val="21"/>
        </w:rPr>
        <w:t>）不得违反资产管理合同的约定干涉资产管理人的投资管理行为；</w:t>
      </w:r>
    </w:p>
    <w:p w14:paraId="2420172F"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9</w:t>
      </w:r>
      <w:r>
        <w:rPr>
          <w:rFonts w:eastAsia="宋体" w:hAnsi="宋体" w:cs="宋体" w:hint="eastAsia"/>
          <w:sz w:val="21"/>
          <w:szCs w:val="21"/>
        </w:rPr>
        <w:t>）不得从事任何有损资产管理计划及其投资者、资产管理人及资产管理人管理的其他资产、资产托管人及资产托管人托管的其他资产合法权益的活动；</w:t>
      </w:r>
    </w:p>
    <w:p w14:paraId="7E263964"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10</w:t>
      </w:r>
      <w:r>
        <w:rPr>
          <w:rFonts w:eastAsia="宋体" w:hAnsi="宋体" w:cs="宋体" w:hint="eastAsia"/>
          <w:sz w:val="21"/>
          <w:szCs w:val="21"/>
        </w:rPr>
        <w:t>）保守商业秘密，不得泄露资产管理计划的投资计划、投资意向等；不得利用资产管理计划相关信息进行内幕交易或者其他不当、违法的证券期货业务活动；</w:t>
      </w:r>
    </w:p>
    <w:p w14:paraId="1B74B0E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11</w:t>
      </w:r>
      <w:r>
        <w:rPr>
          <w:rFonts w:ascii="宋体" w:eastAsia="宋体" w:hAnsi="宋体" w:cs="宋体" w:hint="eastAsia"/>
          <w:sz w:val="21"/>
          <w:szCs w:val="21"/>
        </w:rPr>
        <w:t>）在签署本合同前，向资产管理人书面告知资产委托人的关联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的证券名单或其他禁止交易的证券</w:t>
      </w:r>
      <w:r>
        <w:rPr>
          <w:rFonts w:ascii="宋体" w:eastAsia="宋体" w:hAnsi="宋体" w:cs="宋体" w:hint="eastAsia"/>
          <w:sz w:val="21"/>
          <w:szCs w:val="21"/>
        </w:rPr>
        <w:t>名单，在上述证券名单发生变更时，及时书面通知资产管理人；</w:t>
      </w:r>
    </w:p>
    <w:p w14:paraId="66B4813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12</w:t>
      </w:r>
      <w:r>
        <w:rPr>
          <w:rFonts w:ascii="宋体" w:eastAsia="宋体" w:hAnsi="宋体" w:cs="宋体" w:hint="eastAsia"/>
          <w:sz w:val="21"/>
          <w:szCs w:val="21"/>
        </w:rPr>
        <w:t>）在本计划存续期间及时关注资产管理人的短信、电话、邮件、传真以及其公司网站公告；</w:t>
      </w:r>
    </w:p>
    <w:p w14:paraId="35CCE96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13</w:t>
      </w:r>
      <w:r>
        <w:rPr>
          <w:rFonts w:ascii="宋体" w:eastAsia="宋体" w:hAnsi="宋体" w:cs="宋体" w:hint="eastAsia"/>
          <w:sz w:val="21"/>
          <w:szCs w:val="21"/>
        </w:rPr>
        <w:t>）理解并同意承担委托财产的投资、运作、托管面临本合同之第二十四部分“风险揭示”以及风险揭示书中列举的各类风险；</w:t>
      </w:r>
    </w:p>
    <w:p w14:paraId="1122DB87" w14:textId="77777777" w:rsidR="00694F14" w:rsidRDefault="00A463B7">
      <w:pPr>
        <w:pStyle w:val="afd"/>
        <w:ind w:firstLine="480"/>
        <w:rPr>
          <w:rFonts w:eastAsia="宋体" w:hAnsi="宋体" w:cs="宋体"/>
          <w:sz w:val="21"/>
          <w:szCs w:val="21"/>
        </w:rPr>
      </w:pPr>
      <w:r>
        <w:rPr>
          <w:rFonts w:eastAsia="宋体" w:hAnsi="宋体" w:cs="宋体" w:hint="eastAsia"/>
          <w:sz w:val="21"/>
          <w:szCs w:val="21"/>
        </w:rPr>
        <w:t>（</w:t>
      </w:r>
      <w:r>
        <w:rPr>
          <w:rFonts w:eastAsia="宋体" w:hAnsi="宋体" w:cs="宋体" w:hint="eastAsia"/>
          <w:sz w:val="21"/>
          <w:szCs w:val="21"/>
        </w:rPr>
        <w:t>14</w:t>
      </w:r>
      <w:r>
        <w:rPr>
          <w:rFonts w:eastAsia="宋体" w:hAnsi="宋体" w:cs="宋体" w:hint="eastAsia"/>
          <w:sz w:val="21"/>
          <w:szCs w:val="21"/>
        </w:rPr>
        <w:t>）法律法规、中国证监会及基金业协会规定和本合同约定的其他义务。</w:t>
      </w:r>
    </w:p>
    <w:p w14:paraId="014C8BFC" w14:textId="77777777" w:rsidR="00694F14" w:rsidRDefault="00A463B7">
      <w:pPr>
        <w:pStyle w:val="afd"/>
        <w:rPr>
          <w:rFonts w:eastAsia="宋体" w:hAnsi="宋体" w:cs="宋体"/>
          <w:sz w:val="21"/>
          <w:szCs w:val="21"/>
        </w:rPr>
      </w:pPr>
      <w:r>
        <w:rPr>
          <w:rFonts w:eastAsia="宋体" w:hAnsi="宋体" w:cs="宋体" w:hint="eastAsia"/>
          <w:sz w:val="21"/>
          <w:szCs w:val="21"/>
        </w:rPr>
        <w:t>（二）资产管理人</w:t>
      </w:r>
    </w:p>
    <w:p w14:paraId="70A2F007" w14:textId="77777777" w:rsidR="00694F14" w:rsidRDefault="00A463B7">
      <w:pPr>
        <w:pStyle w:val="afd"/>
        <w:rPr>
          <w:rFonts w:eastAsia="宋体" w:hAnsi="宋体" w:cs="宋体"/>
          <w:sz w:val="21"/>
          <w:szCs w:val="21"/>
        </w:rPr>
      </w:pPr>
      <w:r>
        <w:rPr>
          <w:rFonts w:eastAsia="宋体" w:hAnsi="宋体" w:cs="宋体" w:hint="eastAsia"/>
          <w:sz w:val="21"/>
          <w:szCs w:val="21"/>
        </w:rPr>
        <w:t>1</w:t>
      </w:r>
      <w:r>
        <w:rPr>
          <w:rFonts w:eastAsia="宋体" w:hAnsi="宋体" w:cs="宋体" w:hint="eastAsia"/>
          <w:sz w:val="21"/>
          <w:szCs w:val="21"/>
        </w:rPr>
        <w:t>、资产管理人的基本情况</w:t>
      </w:r>
    </w:p>
    <w:p w14:paraId="35DF2033"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名称：</w:t>
      </w:r>
      <w:r>
        <w:rPr>
          <w:rFonts w:ascii="宋体" w:eastAsia="宋体" w:hAnsi="宋体" w:cs="宋体" w:hint="eastAsia"/>
          <w:color w:val="000000"/>
          <w:sz w:val="21"/>
          <w:szCs w:val="21"/>
        </w:rPr>
        <w:t>光大期货有限公司</w:t>
      </w:r>
    </w:p>
    <w:p w14:paraId="4BE319DF"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住所：</w:t>
      </w:r>
      <w:r>
        <w:rPr>
          <w:rFonts w:ascii="宋体" w:eastAsia="宋体" w:hAnsi="宋体" w:cs="宋体" w:hint="eastAsia"/>
          <w:color w:val="000000"/>
          <w:sz w:val="21"/>
          <w:szCs w:val="21"/>
        </w:rPr>
        <w:t>上海市杨高南路</w:t>
      </w:r>
      <w:r>
        <w:rPr>
          <w:rFonts w:ascii="宋体" w:eastAsia="宋体" w:hAnsi="宋体" w:cs="宋体" w:hint="eastAsia"/>
          <w:color w:val="000000"/>
          <w:sz w:val="21"/>
          <w:szCs w:val="21"/>
        </w:rPr>
        <w:t>729</w:t>
      </w:r>
      <w:r>
        <w:rPr>
          <w:rFonts w:ascii="宋体" w:eastAsia="宋体" w:hAnsi="宋体" w:cs="宋体" w:hint="eastAsia"/>
          <w:color w:val="000000"/>
          <w:sz w:val="21"/>
          <w:szCs w:val="21"/>
        </w:rPr>
        <w:t>号</w:t>
      </w:r>
      <w:r>
        <w:rPr>
          <w:rFonts w:ascii="宋体" w:eastAsia="宋体" w:hAnsi="宋体" w:cs="宋体" w:hint="eastAsia"/>
          <w:color w:val="000000"/>
          <w:sz w:val="21"/>
          <w:szCs w:val="21"/>
        </w:rPr>
        <w:t>6</w:t>
      </w:r>
      <w:r>
        <w:rPr>
          <w:rFonts w:ascii="宋体" w:eastAsia="宋体" w:hAnsi="宋体" w:cs="宋体" w:hint="eastAsia"/>
          <w:color w:val="000000"/>
          <w:sz w:val="21"/>
          <w:szCs w:val="21"/>
        </w:rPr>
        <w:t>楼</w:t>
      </w:r>
    </w:p>
    <w:p w14:paraId="62645594"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统一社会信用代码：</w:t>
      </w:r>
      <w:r>
        <w:rPr>
          <w:rFonts w:ascii="宋体" w:eastAsia="宋体" w:hAnsi="宋体" w:cs="宋体" w:hint="eastAsia"/>
          <w:sz w:val="21"/>
          <w:szCs w:val="21"/>
        </w:rPr>
        <w:t>913100001321105353</w:t>
      </w:r>
    </w:p>
    <w:p w14:paraId="3E33F93D"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法定代表人或授权代表</w:t>
      </w:r>
      <w:r>
        <w:rPr>
          <w:rFonts w:ascii="宋体" w:eastAsia="宋体" w:hAnsi="宋体" w:cs="宋体" w:hint="eastAsia"/>
          <w:sz w:val="21"/>
          <w:szCs w:val="21"/>
        </w:rPr>
        <w:t>：</w:t>
      </w:r>
      <w:r>
        <w:rPr>
          <w:rFonts w:ascii="宋体" w:eastAsia="宋体" w:hAnsi="宋体" w:cs="宋体" w:hint="eastAsia"/>
          <w:color w:val="000000"/>
          <w:sz w:val="21"/>
          <w:szCs w:val="21"/>
        </w:rPr>
        <w:t>俞大伟</w:t>
      </w:r>
    </w:p>
    <w:p w14:paraId="6AED7745"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联系人：</w:t>
      </w:r>
      <w:r>
        <w:rPr>
          <w:rFonts w:ascii="宋体" w:eastAsia="宋体" w:hAnsi="宋体" w:cs="宋体" w:hint="eastAsia"/>
          <w:color w:val="000000"/>
          <w:sz w:val="21"/>
          <w:szCs w:val="21"/>
        </w:rPr>
        <w:t>陈晓迪</w:t>
      </w:r>
    </w:p>
    <w:p w14:paraId="3305714D"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通讯地址：</w:t>
      </w:r>
      <w:r>
        <w:rPr>
          <w:rFonts w:ascii="宋体" w:eastAsia="宋体" w:hAnsi="宋体" w:cs="宋体" w:hint="eastAsia"/>
          <w:color w:val="000000"/>
          <w:sz w:val="21"/>
          <w:szCs w:val="21"/>
        </w:rPr>
        <w:t>上海市杨高南路</w:t>
      </w:r>
      <w:r>
        <w:rPr>
          <w:rFonts w:ascii="宋体" w:eastAsia="宋体" w:hAnsi="宋体" w:cs="宋体" w:hint="eastAsia"/>
          <w:color w:val="000000"/>
          <w:sz w:val="21"/>
          <w:szCs w:val="21"/>
        </w:rPr>
        <w:t>729</w:t>
      </w:r>
      <w:r>
        <w:rPr>
          <w:rFonts w:ascii="宋体" w:eastAsia="宋体" w:hAnsi="宋体" w:cs="宋体" w:hint="eastAsia"/>
          <w:color w:val="000000"/>
          <w:sz w:val="21"/>
          <w:szCs w:val="21"/>
        </w:rPr>
        <w:t>号</w:t>
      </w:r>
      <w:r>
        <w:rPr>
          <w:rFonts w:ascii="宋体" w:eastAsia="宋体" w:hAnsi="宋体" w:cs="宋体" w:hint="eastAsia"/>
          <w:color w:val="000000"/>
          <w:sz w:val="21"/>
          <w:szCs w:val="21"/>
        </w:rPr>
        <w:t>6</w:t>
      </w:r>
      <w:r>
        <w:rPr>
          <w:rFonts w:ascii="宋体" w:eastAsia="宋体" w:hAnsi="宋体" w:cs="宋体" w:hint="eastAsia"/>
          <w:color w:val="000000"/>
          <w:sz w:val="21"/>
          <w:szCs w:val="21"/>
        </w:rPr>
        <w:t>楼</w:t>
      </w:r>
    </w:p>
    <w:p w14:paraId="72D86BB7"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邮政编码：</w:t>
      </w:r>
      <w:r>
        <w:rPr>
          <w:rFonts w:ascii="宋体" w:eastAsia="宋体" w:hAnsi="宋体" w:cs="宋体" w:hint="eastAsia"/>
          <w:sz w:val="21"/>
          <w:szCs w:val="21"/>
        </w:rPr>
        <w:t>200127</w:t>
      </w:r>
    </w:p>
    <w:p w14:paraId="73A93607"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联系电话：</w:t>
      </w:r>
      <w:r>
        <w:rPr>
          <w:rFonts w:ascii="宋体" w:eastAsia="宋体" w:hAnsi="宋体" w:cs="宋体" w:hint="eastAsia"/>
          <w:color w:val="000000"/>
          <w:sz w:val="21"/>
          <w:szCs w:val="21"/>
        </w:rPr>
        <w:t>021-80212222</w:t>
      </w:r>
    </w:p>
    <w:p w14:paraId="3D8A8FC6"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传真：</w:t>
      </w:r>
      <w:r>
        <w:rPr>
          <w:rFonts w:ascii="宋体" w:eastAsia="宋体" w:hAnsi="宋体" w:cs="宋体" w:hint="eastAsia"/>
          <w:color w:val="000000"/>
          <w:sz w:val="21"/>
          <w:szCs w:val="21"/>
        </w:rPr>
        <w:t>021-80212200</w:t>
      </w:r>
    </w:p>
    <w:p w14:paraId="07BA61B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、资产管理人的权利</w:t>
      </w:r>
    </w:p>
    <w:p w14:paraId="1442971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）按照本合同的约定，独立管理和运用资产管理计划财产；</w:t>
      </w:r>
    </w:p>
    <w:p w14:paraId="59AA6A3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）依照本合同的约定，及时、足额获得资产管理人管理费用和业绩报酬（如有）；</w:t>
      </w:r>
    </w:p>
    <w:p w14:paraId="79BA00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）依照有关规定和本合同约定行使因资产管理计划财产投资所产生的权利；</w:t>
      </w:r>
    </w:p>
    <w:p w14:paraId="6FC50CE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根据本合同及其他有关规定，监督资产托管人；对于资产托管人违反本合同或有关法律法规规定、对资产管理计划财产及其他当事人的利益造成重大损失的，应当及时采取措施制止，并报告中国证监会相关派出机构及基金业协会；</w:t>
      </w:r>
    </w:p>
    <w:p w14:paraId="758BF04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）自行提供或者委托经中国证监会、基金业协会认定的服务机构为资产管理计划提供募集、份额登记、估值与核算、信息技术系统等服务，并对其行为进行必要的监督和检查；</w:t>
      </w:r>
    </w:p>
    <w:p w14:paraId="148D93D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）以管理人的名义，代表资产管理计划行使投资过程中产生的权属登记等权利；</w:t>
      </w:r>
    </w:p>
    <w:p w14:paraId="166E1E1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7</w:t>
      </w:r>
      <w:r>
        <w:rPr>
          <w:rFonts w:ascii="宋体" w:eastAsia="宋体" w:hAnsi="宋体" w:cs="宋体" w:hint="eastAsia"/>
          <w:sz w:val="21"/>
          <w:szCs w:val="21"/>
        </w:rPr>
        <w:t>）资产管理人有权根据市场情况对</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管理计划的总规模、单个资产</w:t>
      </w:r>
      <w:r>
        <w:rPr>
          <w:rFonts w:ascii="宋体" w:eastAsia="宋体" w:hAnsi="宋体" w:cs="宋体" w:hint="eastAsia"/>
          <w:sz w:val="21"/>
          <w:szCs w:val="21"/>
        </w:rPr>
        <w:t>委托人首次参与金额、每次参与金额及持有的本计划总金额限制进行调整；</w:t>
      </w:r>
    </w:p>
    <w:p w14:paraId="198510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8</w:t>
      </w:r>
      <w:r>
        <w:rPr>
          <w:rFonts w:ascii="宋体" w:eastAsia="宋体" w:hAnsi="宋体" w:cs="宋体" w:hint="eastAsia"/>
          <w:sz w:val="21"/>
          <w:szCs w:val="21"/>
        </w:rPr>
        <w:t>）法律法规、中国证监会、基金业协会规定的及本合同约定的其他权利。</w:t>
      </w:r>
    </w:p>
    <w:p w14:paraId="20D8D3E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3</w:t>
      </w:r>
      <w:r>
        <w:rPr>
          <w:rFonts w:ascii="宋体" w:eastAsia="宋体" w:hAnsi="宋体" w:cs="宋体" w:hint="eastAsia"/>
          <w:sz w:val="21"/>
          <w:szCs w:val="21"/>
        </w:rPr>
        <w:t>、资产管理人的义务</w:t>
      </w:r>
    </w:p>
    <w:p w14:paraId="3946273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）依法办理资产管理计划的销售、登记、备案事宜；</w:t>
      </w:r>
    </w:p>
    <w:p w14:paraId="535B9B8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）按照基金业协会要求报送资产管理计划产品运行信息；</w:t>
      </w:r>
    </w:p>
    <w:p w14:paraId="7C6AAAD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）按照诚实信用、勤勉尽责的原则履行受托人义务，管理和运用资产管理计划财产；</w:t>
      </w:r>
    </w:p>
    <w:p w14:paraId="2328CC4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）对投资者的风险识别能力和风险承担能力进行评估，向符合法律法规规定的合格投资者非公开募集资金；</w:t>
      </w:r>
    </w:p>
    <w:p w14:paraId="6F3289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）制作风险揭示书，向投资者充分揭示相关风险；</w:t>
      </w:r>
    </w:p>
    <w:p w14:paraId="00DF4EE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明确牵头部门负责与委托人对接业务履行受托义务，负责资产管理人内部统筹协调工作并与投资者进行积极沟通、协调，管理资产管理计划财产，并配备足够的具有专业能力的人员进行投资分析、决策，以专业化的经营方式管理和运作资产管理计划财产；</w:t>
      </w:r>
    </w:p>
    <w:p w14:paraId="11E2E4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7</w:t>
      </w:r>
      <w:r>
        <w:rPr>
          <w:rFonts w:ascii="宋体" w:eastAsia="宋体" w:hAnsi="宋体" w:cs="宋体" w:hint="eastAsia"/>
          <w:sz w:val="21"/>
          <w:szCs w:val="21"/>
        </w:rPr>
        <w:t>）严格按照资产管理合同管理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管理计划财产，建立健全内部风险控制、监察与稽核、消费者权益保护、财务管理及人事管理等制度，实现</w:t>
      </w:r>
      <w:r>
        <w:rPr>
          <w:rFonts w:ascii="宋体" w:eastAsia="宋体" w:hAnsi="宋体" w:cs="宋体" w:hint="eastAsia"/>
          <w:sz w:val="21"/>
          <w:szCs w:val="21"/>
        </w:rPr>
        <w:t>内部协调与统筹，保证</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与其管理的其他资产管理计划财产、资产管理人的固有财产相互独立，对所管理的不同财产分别管理、分别记账，分别投资，不得出现超范围、超比例投资等违规行为；聘请投资顾问的（如有），应制定相应利益冲突防范机制防范资产管理计划资产与其他受托资产、资产管理计划资产与管理人自有资产产生利益冲突；</w:t>
      </w:r>
    </w:p>
    <w:p w14:paraId="486635D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8</w:t>
      </w:r>
      <w:r>
        <w:rPr>
          <w:rFonts w:ascii="宋体" w:eastAsia="宋体" w:hAnsi="宋体" w:cs="宋体" w:hint="eastAsia"/>
          <w:sz w:val="21"/>
          <w:szCs w:val="21"/>
        </w:rPr>
        <w:t>）除依据法律法规、本合同及其他有关规定外，不得为资产管理人及任何第三人谋取利益，不得委托第三人运作资产管理计划财产；</w:t>
      </w:r>
    </w:p>
    <w:p w14:paraId="142C1E7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9</w:t>
      </w:r>
      <w:r>
        <w:rPr>
          <w:rFonts w:ascii="宋体" w:eastAsia="宋体" w:hAnsi="宋体" w:cs="宋体" w:hint="eastAsia"/>
          <w:sz w:val="21"/>
          <w:szCs w:val="21"/>
        </w:rPr>
        <w:t>）保守商业秘密，不得泄露资产管理计划的投资计划、投资意向等，依法依</w:t>
      </w:r>
      <w:r>
        <w:rPr>
          <w:rFonts w:ascii="宋体" w:eastAsia="宋体" w:hAnsi="宋体" w:cs="宋体" w:hint="eastAsia"/>
          <w:sz w:val="21"/>
          <w:szCs w:val="21"/>
        </w:rPr>
        <w:t>规提供信息的除外；</w:t>
      </w:r>
    </w:p>
    <w:p w14:paraId="7B994A3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10</w:t>
      </w:r>
      <w:r>
        <w:rPr>
          <w:rFonts w:ascii="宋体" w:eastAsia="宋体" w:hAnsi="宋体" w:cs="宋体" w:hint="eastAsia"/>
          <w:sz w:val="21"/>
          <w:szCs w:val="21"/>
        </w:rPr>
        <w:t>）公平对待所管理的不同财产，不得从事任何有损资产管理计划财产及其他当事人利益的活动；</w:t>
      </w:r>
    </w:p>
    <w:p w14:paraId="42C1066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11</w:t>
      </w:r>
      <w:r>
        <w:rPr>
          <w:rFonts w:ascii="宋体" w:eastAsia="宋体" w:hAnsi="宋体" w:cs="宋体" w:hint="eastAsia"/>
          <w:sz w:val="21"/>
          <w:szCs w:val="21"/>
        </w:rPr>
        <w:t>）除规定情形或符合规定条件外，不得为管理人、托管人及其关联方提供融资；</w:t>
      </w:r>
    </w:p>
    <w:p w14:paraId="021FA95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12</w:t>
      </w:r>
      <w:r>
        <w:rPr>
          <w:rFonts w:ascii="宋体" w:eastAsia="宋体" w:hAnsi="宋体" w:cs="宋体" w:hint="eastAsia"/>
          <w:sz w:val="21"/>
          <w:szCs w:val="21"/>
        </w:rPr>
        <w:t>）按照本合同的约定接受资产委托人和资产托管人的监督；</w:t>
      </w:r>
    </w:p>
    <w:p w14:paraId="13AF1A4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13</w:t>
      </w:r>
      <w:r>
        <w:rPr>
          <w:rFonts w:ascii="宋体" w:eastAsia="宋体" w:hAnsi="宋体" w:cs="宋体" w:hint="eastAsia"/>
          <w:sz w:val="21"/>
          <w:szCs w:val="21"/>
        </w:rPr>
        <w:t>）以资产管理人的名义，代表资产委托人利益行使诉讼权利或者实施其他法律行为；</w:t>
      </w:r>
    </w:p>
    <w:p w14:paraId="3F8F38A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14</w:t>
      </w:r>
      <w:r>
        <w:rPr>
          <w:rFonts w:ascii="宋体" w:eastAsia="宋体" w:hAnsi="宋体" w:cs="宋体" w:hint="eastAsia"/>
          <w:sz w:val="21"/>
          <w:szCs w:val="21"/>
        </w:rPr>
        <w:t>）因资产委托人穿透监控需要，资产管理人按照合同约定的估值频率计算</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管理计划份额净值，并在每个估值日向资产委托人发送产品估值表；产品若为</w:t>
      </w:r>
      <w:r>
        <w:rPr>
          <w:rFonts w:ascii="宋体" w:eastAsia="宋体" w:hAnsi="宋体" w:cs="宋体" w:hint="eastAsia"/>
          <w:sz w:val="21"/>
          <w:szCs w:val="21"/>
        </w:rPr>
        <w:t>T+0</w:t>
      </w:r>
      <w:r>
        <w:rPr>
          <w:rFonts w:ascii="宋体" w:eastAsia="宋体" w:hAnsi="宋体" w:cs="宋体" w:hint="eastAsia"/>
          <w:sz w:val="21"/>
          <w:szCs w:val="21"/>
        </w:rPr>
        <w:t>估值，则于每个估值日</w:t>
      </w:r>
      <w:r>
        <w:rPr>
          <w:rFonts w:ascii="宋体" w:eastAsia="宋体" w:hAnsi="宋体" w:cs="宋体" w:hint="eastAsia"/>
          <w:sz w:val="21"/>
          <w:szCs w:val="21"/>
        </w:rPr>
        <w:t>19:00</w:t>
      </w:r>
      <w:r>
        <w:rPr>
          <w:rFonts w:ascii="宋体" w:eastAsia="宋体" w:hAnsi="宋体" w:cs="宋体" w:hint="eastAsia"/>
          <w:sz w:val="21"/>
          <w:szCs w:val="21"/>
        </w:rPr>
        <w:t>前发送，产品若为</w:t>
      </w:r>
      <w:proofErr w:type="spellStart"/>
      <w:r>
        <w:rPr>
          <w:rFonts w:ascii="宋体" w:eastAsia="宋体" w:hAnsi="宋体" w:cs="宋体" w:hint="eastAsia"/>
          <w:sz w:val="21"/>
          <w:szCs w:val="21"/>
        </w:rPr>
        <w:t>T+n</w:t>
      </w:r>
      <w:proofErr w:type="spellEnd"/>
      <w:r>
        <w:rPr>
          <w:rFonts w:ascii="宋体" w:eastAsia="宋体" w:hAnsi="宋体" w:cs="宋体" w:hint="eastAsia"/>
          <w:sz w:val="21"/>
          <w:szCs w:val="21"/>
        </w:rPr>
        <w:t>估值，则于每个估值日</w:t>
      </w:r>
      <w:r>
        <w:rPr>
          <w:rFonts w:ascii="宋体" w:eastAsia="宋体" w:hAnsi="宋体" w:cs="宋体" w:hint="eastAsia"/>
          <w:sz w:val="21"/>
          <w:szCs w:val="21"/>
        </w:rPr>
        <w:t>12:00</w:t>
      </w:r>
      <w:r>
        <w:rPr>
          <w:rFonts w:ascii="宋体" w:eastAsia="宋体" w:hAnsi="宋体" w:cs="宋体" w:hint="eastAsia"/>
          <w:sz w:val="21"/>
          <w:szCs w:val="21"/>
        </w:rPr>
        <w:t>前发送；资产委托人和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估值频率不一致时，参照资产委托人的估值频率处理；资产管理人应以资产委托人认可的方式证明产品估值表已经托管人复核无误；估值表单次发送，除非资产委托人要求，不得重复发送；对于估值表的提供，若监管另有规定的，资产管理人按照监管规定执行；</w:t>
      </w:r>
    </w:p>
    <w:p w14:paraId="747D7E5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15</w:t>
      </w:r>
      <w:r>
        <w:rPr>
          <w:rFonts w:ascii="宋体" w:eastAsia="宋体" w:hAnsi="宋体" w:cs="宋体" w:hint="eastAsia"/>
          <w:sz w:val="21"/>
          <w:szCs w:val="21"/>
        </w:rPr>
        <w:t>）召集资</w:t>
      </w:r>
      <w:r>
        <w:rPr>
          <w:rFonts w:ascii="宋体" w:eastAsia="宋体" w:hAnsi="宋体" w:cs="宋体" w:hint="eastAsia"/>
          <w:sz w:val="21"/>
          <w:szCs w:val="21"/>
        </w:rPr>
        <w:t>产管理计划份额持有人大会（如有），份额持有人大会设立日常机构的除外。</w:t>
      </w:r>
    </w:p>
    <w:p w14:paraId="0D64AC5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16</w:t>
      </w:r>
      <w:r>
        <w:rPr>
          <w:rFonts w:ascii="宋体" w:eastAsia="宋体" w:hAnsi="宋体" w:cs="宋体" w:hint="eastAsia"/>
          <w:sz w:val="21"/>
          <w:szCs w:val="21"/>
        </w:rPr>
        <w:t>）确定资产管理计划份额参与、退出价格，采取适当、合理的措施确保份额交易价格的计算方法符合法律法规的规定和本合同的约定；在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管理计划存续期内，如发生参与、退出、分红、</w:t>
      </w:r>
      <w:proofErr w:type="gramStart"/>
      <w:r>
        <w:rPr>
          <w:rFonts w:ascii="宋体" w:eastAsia="宋体" w:hAnsi="宋体" w:cs="宋体" w:hint="eastAsia"/>
          <w:sz w:val="21"/>
          <w:szCs w:val="21"/>
        </w:rPr>
        <w:t>份额强减等</w:t>
      </w:r>
      <w:proofErr w:type="gramEnd"/>
      <w:r>
        <w:rPr>
          <w:rFonts w:ascii="宋体" w:eastAsia="宋体" w:hAnsi="宋体" w:cs="宋体" w:hint="eastAsia"/>
          <w:sz w:val="21"/>
          <w:szCs w:val="21"/>
        </w:rPr>
        <w:t>业务，资产管理人应在相关业务确认日</w:t>
      </w:r>
      <w:r>
        <w:rPr>
          <w:rFonts w:ascii="宋体" w:eastAsia="宋体" w:hAnsi="宋体" w:cs="宋体" w:hint="eastAsia"/>
          <w:sz w:val="21"/>
          <w:szCs w:val="21"/>
        </w:rPr>
        <w:t>17</w:t>
      </w:r>
      <w:r>
        <w:rPr>
          <w:rFonts w:ascii="宋体" w:eastAsia="宋体" w:hAnsi="宋体" w:cs="宋体" w:hint="eastAsia"/>
          <w:sz w:val="21"/>
          <w:szCs w:val="21"/>
        </w:rPr>
        <w:t>：</w:t>
      </w:r>
      <w:r>
        <w:rPr>
          <w:rFonts w:ascii="宋体" w:eastAsia="宋体" w:hAnsi="宋体" w:cs="宋体" w:hint="eastAsia"/>
          <w:sz w:val="21"/>
          <w:szCs w:val="21"/>
        </w:rPr>
        <w:t>00</w:t>
      </w:r>
      <w:r>
        <w:rPr>
          <w:rFonts w:ascii="宋体" w:eastAsia="宋体" w:hAnsi="宋体" w:cs="宋体" w:hint="eastAsia"/>
          <w:sz w:val="21"/>
          <w:szCs w:val="21"/>
        </w:rPr>
        <w:t>前向资产委托人提供加盖资产管理人业务专用章的业务确认书</w:t>
      </w:r>
      <w:r>
        <w:rPr>
          <w:rFonts w:ascii="宋体" w:eastAsia="宋体" w:hAnsi="宋体" w:cs="宋体" w:hint="eastAsia"/>
          <w:sz w:val="21"/>
          <w:szCs w:val="21"/>
        </w:rPr>
        <w:t>;</w:t>
      </w:r>
    </w:p>
    <w:p w14:paraId="6A35673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17</w:t>
      </w:r>
      <w:r>
        <w:rPr>
          <w:rFonts w:ascii="宋体" w:eastAsia="宋体" w:hAnsi="宋体" w:cs="宋体" w:hint="eastAsia"/>
          <w:sz w:val="21"/>
          <w:szCs w:val="21"/>
        </w:rPr>
        <w:t>）对非标准化资产（如有）和相关交易主体进行充分的尽职调查，形成书面工作底稿，并制作尽职调查报告；</w:t>
      </w:r>
    </w:p>
    <w:p w14:paraId="1DC4A2D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18</w:t>
      </w:r>
      <w:r>
        <w:rPr>
          <w:rFonts w:ascii="宋体" w:eastAsia="宋体" w:hAnsi="宋体" w:cs="宋体" w:hint="eastAsia"/>
          <w:sz w:val="21"/>
          <w:szCs w:val="21"/>
        </w:rPr>
        <w:t>）按照本合同约定负责资产管理计划会计核算并按照</w:t>
      </w:r>
      <w:r>
        <w:rPr>
          <w:rFonts w:ascii="宋体" w:eastAsia="宋体" w:hAnsi="宋体" w:cs="宋体" w:hint="eastAsia"/>
          <w:sz w:val="21"/>
          <w:szCs w:val="21"/>
        </w:rPr>
        <w:t>资产委托人模板编制财务会计报告；</w:t>
      </w:r>
    </w:p>
    <w:p w14:paraId="1BA8A68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19</w:t>
      </w:r>
      <w:r>
        <w:rPr>
          <w:rFonts w:ascii="宋体" w:eastAsia="宋体" w:hAnsi="宋体" w:cs="宋体" w:hint="eastAsia"/>
          <w:sz w:val="21"/>
          <w:szCs w:val="21"/>
        </w:rPr>
        <w:t>）聘请具有证券相关业务资格的会计师事务所对年度财务会计报告进行审计；</w:t>
      </w:r>
    </w:p>
    <w:p w14:paraId="3008F29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20</w:t>
      </w:r>
      <w:r>
        <w:rPr>
          <w:rFonts w:ascii="宋体" w:eastAsia="宋体" w:hAnsi="宋体" w:cs="宋体" w:hint="eastAsia"/>
          <w:sz w:val="21"/>
          <w:szCs w:val="21"/>
        </w:rPr>
        <w:t>）按照本合同约定确定收益分配方案，及时向资产委托人分配收益，并在除权日之前一个工作日向资产委托人提供分红公告；</w:t>
      </w:r>
    </w:p>
    <w:p w14:paraId="624E6BA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21</w:t>
      </w:r>
      <w:r>
        <w:rPr>
          <w:rFonts w:ascii="宋体" w:eastAsia="宋体" w:hAnsi="宋体" w:cs="宋体" w:hint="eastAsia"/>
          <w:sz w:val="21"/>
          <w:szCs w:val="21"/>
        </w:rPr>
        <w:t>）根据法律法规与本合同的规定，编制向投资者披露的资产管理计划季度、年度等定期报告，按照资产委托人模板编制的财务会计报告应加盖管理人业务章于每季度结束后第</w:t>
      </w:r>
      <w:r>
        <w:rPr>
          <w:rFonts w:ascii="宋体" w:eastAsia="宋体" w:hAnsi="宋体" w:cs="宋体" w:hint="eastAsia"/>
          <w:sz w:val="21"/>
          <w:szCs w:val="21"/>
        </w:rPr>
        <w:t>3</w:t>
      </w:r>
      <w:r>
        <w:rPr>
          <w:rFonts w:ascii="宋体" w:eastAsia="宋体" w:hAnsi="宋体" w:cs="宋体" w:hint="eastAsia"/>
          <w:sz w:val="21"/>
          <w:szCs w:val="21"/>
        </w:rPr>
        <w:t>个工作日内向资产委托人提供；其他信息披露材料在资产管理人正式公开披露后</w:t>
      </w:r>
      <w:r>
        <w:rPr>
          <w:rFonts w:ascii="宋体" w:eastAsia="宋体" w:hAnsi="宋体" w:cs="宋体" w:hint="eastAsia"/>
          <w:sz w:val="21"/>
          <w:szCs w:val="21"/>
        </w:rPr>
        <w:t>2</w:t>
      </w:r>
      <w:r>
        <w:rPr>
          <w:rFonts w:ascii="宋体" w:eastAsia="宋体" w:hAnsi="宋体" w:cs="宋体" w:hint="eastAsia"/>
          <w:sz w:val="21"/>
          <w:szCs w:val="21"/>
        </w:rPr>
        <w:t>个工作日内向资产委托人提供；资产管理计划季度、年度等</w:t>
      </w:r>
      <w:r>
        <w:rPr>
          <w:rFonts w:ascii="宋体" w:eastAsia="宋体" w:hAnsi="宋体" w:cs="宋体" w:hint="eastAsia"/>
          <w:sz w:val="21"/>
          <w:szCs w:val="21"/>
        </w:rPr>
        <w:t>定期报告应当向基金业协会备案，并抄报证监会相关派出机构</w:t>
      </w:r>
      <w:r>
        <w:rPr>
          <w:rFonts w:ascii="宋体" w:eastAsia="宋体" w:hAnsi="宋体" w:cs="宋体" w:hint="eastAsia"/>
          <w:sz w:val="21"/>
          <w:szCs w:val="21"/>
        </w:rPr>
        <w:t>;</w:t>
      </w:r>
    </w:p>
    <w:p w14:paraId="7584003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22</w:t>
      </w:r>
      <w:r>
        <w:rPr>
          <w:rFonts w:ascii="宋体" w:eastAsia="宋体" w:hAnsi="宋体" w:cs="宋体" w:hint="eastAsia"/>
          <w:sz w:val="21"/>
          <w:szCs w:val="21"/>
        </w:rPr>
        <w:t>）如因资产管理人遗漏或误差等原因造成资产委托人产品净值计算差错，由此导致资产委托人的经济损失由资产管理人承担；</w:t>
      </w:r>
    </w:p>
    <w:p w14:paraId="64091A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23</w:t>
      </w:r>
      <w:r>
        <w:rPr>
          <w:rFonts w:ascii="宋体" w:eastAsia="宋体" w:hAnsi="宋体" w:cs="宋体" w:hint="eastAsia"/>
          <w:sz w:val="21"/>
          <w:szCs w:val="21"/>
        </w:rPr>
        <w:t>）办理与受托财产管理业务活动有关的信息披露事项；</w:t>
      </w:r>
    </w:p>
    <w:p w14:paraId="4C39E12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24</w:t>
      </w:r>
      <w:r>
        <w:rPr>
          <w:rFonts w:ascii="宋体" w:eastAsia="宋体" w:hAnsi="宋体" w:cs="宋体" w:hint="eastAsia"/>
          <w:sz w:val="21"/>
          <w:szCs w:val="21"/>
        </w:rPr>
        <w:t>）建立并保存投资者名单；</w:t>
      </w:r>
    </w:p>
    <w:p w14:paraId="637F935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25</w:t>
      </w:r>
      <w:r>
        <w:rPr>
          <w:rFonts w:ascii="宋体" w:eastAsia="宋体" w:hAnsi="宋体" w:cs="宋体" w:hint="eastAsia"/>
          <w:sz w:val="21"/>
          <w:szCs w:val="21"/>
        </w:rPr>
        <w:t>）组织并参加资产管理计划财产清算小组，参与资产管理财产的保管、清理、估价、变现和分配；</w:t>
      </w:r>
    </w:p>
    <w:p w14:paraId="304492A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26</w:t>
      </w:r>
      <w:r>
        <w:rPr>
          <w:rFonts w:ascii="宋体" w:eastAsia="宋体" w:hAnsi="宋体" w:cs="宋体" w:hint="eastAsia"/>
          <w:sz w:val="21"/>
          <w:szCs w:val="21"/>
        </w:rPr>
        <w:t>）按照法律、行政法规和中国证监会的规定，保存资产管理计划的会计账册、妥善保存有关的合同、协议、交易记录等文件、资料和数据，保存期限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w:t>
      </w:r>
      <w:r>
        <w:rPr>
          <w:rFonts w:ascii="宋体" w:eastAsia="宋体" w:hAnsi="宋体" w:cs="宋体" w:hint="eastAsia"/>
          <w:sz w:val="21"/>
          <w:szCs w:val="21"/>
        </w:rPr>
        <w:t>之日起不得少于</w:t>
      </w:r>
      <w:r>
        <w:rPr>
          <w:rFonts w:ascii="宋体" w:eastAsia="宋体" w:hAnsi="宋体" w:cs="宋体" w:hint="eastAsia"/>
          <w:sz w:val="21"/>
          <w:szCs w:val="21"/>
        </w:rPr>
        <w:t>20</w:t>
      </w:r>
      <w:r>
        <w:rPr>
          <w:rFonts w:ascii="宋体" w:eastAsia="宋体" w:hAnsi="宋体" w:cs="宋体" w:hint="eastAsia"/>
          <w:sz w:val="21"/>
          <w:szCs w:val="21"/>
        </w:rPr>
        <w:t>年；</w:t>
      </w:r>
    </w:p>
    <w:p w14:paraId="51BBCC6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27</w:t>
      </w:r>
      <w:r>
        <w:rPr>
          <w:rFonts w:ascii="宋体" w:eastAsia="宋体" w:hAnsi="宋体" w:cs="宋体" w:hint="eastAsia"/>
          <w:sz w:val="21"/>
          <w:szCs w:val="21"/>
        </w:rPr>
        <w:t>）面临解散、依法被撤销或者被依法宣告破产时，及时报告中国证监会相关派出机构、基金业协会并通知托管人和投资者；</w:t>
      </w:r>
    </w:p>
    <w:p w14:paraId="2C9DE8F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28</w:t>
      </w:r>
      <w:r>
        <w:rPr>
          <w:rFonts w:ascii="宋体" w:eastAsia="宋体" w:hAnsi="宋体" w:cs="宋体" w:hint="eastAsia"/>
          <w:sz w:val="21"/>
          <w:szCs w:val="21"/>
        </w:rPr>
        <w:t>）本合同的签署采用纸质合同的方式进行的，应妥善保管并按托管人要求，于合同签署完成后的</w:t>
      </w:r>
      <w:r>
        <w:rPr>
          <w:rFonts w:ascii="宋体" w:eastAsia="宋体" w:hAnsi="宋体" w:cs="宋体" w:hint="eastAsia"/>
          <w:sz w:val="21"/>
          <w:szCs w:val="21"/>
        </w:rPr>
        <w:t>60</w:t>
      </w:r>
      <w:r>
        <w:rPr>
          <w:rFonts w:ascii="宋体" w:eastAsia="宋体" w:hAnsi="宋体" w:cs="宋体" w:hint="eastAsia"/>
          <w:sz w:val="21"/>
          <w:szCs w:val="21"/>
        </w:rPr>
        <w:t>日内，及时向托管人移交委托人签署的合同原件；</w:t>
      </w:r>
    </w:p>
    <w:p w14:paraId="40FFC34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29</w:t>
      </w:r>
      <w:r>
        <w:rPr>
          <w:rFonts w:ascii="宋体" w:eastAsia="宋体" w:hAnsi="宋体" w:cs="宋体" w:hint="eastAsia"/>
          <w:sz w:val="21"/>
          <w:szCs w:val="21"/>
        </w:rPr>
        <w:t>）资产管理人应按照《管理办法》的规定计提风险准备金。《管理办法》等法律法规变动的，资</w:t>
      </w:r>
      <w:r>
        <w:rPr>
          <w:rFonts w:ascii="宋体" w:eastAsia="宋体" w:hAnsi="宋体" w:cs="宋体" w:hint="eastAsia"/>
          <w:sz w:val="21"/>
          <w:szCs w:val="21"/>
        </w:rPr>
        <w:lastRenderedPageBreak/>
        <w:t>产管理人可根据最新法律法规的要求调整风险准备金的计提规则；</w:t>
      </w:r>
    </w:p>
    <w:p w14:paraId="2EF3F37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30</w:t>
      </w:r>
      <w:r>
        <w:rPr>
          <w:rFonts w:ascii="宋体" w:eastAsia="宋体" w:hAnsi="宋体" w:cs="宋体" w:hint="eastAsia"/>
          <w:sz w:val="21"/>
          <w:szCs w:val="21"/>
        </w:rPr>
        <w:t>）管理人应对提供给投资者的信息（包括但不限于投资标的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具体情况资产管理计划资</w:t>
      </w:r>
      <w:r>
        <w:rPr>
          <w:rFonts w:ascii="宋体" w:eastAsia="宋体" w:hAnsi="宋体" w:cs="宋体" w:hint="eastAsia"/>
          <w:sz w:val="21"/>
          <w:szCs w:val="21"/>
        </w:rPr>
        <w:t>产净值和份额净值、业绩报酬数据、资产管理计划年度报告、季度报告、净值报告、临时报告等报告）的真实性、准确性和完整性负责；</w:t>
      </w:r>
    </w:p>
    <w:p w14:paraId="5FD08A5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31</w:t>
      </w:r>
      <w:r>
        <w:rPr>
          <w:rFonts w:ascii="宋体" w:eastAsia="宋体" w:hAnsi="宋体" w:cs="宋体" w:hint="eastAsia"/>
          <w:sz w:val="21"/>
          <w:szCs w:val="21"/>
        </w:rPr>
        <w:t>）资产管理人应基于投资者自身穿透式管理的合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性要求，如资产管理计划相关投资指标突破投资者自身适用的监管规定的，资产管理人应根据投资者要求调整相关投资指标；</w:t>
      </w:r>
    </w:p>
    <w:p w14:paraId="5E58824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32</w:t>
      </w:r>
      <w:r>
        <w:rPr>
          <w:rFonts w:ascii="宋体" w:eastAsia="宋体" w:hAnsi="宋体" w:cs="宋体" w:hint="eastAsia"/>
          <w:sz w:val="21"/>
          <w:szCs w:val="21"/>
        </w:rPr>
        <w:t>）如需投资者向管理人提供投资者的客户</w:t>
      </w:r>
      <w:r>
        <w:rPr>
          <w:rFonts w:ascii="宋体" w:eastAsia="宋体" w:hAnsi="宋体" w:cs="宋体" w:hint="eastAsia"/>
          <w:sz w:val="21"/>
          <w:szCs w:val="21"/>
        </w:rPr>
        <w:t>/</w:t>
      </w:r>
      <w:r>
        <w:rPr>
          <w:rFonts w:ascii="宋体" w:eastAsia="宋体" w:hAnsi="宋体" w:cs="宋体" w:hint="eastAsia"/>
          <w:sz w:val="21"/>
          <w:szCs w:val="21"/>
        </w:rPr>
        <w:t>投资者的姓名</w:t>
      </w:r>
      <w:r>
        <w:rPr>
          <w:rFonts w:ascii="宋体" w:eastAsia="宋体" w:hAnsi="宋体" w:cs="宋体" w:hint="eastAsia"/>
          <w:sz w:val="21"/>
          <w:szCs w:val="21"/>
        </w:rPr>
        <w:t>/</w:t>
      </w:r>
      <w:r>
        <w:rPr>
          <w:rFonts w:ascii="宋体" w:eastAsia="宋体" w:hAnsi="宋体" w:cs="宋体" w:hint="eastAsia"/>
          <w:sz w:val="21"/>
          <w:szCs w:val="21"/>
        </w:rPr>
        <w:t>名称、身份证证明文件号码等身份信息、最终投资者资金来源、认购金额的，管理人应依法合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使用信息并采取相应的保密措施确保信息安全，防范投资者信息被不当采集、使用、传输和泄露。</w:t>
      </w:r>
      <w:r>
        <w:rPr>
          <w:rFonts w:ascii="宋体" w:eastAsia="宋体" w:hAnsi="宋体" w:cs="宋体" w:hint="eastAsia"/>
          <w:sz w:val="21"/>
          <w:szCs w:val="21"/>
        </w:rPr>
        <w:t>因违反本合同约定的投资者信息保密义务造成资产管理计划财产或投资者遭受损失的，应当依法承担赔偿责任；</w:t>
      </w:r>
    </w:p>
    <w:p w14:paraId="048AA0A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33</w:t>
      </w:r>
      <w:r>
        <w:rPr>
          <w:rFonts w:ascii="宋体" w:eastAsia="宋体" w:hAnsi="宋体" w:cs="宋体" w:hint="eastAsia"/>
          <w:sz w:val="21"/>
          <w:szCs w:val="21"/>
        </w:rPr>
        <w:t>）办理或者委托经中国证监会认定可办理开放式证券投资基金份额登记业务的其他机构代为办理资产管理计划份额的登记事宜；</w:t>
      </w:r>
    </w:p>
    <w:p w14:paraId="55411B3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34</w:t>
      </w:r>
      <w:r>
        <w:rPr>
          <w:rFonts w:ascii="宋体" w:eastAsia="宋体" w:hAnsi="宋体" w:cs="宋体" w:hint="eastAsia"/>
          <w:sz w:val="21"/>
          <w:szCs w:val="21"/>
        </w:rPr>
        <w:t>）资产管理人应按照《证券法》、《证券投资基金法》、《国务院办公厅关于加强金融消费者权益保护工作的指导意见》、《中国人民银行金融消费者权益保护实施办法》、《最高人民法院全国法院民商事审判工作会议纪要》等相关规定及监管规则建立并完善消费者权益保护工作体制机制，妥善处理消费者权益保护相关纠纷</w:t>
      </w:r>
      <w:r>
        <w:rPr>
          <w:rFonts w:ascii="宋体" w:eastAsia="宋体" w:hAnsi="宋体" w:cs="宋体" w:hint="eastAsia"/>
          <w:sz w:val="21"/>
          <w:szCs w:val="21"/>
        </w:rPr>
        <w:t>；</w:t>
      </w:r>
    </w:p>
    <w:p w14:paraId="3DBE58A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35</w:t>
      </w:r>
      <w:r>
        <w:rPr>
          <w:rFonts w:ascii="宋体" w:eastAsia="宋体" w:hAnsi="宋体" w:cs="宋体" w:hint="eastAsia"/>
          <w:sz w:val="21"/>
          <w:szCs w:val="21"/>
        </w:rPr>
        <w:t>）法律法规、中国证监会及基金业协会规定的和本合同约定的其他义务。</w:t>
      </w:r>
    </w:p>
    <w:p w14:paraId="4A5B338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（三）资产托管人</w:t>
      </w:r>
    </w:p>
    <w:p w14:paraId="27D421A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、资产托管人的基本情况</w:t>
      </w:r>
    </w:p>
    <w:p w14:paraId="101CB1B5"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名称：</w:t>
      </w:r>
      <w:r>
        <w:rPr>
          <w:rFonts w:ascii="宋体" w:eastAsia="宋体" w:hAnsi="宋体" w:cs="宋体" w:hint="eastAsia"/>
          <w:sz w:val="21"/>
          <w:szCs w:val="21"/>
        </w:rPr>
        <w:t>中国光大银行股份有限公司青岛分行</w:t>
      </w:r>
    </w:p>
    <w:p w14:paraId="37DA27A6"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住所：青岛市市南区香港西路</w:t>
      </w:r>
      <w:r>
        <w:rPr>
          <w:rFonts w:ascii="宋体" w:eastAsia="宋体" w:hAnsi="宋体" w:cs="宋体" w:hint="eastAsia"/>
          <w:sz w:val="21"/>
          <w:szCs w:val="21"/>
        </w:rPr>
        <w:t>69</w:t>
      </w:r>
      <w:r>
        <w:rPr>
          <w:rFonts w:ascii="宋体" w:eastAsia="宋体" w:hAnsi="宋体" w:cs="宋体" w:hint="eastAsia"/>
          <w:sz w:val="21"/>
          <w:szCs w:val="21"/>
        </w:rPr>
        <w:t>号</w:t>
      </w:r>
    </w:p>
    <w:p w14:paraId="472FDC4D"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法定代表人：朱小庆</w:t>
      </w:r>
    </w:p>
    <w:p w14:paraId="12235D60"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联系人：高超</w:t>
      </w:r>
    </w:p>
    <w:p w14:paraId="71C1F8D3"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通讯地址：青岛市市南区香港西路</w:t>
      </w:r>
      <w:r>
        <w:rPr>
          <w:rFonts w:ascii="宋体" w:eastAsia="宋体" w:hAnsi="宋体" w:cs="宋体" w:hint="eastAsia"/>
          <w:sz w:val="21"/>
          <w:szCs w:val="21"/>
        </w:rPr>
        <w:t>69</w:t>
      </w:r>
      <w:r>
        <w:rPr>
          <w:rFonts w:ascii="宋体" w:eastAsia="宋体" w:hAnsi="宋体" w:cs="宋体" w:hint="eastAsia"/>
          <w:sz w:val="21"/>
          <w:szCs w:val="21"/>
        </w:rPr>
        <w:t>号光大国际金融中心</w:t>
      </w:r>
      <w:r>
        <w:rPr>
          <w:rFonts w:ascii="宋体" w:eastAsia="宋体" w:hAnsi="宋体" w:cs="宋体" w:hint="eastAsia"/>
          <w:sz w:val="21"/>
          <w:szCs w:val="21"/>
        </w:rPr>
        <w:t>8</w:t>
      </w:r>
      <w:r>
        <w:rPr>
          <w:rFonts w:ascii="宋体" w:eastAsia="宋体" w:hAnsi="宋体" w:cs="宋体" w:hint="eastAsia"/>
          <w:sz w:val="21"/>
          <w:szCs w:val="21"/>
        </w:rPr>
        <w:t>楼</w:t>
      </w:r>
    </w:p>
    <w:p w14:paraId="3973A566"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联系电话：</w:t>
      </w:r>
      <w:r>
        <w:rPr>
          <w:rFonts w:ascii="宋体" w:eastAsia="宋体" w:hAnsi="宋体" w:cs="宋体" w:hint="eastAsia"/>
          <w:sz w:val="21"/>
          <w:szCs w:val="21"/>
        </w:rPr>
        <w:t>0532-81973522</w:t>
      </w:r>
    </w:p>
    <w:p w14:paraId="249CFF84"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、资产托管人的权利</w:t>
      </w:r>
    </w:p>
    <w:p w14:paraId="36032D0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）按照本合同的约定，依法保管资产管理计划财产；</w:t>
      </w:r>
    </w:p>
    <w:p w14:paraId="32E3BA6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）按照本合同的约定，及时、足额获得资产管理计划托管费用；</w:t>
      </w:r>
    </w:p>
    <w:p w14:paraId="65734FE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3</w:t>
      </w:r>
      <w:r>
        <w:rPr>
          <w:rFonts w:ascii="宋体" w:eastAsia="宋体" w:hAnsi="宋体" w:cs="宋体" w:hint="eastAsia"/>
          <w:sz w:val="21"/>
          <w:szCs w:val="21"/>
        </w:rPr>
        <w:t>）法律法规、中国证监会及基金业协会规定的和本合同约定的其他权利。</w:t>
      </w:r>
    </w:p>
    <w:p w14:paraId="13CDDB4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、资产托管人的义务</w:t>
      </w:r>
    </w:p>
    <w:p w14:paraId="5B62757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）安全保管资产管理计划财产；</w:t>
      </w:r>
    </w:p>
    <w:p w14:paraId="6B40DF9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w:t>
      </w:r>
      <w:r>
        <w:rPr>
          <w:rFonts w:ascii="宋体" w:eastAsia="宋体" w:hAnsi="宋体" w:cs="宋体" w:hint="eastAsia"/>
          <w:sz w:val="21"/>
          <w:szCs w:val="21"/>
        </w:rPr>
        <w:t xml:space="preserve"> </w:t>
      </w:r>
      <w:r>
        <w:rPr>
          <w:rFonts w:ascii="宋体" w:eastAsia="宋体" w:hAnsi="宋体" w:cs="宋体" w:hint="eastAsia"/>
          <w:sz w:val="21"/>
          <w:szCs w:val="21"/>
        </w:rPr>
        <w:t>除依据法律法规规定和本合同的约定外，不得为资产托管人及任何第三人谋取利益，不得委托第三人托管资产管理计划财产；</w:t>
      </w:r>
    </w:p>
    <w:p w14:paraId="32CEBF1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）对所托管的不同财产分别设置账户，确保资产管理计划财产的完整与独立；</w:t>
      </w:r>
    </w:p>
    <w:p w14:paraId="408656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）公平对待所托管的不同财产，不得从事任何有损资产管理计划财产及其他当事人利益的活动；</w:t>
      </w:r>
    </w:p>
    <w:p w14:paraId="7CAEC22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）按规定开设和注销委托财产的托管账户</w:t>
      </w:r>
      <w:r>
        <w:rPr>
          <w:rFonts w:ascii="宋体" w:eastAsia="宋体" w:hAnsi="宋体" w:cs="宋体" w:hint="eastAsia"/>
          <w:sz w:val="21"/>
          <w:szCs w:val="21"/>
        </w:rPr>
        <w:t>及其他投资所需账户；</w:t>
      </w:r>
    </w:p>
    <w:p w14:paraId="575C411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）复核资产管理计划资产净值和份额净值；</w:t>
      </w:r>
    </w:p>
    <w:p w14:paraId="0939FC3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7</w:t>
      </w:r>
      <w:r>
        <w:rPr>
          <w:rFonts w:ascii="宋体" w:eastAsia="宋体" w:hAnsi="宋体" w:cs="宋体" w:hint="eastAsia"/>
          <w:sz w:val="21"/>
          <w:szCs w:val="21"/>
        </w:rPr>
        <w:t>）办理与资产管理计划托管业务活动有关的信息披露事项；</w:t>
      </w:r>
    </w:p>
    <w:p w14:paraId="108E13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8</w:t>
      </w:r>
      <w:r>
        <w:rPr>
          <w:rFonts w:ascii="宋体" w:eastAsia="宋体" w:hAnsi="宋体" w:cs="宋体" w:hint="eastAsia"/>
          <w:sz w:val="21"/>
          <w:szCs w:val="21"/>
        </w:rPr>
        <w:t>）根据相关法律法规和资产管理合同约定，复核管理人编制的资产管理计划财产的定期报告，并出具书面意见；</w:t>
      </w:r>
    </w:p>
    <w:p w14:paraId="35A19F5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9</w:t>
      </w:r>
      <w:r>
        <w:rPr>
          <w:rFonts w:ascii="宋体" w:eastAsia="宋体" w:hAnsi="宋体" w:cs="宋体" w:hint="eastAsia"/>
          <w:sz w:val="21"/>
          <w:szCs w:val="21"/>
        </w:rPr>
        <w:t>）编制托管年度报告，并向基金业协会备案，抄报中国证监会相关派出机构；</w:t>
      </w:r>
    </w:p>
    <w:p w14:paraId="146B6D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10</w:t>
      </w:r>
      <w:r>
        <w:rPr>
          <w:rFonts w:ascii="宋体" w:eastAsia="宋体" w:hAnsi="宋体" w:cs="宋体" w:hint="eastAsia"/>
          <w:sz w:val="21"/>
          <w:szCs w:val="21"/>
        </w:rPr>
        <w:t>）按照法律法规要求和本合同的约定，根据资产管理人的投资指令，及时办理清算、交割事宜；</w:t>
      </w:r>
    </w:p>
    <w:p w14:paraId="78447E3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11</w:t>
      </w:r>
      <w:r>
        <w:rPr>
          <w:rFonts w:ascii="宋体" w:eastAsia="宋体" w:hAnsi="宋体" w:cs="宋体" w:hint="eastAsia"/>
          <w:sz w:val="21"/>
          <w:szCs w:val="21"/>
        </w:rPr>
        <w:t>）保守商业秘密，除法律法规、本合同及其他有关规定另有要求外，不得向他人泄露；</w:t>
      </w:r>
    </w:p>
    <w:p w14:paraId="76ABF28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12</w:t>
      </w:r>
      <w:r>
        <w:rPr>
          <w:rFonts w:ascii="宋体" w:eastAsia="宋体" w:hAnsi="宋体" w:cs="宋体" w:hint="eastAsia"/>
          <w:sz w:val="21"/>
          <w:szCs w:val="21"/>
        </w:rPr>
        <w:t>）根据法律、行政法规和中国证</w:t>
      </w:r>
      <w:r>
        <w:rPr>
          <w:rFonts w:ascii="宋体" w:eastAsia="宋体" w:hAnsi="宋体" w:cs="宋体" w:hint="eastAsia"/>
          <w:sz w:val="21"/>
          <w:szCs w:val="21"/>
        </w:rPr>
        <w:t>监会的规定保存资产管理计划的会计账册，妥善保存有关的合同、协议、交易记录等文件资料，保存期限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管理计划终止之日起不得少于</w:t>
      </w:r>
      <w:r>
        <w:rPr>
          <w:rFonts w:ascii="宋体" w:eastAsia="宋体" w:hAnsi="宋体" w:cs="宋体" w:hint="eastAsia"/>
          <w:sz w:val="21"/>
          <w:szCs w:val="21"/>
        </w:rPr>
        <w:t>20</w:t>
      </w:r>
      <w:r>
        <w:rPr>
          <w:rFonts w:ascii="宋体" w:eastAsia="宋体" w:hAnsi="宋体" w:cs="宋体" w:hint="eastAsia"/>
          <w:sz w:val="21"/>
          <w:szCs w:val="21"/>
        </w:rPr>
        <w:t>年；</w:t>
      </w:r>
    </w:p>
    <w:p w14:paraId="3D84155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13</w:t>
      </w:r>
      <w:r>
        <w:rPr>
          <w:rFonts w:ascii="宋体" w:eastAsia="宋体" w:hAnsi="宋体" w:cs="宋体" w:hint="eastAsia"/>
          <w:sz w:val="21"/>
          <w:szCs w:val="21"/>
        </w:rPr>
        <w:t>）监督管理人的投资运作，发现管理人的投资或清算指令违反法律、行政法规、中国证监会的规定或资产管理合同约定的，应当拒绝执行，立即通知管理人并及时报告中国证监会相关派出机构和证券投资基金业协会；</w:t>
      </w:r>
    </w:p>
    <w:p w14:paraId="0F344F0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14</w:t>
      </w:r>
      <w:r>
        <w:rPr>
          <w:rFonts w:ascii="宋体" w:eastAsia="宋体" w:hAnsi="宋体" w:cs="宋体" w:hint="eastAsia"/>
          <w:sz w:val="21"/>
          <w:szCs w:val="21"/>
        </w:rPr>
        <w:t>）设立专门的资产托管部门，具有符合要求的营业场所，配备足够的、合格的熟悉资产托管业务的专职人员，负责财产托管事宜；</w:t>
      </w:r>
    </w:p>
    <w:p w14:paraId="64C97D63" w14:textId="77777777" w:rsidR="00694F14" w:rsidRDefault="00A463B7">
      <w:pPr>
        <w:spacing w:line="360" w:lineRule="auto"/>
        <w:ind w:firstLine="480"/>
      </w:pPr>
      <w:r>
        <w:rPr>
          <w:rFonts w:ascii="宋体" w:eastAsia="宋体" w:hAnsi="宋体" w:cs="宋体" w:hint="eastAsia"/>
          <w:sz w:val="21"/>
          <w:szCs w:val="21"/>
        </w:rPr>
        <w:t>（</w:t>
      </w:r>
      <w:r>
        <w:rPr>
          <w:rFonts w:ascii="宋体" w:eastAsia="宋体" w:hAnsi="宋体" w:cs="宋体" w:hint="eastAsia"/>
          <w:sz w:val="21"/>
          <w:szCs w:val="21"/>
        </w:rPr>
        <w:t>15</w:t>
      </w:r>
      <w:r>
        <w:rPr>
          <w:rFonts w:ascii="宋体" w:eastAsia="宋体" w:hAnsi="宋体" w:cs="宋体" w:hint="eastAsia"/>
          <w:sz w:val="21"/>
          <w:szCs w:val="21"/>
        </w:rPr>
        <w:t>）投资于《管理办法》第三十七条第（五）项规定资产时，</w:t>
      </w:r>
      <w:r>
        <w:rPr>
          <w:rFonts w:ascii="宋体" w:eastAsia="宋体" w:hAnsi="宋体" w:cs="宋体" w:hint="eastAsia"/>
          <w:sz w:val="21"/>
          <w:szCs w:val="21"/>
        </w:rPr>
        <w:t>准确、合理界定安全保管资产管理计划财产、监督管理人投资运作等职责，并向投资者充分揭示（如涉及）；</w:t>
      </w:r>
    </w:p>
    <w:p w14:paraId="20DC2CB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6</w:t>
      </w:r>
      <w:r>
        <w:rPr>
          <w:rFonts w:ascii="宋体" w:eastAsia="宋体" w:hAnsi="宋体" w:cs="宋体" w:hint="eastAsia"/>
          <w:sz w:val="21"/>
          <w:szCs w:val="21"/>
        </w:rPr>
        <w:t>）法律法规、中国证监会及基金业协会规定的和本合同约定的其他义务。</w:t>
      </w:r>
    </w:p>
    <w:p w14:paraId="39AD061C" w14:textId="77777777" w:rsidR="00694F14" w:rsidRDefault="00694F14">
      <w:pPr>
        <w:spacing w:line="360" w:lineRule="auto"/>
        <w:ind w:firstLine="480"/>
        <w:rPr>
          <w:rFonts w:ascii="宋体" w:eastAsia="宋体" w:hAnsi="宋体" w:cs="宋体"/>
          <w:sz w:val="21"/>
          <w:szCs w:val="21"/>
        </w:rPr>
      </w:pPr>
    </w:p>
    <w:p w14:paraId="3DD02388" w14:textId="77777777" w:rsidR="00694F14" w:rsidRDefault="00A463B7">
      <w:pPr>
        <w:pStyle w:val="1"/>
        <w:spacing w:before="0" w:after="0" w:line="360" w:lineRule="auto"/>
        <w:jc w:val="center"/>
        <w:rPr>
          <w:rFonts w:ascii="宋体" w:eastAsia="宋体" w:hAnsi="宋体" w:cs="宋体"/>
          <w:sz w:val="21"/>
          <w:szCs w:val="21"/>
        </w:rPr>
      </w:pPr>
      <w:bookmarkStart w:id="15" w:name="_Toc70622184"/>
      <w:bookmarkStart w:id="16" w:name="_Toc401668931"/>
      <w:bookmarkStart w:id="17" w:name="_Toc194741907"/>
      <w:r>
        <w:rPr>
          <w:rFonts w:ascii="宋体" w:eastAsia="宋体" w:hAnsi="宋体" w:cs="宋体" w:hint="eastAsia"/>
          <w:sz w:val="21"/>
          <w:szCs w:val="21"/>
        </w:rPr>
        <w:t>五、资产管理计划的基本情况</w:t>
      </w:r>
      <w:bookmarkEnd w:id="15"/>
      <w:bookmarkEnd w:id="16"/>
    </w:p>
    <w:p w14:paraId="74EFFD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（一）资产管理计划的名称</w:t>
      </w:r>
    </w:p>
    <w:p w14:paraId="35DF390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color w:val="000000"/>
          <w:sz w:val="21"/>
          <w:szCs w:val="21"/>
        </w:rPr>
        <w:t>光大期货光大理财阳光橙精选</w:t>
      </w:r>
      <w:r>
        <w:rPr>
          <w:rFonts w:ascii="宋体" w:eastAsia="宋体" w:hAnsi="宋体" w:cs="宋体" w:hint="eastAsia"/>
          <w:color w:val="000000"/>
          <w:sz w:val="21"/>
          <w:szCs w:val="21"/>
        </w:rPr>
        <w:t>1</w:t>
      </w:r>
      <w:r>
        <w:rPr>
          <w:rFonts w:ascii="宋体" w:eastAsia="宋体" w:hAnsi="宋体" w:cs="宋体" w:hint="eastAsia"/>
          <w:color w:val="000000"/>
          <w:sz w:val="21"/>
          <w:szCs w:val="21"/>
        </w:rPr>
        <w:t>号</w:t>
      </w:r>
      <w:r>
        <w:rPr>
          <w:rFonts w:ascii="宋体" w:eastAsia="宋体" w:hAnsi="宋体" w:cs="宋体" w:hint="eastAsia"/>
          <w:sz w:val="21"/>
          <w:szCs w:val="21"/>
        </w:rPr>
        <w:t>】集合资产管理计划。</w:t>
      </w:r>
    </w:p>
    <w:p w14:paraId="4F9BB8E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（二）资产管理计划的类别</w:t>
      </w:r>
    </w:p>
    <w:p w14:paraId="24115D5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本计划为【混合类】集合资产管理计划。</w:t>
      </w:r>
    </w:p>
    <w:p w14:paraId="4935DFB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（三）资产管理计划的运作方式</w:t>
      </w:r>
    </w:p>
    <w:p w14:paraId="32D5446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color w:val="000000"/>
          <w:sz w:val="21"/>
          <w:szCs w:val="21"/>
        </w:rPr>
        <w:t>开放</w:t>
      </w:r>
      <w:r>
        <w:rPr>
          <w:rFonts w:ascii="宋体" w:eastAsia="宋体" w:hAnsi="宋体" w:cs="宋体" w:hint="eastAsia"/>
          <w:sz w:val="21"/>
          <w:szCs w:val="21"/>
        </w:rPr>
        <w:t>】式。开放日为每周一、</w:t>
      </w:r>
      <w:r>
        <w:rPr>
          <w:rFonts w:ascii="宋体" w:eastAsia="宋体" w:hAnsi="宋体" w:cs="宋体" w:hint="eastAsia"/>
          <w:sz w:val="21"/>
          <w:szCs w:val="21"/>
        </w:rPr>
        <w:t>二</w:t>
      </w:r>
      <w:r>
        <w:rPr>
          <w:rFonts w:ascii="宋体" w:eastAsia="宋体" w:hAnsi="宋体" w:cs="宋体" w:hint="eastAsia"/>
          <w:sz w:val="21"/>
          <w:szCs w:val="21"/>
        </w:rPr>
        <w:t>、</w:t>
      </w:r>
      <w:r>
        <w:rPr>
          <w:rFonts w:ascii="宋体" w:eastAsia="宋体" w:hAnsi="宋体" w:cs="宋体" w:hint="eastAsia"/>
          <w:sz w:val="21"/>
          <w:szCs w:val="21"/>
        </w:rPr>
        <w:t>四</w:t>
      </w:r>
      <w:r>
        <w:rPr>
          <w:rFonts w:ascii="宋体" w:eastAsia="宋体" w:hAnsi="宋体" w:cs="宋体" w:hint="eastAsia"/>
          <w:sz w:val="21"/>
          <w:szCs w:val="21"/>
        </w:rPr>
        <w:t>（如</w:t>
      </w:r>
      <w:proofErr w:type="gramStart"/>
      <w:r>
        <w:rPr>
          <w:rFonts w:ascii="宋体" w:eastAsia="宋体" w:hAnsi="宋体" w:cs="宋体" w:hint="eastAsia"/>
          <w:sz w:val="21"/>
          <w:szCs w:val="21"/>
        </w:rPr>
        <w:t>遇非交易</w:t>
      </w:r>
      <w:proofErr w:type="gramEnd"/>
      <w:r>
        <w:rPr>
          <w:rFonts w:ascii="宋体" w:eastAsia="宋体" w:hAnsi="宋体" w:cs="宋体" w:hint="eastAsia"/>
          <w:sz w:val="21"/>
          <w:szCs w:val="21"/>
        </w:rPr>
        <w:t>日，则不开放），在开放日，投资者可以参与或退出本计划。</w:t>
      </w:r>
    </w:p>
    <w:p w14:paraId="3AAE0F1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（四）资产管理计划的投资目标、主要投资方向、投资比例、产品风险等级</w:t>
      </w:r>
    </w:p>
    <w:p w14:paraId="4285BFDE" w14:textId="77777777" w:rsidR="00694F14" w:rsidRDefault="00A463B7">
      <w:pPr>
        <w:pStyle w:val="15"/>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本计划的投资目标：</w:t>
      </w:r>
    </w:p>
    <w:p w14:paraId="201E91AD"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在有效控制风险的前提下，追求委托财产的增值。</w:t>
      </w:r>
    </w:p>
    <w:p w14:paraId="4FC74E26" w14:textId="77777777" w:rsidR="00694F14" w:rsidRDefault="00A463B7">
      <w:pPr>
        <w:pStyle w:val="15"/>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本计划的主要投资方向：</w:t>
      </w:r>
    </w:p>
    <w:p w14:paraId="2C0DD967"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沪深交易所发行上市的股票（包括主板、中小板、创业板、</w:t>
      </w:r>
      <w:proofErr w:type="gramStart"/>
      <w:r>
        <w:rPr>
          <w:rFonts w:ascii="宋体" w:eastAsia="宋体" w:hAnsi="宋体" w:cs="宋体" w:hint="eastAsia"/>
          <w:sz w:val="21"/>
          <w:szCs w:val="21"/>
        </w:rPr>
        <w:t>科创板</w:t>
      </w:r>
      <w:proofErr w:type="gramEnd"/>
      <w:r>
        <w:rPr>
          <w:rFonts w:ascii="宋体" w:eastAsia="宋体" w:hAnsi="宋体" w:cs="宋体" w:hint="eastAsia"/>
          <w:sz w:val="21"/>
          <w:szCs w:val="21"/>
        </w:rPr>
        <w:t>及其他经中国证监会核准上市的股票，含新股申购）；港股通标的范围内的股票；银行间及交易所债券、中央银行票据、资产支持证券、资产支持票据；公募证券投资基金（含封闭式及开放式证券投资基金、</w:t>
      </w:r>
      <w:r>
        <w:rPr>
          <w:rFonts w:ascii="宋体" w:eastAsia="宋体" w:hAnsi="宋体" w:cs="宋体" w:hint="eastAsia"/>
          <w:sz w:val="21"/>
          <w:szCs w:val="21"/>
        </w:rPr>
        <w:t>LOF</w:t>
      </w:r>
      <w:r>
        <w:rPr>
          <w:rFonts w:ascii="宋体" w:eastAsia="宋体" w:hAnsi="宋体" w:cs="宋体" w:hint="eastAsia"/>
          <w:sz w:val="21"/>
          <w:szCs w:val="21"/>
        </w:rPr>
        <w:t>、</w:t>
      </w:r>
      <w:r>
        <w:rPr>
          <w:rFonts w:ascii="宋体" w:eastAsia="宋体" w:hAnsi="宋体" w:cs="宋体" w:hint="eastAsia"/>
          <w:sz w:val="21"/>
          <w:szCs w:val="21"/>
        </w:rPr>
        <w:t>ETF</w:t>
      </w:r>
      <w:r>
        <w:rPr>
          <w:rFonts w:ascii="宋体" w:eastAsia="宋体" w:hAnsi="宋体" w:cs="宋体" w:hint="eastAsia"/>
          <w:sz w:val="21"/>
          <w:szCs w:val="21"/>
        </w:rPr>
        <w:t>基金）；银行存款（含现金、定期存</w:t>
      </w:r>
      <w:r>
        <w:rPr>
          <w:rFonts w:ascii="宋体" w:eastAsia="宋体" w:hAnsi="宋体" w:cs="宋体" w:hint="eastAsia"/>
          <w:sz w:val="21"/>
          <w:szCs w:val="21"/>
        </w:rPr>
        <w:t>款、活期存款、协议存款）、债券逆回购、债券正回购、货币市场基金；股指期货、商品期货、国债期货、交易所上市的期权以及法律法规、中国证监会允许期货公司资产管理计划投资的其他金融工具。</w:t>
      </w:r>
    </w:p>
    <w:p w14:paraId="2A5A16D7" w14:textId="77777777" w:rsidR="00694F14" w:rsidRDefault="00A463B7">
      <w:pPr>
        <w:pStyle w:val="15"/>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特别予以说明，本计划可进行债券回购（债券正回购、债券逆回购）、融资融券、转融通证券出借交易。</w:t>
      </w:r>
    </w:p>
    <w:p w14:paraId="5D2B0873"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b/>
          <w:bCs/>
          <w:sz w:val="21"/>
          <w:szCs w:val="21"/>
        </w:rPr>
        <w:t>资产管理人在进行期权、港股通标的范围内的股票投资、</w:t>
      </w:r>
      <w:r>
        <w:rPr>
          <w:rFonts w:ascii="宋体" w:eastAsia="宋体" w:hAnsi="宋体" w:cs="宋体" w:hint="eastAsia"/>
          <w:b/>
          <w:color w:val="000000"/>
          <w:sz w:val="21"/>
          <w:szCs w:val="21"/>
        </w:rPr>
        <w:t>转融通证券出借交易</w:t>
      </w:r>
      <w:r>
        <w:rPr>
          <w:rFonts w:ascii="宋体" w:eastAsia="宋体" w:hAnsi="宋体" w:cs="宋体" w:hint="eastAsia"/>
          <w:b/>
          <w:bCs/>
          <w:sz w:val="21"/>
          <w:szCs w:val="21"/>
        </w:rPr>
        <w:t>前，必须与资产托管人就交收结算、核算估值等业务规则和流程进行沟通确定，在系统测试通过后才可投资，否则，由此产生的风险由资产管理人承担。</w:t>
      </w:r>
    </w:p>
    <w:p w14:paraId="56F01584" w14:textId="77777777" w:rsidR="00694F14" w:rsidRDefault="00A463B7">
      <w:pPr>
        <w:pStyle w:val="15"/>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本计划的投资比例</w:t>
      </w:r>
    </w:p>
    <w:p w14:paraId="53765ED1"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）投资于存款</w:t>
      </w:r>
      <w:r>
        <w:rPr>
          <w:rFonts w:ascii="宋体" w:eastAsia="宋体" w:hAnsi="宋体" w:cs="宋体" w:hint="eastAsia"/>
          <w:sz w:val="21"/>
          <w:szCs w:val="21"/>
        </w:rPr>
        <w:t>、债券等债权类资产的比例低于资产管理计划总资产的</w:t>
      </w:r>
      <w:r>
        <w:rPr>
          <w:rFonts w:ascii="宋体" w:eastAsia="宋体" w:hAnsi="宋体" w:cs="宋体" w:hint="eastAsia"/>
          <w:sz w:val="21"/>
          <w:szCs w:val="21"/>
        </w:rPr>
        <w:t>80%</w:t>
      </w:r>
      <w:r>
        <w:rPr>
          <w:rFonts w:ascii="宋体" w:eastAsia="宋体" w:hAnsi="宋体" w:cs="宋体" w:hint="eastAsia"/>
          <w:sz w:val="21"/>
          <w:szCs w:val="21"/>
        </w:rPr>
        <w:t>；</w:t>
      </w:r>
    </w:p>
    <w:p w14:paraId="7F20470C"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）投资于股票等权益类资产的比例低于资产管理计划总资产的</w:t>
      </w:r>
      <w:r>
        <w:rPr>
          <w:rFonts w:ascii="宋体" w:eastAsia="宋体" w:hAnsi="宋体" w:cs="宋体" w:hint="eastAsia"/>
          <w:sz w:val="21"/>
          <w:szCs w:val="21"/>
        </w:rPr>
        <w:t>80%</w:t>
      </w:r>
      <w:r>
        <w:rPr>
          <w:rFonts w:ascii="宋体" w:eastAsia="宋体" w:hAnsi="宋体" w:cs="宋体" w:hint="eastAsia"/>
          <w:sz w:val="21"/>
          <w:szCs w:val="21"/>
        </w:rPr>
        <w:t>；</w:t>
      </w:r>
    </w:p>
    <w:p w14:paraId="1452905F"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）投资于商品及金融衍生品的持仓合约价值比例低于资产管理计划总资产</w:t>
      </w:r>
      <w:r>
        <w:rPr>
          <w:rFonts w:ascii="宋体" w:eastAsia="宋体" w:hAnsi="宋体" w:cs="宋体" w:hint="eastAsia"/>
          <w:sz w:val="21"/>
          <w:szCs w:val="21"/>
        </w:rPr>
        <w:t>80%</w:t>
      </w:r>
      <w:r>
        <w:rPr>
          <w:rFonts w:ascii="宋体" w:eastAsia="宋体" w:hAnsi="宋体" w:cs="宋体" w:hint="eastAsia"/>
          <w:sz w:val="21"/>
          <w:szCs w:val="21"/>
        </w:rPr>
        <w:t>，或衍生品账户权益不超过资产管理计划总资产的</w:t>
      </w:r>
      <w:r>
        <w:rPr>
          <w:rFonts w:ascii="宋体" w:eastAsia="宋体" w:hAnsi="宋体" w:cs="宋体" w:hint="eastAsia"/>
          <w:sz w:val="21"/>
          <w:szCs w:val="21"/>
        </w:rPr>
        <w:t>20%</w:t>
      </w:r>
      <w:r>
        <w:rPr>
          <w:rFonts w:ascii="宋体" w:eastAsia="宋体" w:hAnsi="宋体" w:cs="宋体" w:hint="eastAsia"/>
          <w:sz w:val="21"/>
          <w:szCs w:val="21"/>
        </w:rPr>
        <w:t>；</w:t>
      </w:r>
    </w:p>
    <w:p w14:paraId="3E794D7A"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）投资于同一资产的资金，不得超过计划资产净值的</w:t>
      </w:r>
      <w:r>
        <w:rPr>
          <w:rFonts w:ascii="宋体" w:eastAsia="宋体" w:hAnsi="宋体" w:cs="宋体" w:hint="eastAsia"/>
          <w:sz w:val="21"/>
          <w:szCs w:val="21"/>
        </w:rPr>
        <w:t>25%</w:t>
      </w:r>
      <w:r>
        <w:rPr>
          <w:rFonts w:ascii="宋体" w:eastAsia="宋体" w:hAnsi="宋体" w:cs="宋体" w:hint="eastAsia"/>
          <w:sz w:val="21"/>
          <w:szCs w:val="21"/>
        </w:rPr>
        <w:t>，管理人管理的全部集合资产管理计划投资于同一资产的资金，不得超过该资产的</w:t>
      </w:r>
      <w:r>
        <w:rPr>
          <w:rFonts w:ascii="宋体" w:eastAsia="宋体" w:hAnsi="宋体" w:cs="宋体" w:hint="eastAsia"/>
          <w:sz w:val="21"/>
          <w:szCs w:val="21"/>
        </w:rPr>
        <w:t>25%</w:t>
      </w:r>
      <w:r>
        <w:rPr>
          <w:rFonts w:ascii="宋体" w:eastAsia="宋体" w:hAnsi="宋体" w:cs="宋体" w:hint="eastAsia"/>
          <w:sz w:val="21"/>
          <w:szCs w:val="21"/>
        </w:rPr>
        <w:t>，银行活期存款、国债、中央银行票据、政策性金融债、</w:t>
      </w:r>
      <w:r>
        <w:rPr>
          <w:rFonts w:ascii="宋体" w:eastAsia="宋体" w:hAnsi="宋体" w:cs="宋体" w:hint="eastAsia"/>
          <w:sz w:val="21"/>
          <w:szCs w:val="21"/>
        </w:rPr>
        <w:lastRenderedPageBreak/>
        <w:t>地方政府债券等中国证监会认可的投资品种除外。</w:t>
      </w:r>
    </w:p>
    <w:p w14:paraId="4E9E074E"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本计划符合《运作规定》组合投</w:t>
      </w:r>
      <w:r>
        <w:rPr>
          <w:rFonts w:ascii="宋体" w:eastAsia="宋体" w:hAnsi="宋体" w:cs="宋体" w:hint="eastAsia"/>
          <w:sz w:val="21"/>
          <w:szCs w:val="21"/>
        </w:rPr>
        <w:t>资的要求。</w:t>
      </w:r>
    </w:p>
    <w:p w14:paraId="1F8B07D7"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本计划投资于其他资产管理产品的，计算本计划的总资产时按照穿透原则合并计算所投资资产管理产品的总资产。</w:t>
      </w:r>
    </w:p>
    <w:p w14:paraId="33B8880A"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本计划的建仓期为自本计划成立之日起</w:t>
      </w:r>
      <w:r>
        <w:rPr>
          <w:rFonts w:ascii="宋体" w:eastAsia="宋体" w:hAnsi="宋体" w:cs="宋体" w:hint="eastAsia"/>
          <w:sz w:val="21"/>
          <w:szCs w:val="21"/>
        </w:rPr>
        <w:t>6</w:t>
      </w:r>
      <w:r>
        <w:rPr>
          <w:rFonts w:ascii="宋体" w:eastAsia="宋体" w:hAnsi="宋体" w:cs="宋体" w:hint="eastAsia"/>
          <w:sz w:val="21"/>
          <w:szCs w:val="21"/>
        </w:rPr>
        <w:t>个月。</w:t>
      </w:r>
    </w:p>
    <w:p w14:paraId="4947C5AB"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本计划建仓期的投资活动，应当符合</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管理合同约定的投向和资产管理计划的风险收益特征。以现金管理为目的，投资于银行活期存款、货币市场基金的除外。</w:t>
      </w:r>
    </w:p>
    <w:p w14:paraId="61770963"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建仓期结束后，资产管理计划的资产组合应当符合法律、行政法规、中国证监会规定和合同约定的投向和比例。</w:t>
      </w:r>
    </w:p>
    <w:p w14:paraId="2EAFF3C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本计划减</w:t>
      </w:r>
      <w:proofErr w:type="gramStart"/>
      <w:r>
        <w:rPr>
          <w:rFonts w:ascii="宋体" w:eastAsia="宋体" w:hAnsi="宋体" w:cs="宋体" w:hint="eastAsia"/>
          <w:sz w:val="21"/>
          <w:szCs w:val="21"/>
        </w:rPr>
        <w:t>持期自计划</w:t>
      </w:r>
      <w:proofErr w:type="gramEnd"/>
      <w:r>
        <w:rPr>
          <w:rFonts w:ascii="宋体" w:eastAsia="宋体" w:hAnsi="宋体" w:cs="宋体" w:hint="eastAsia"/>
          <w:sz w:val="21"/>
          <w:szCs w:val="21"/>
        </w:rPr>
        <w:t>终止之日前</w:t>
      </w:r>
      <w:r>
        <w:rPr>
          <w:rFonts w:ascii="宋体" w:eastAsia="宋体" w:hAnsi="宋体" w:cs="宋体" w:hint="eastAsia"/>
          <w:sz w:val="21"/>
          <w:szCs w:val="21"/>
        </w:rPr>
        <w:t>6</w:t>
      </w:r>
      <w:r>
        <w:rPr>
          <w:rFonts w:ascii="宋体" w:eastAsia="宋体" w:hAnsi="宋体" w:cs="宋体" w:hint="eastAsia"/>
          <w:sz w:val="21"/>
          <w:szCs w:val="21"/>
        </w:rPr>
        <w:t>个月内，</w:t>
      </w:r>
      <w:proofErr w:type="gramStart"/>
      <w:r>
        <w:rPr>
          <w:rFonts w:ascii="宋体" w:eastAsia="宋体" w:hAnsi="宋体" w:cs="宋体" w:hint="eastAsia"/>
          <w:sz w:val="21"/>
          <w:szCs w:val="21"/>
        </w:rPr>
        <w:t>减持期内</w:t>
      </w:r>
      <w:proofErr w:type="gramEnd"/>
      <w:r>
        <w:rPr>
          <w:rFonts w:ascii="宋体" w:eastAsia="宋体" w:hAnsi="宋体" w:cs="宋体" w:hint="eastAsia"/>
          <w:sz w:val="21"/>
          <w:szCs w:val="21"/>
        </w:rPr>
        <w:t>的投资比例可以不受上述限制。</w:t>
      </w:r>
    </w:p>
    <w:p w14:paraId="2F27165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除上述情况外，本计划改变投向和比例的，应当事先取得全体资产委托人及资产托管人同意，并按规定履行合同变更程序。</w:t>
      </w:r>
    </w:p>
    <w:p w14:paraId="09900E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法律法规或监管部门取消上述限制，如适用于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管理计划，资产管理人在取得全体资产委托人及资产托管人同意后，本计划投资不再受相关限制。法律法规或监管部门另有规定的，从其规定。</w:t>
      </w:r>
    </w:p>
    <w:p w14:paraId="767B90C8" w14:textId="77777777" w:rsidR="00694F14" w:rsidRDefault="00A463B7">
      <w:pPr>
        <w:pStyle w:val="15"/>
        <w:numPr>
          <w:ilvl w:val="0"/>
          <w:numId w:val="1"/>
        </w:numPr>
        <w:spacing w:line="360" w:lineRule="auto"/>
        <w:rPr>
          <w:rFonts w:ascii="宋体" w:eastAsia="宋体" w:hAnsi="宋体" w:cs="宋体"/>
          <w:sz w:val="21"/>
          <w:szCs w:val="21"/>
        </w:rPr>
      </w:pPr>
      <w:r>
        <w:rPr>
          <w:rFonts w:ascii="宋体" w:eastAsia="宋体" w:hAnsi="宋体" w:cs="宋体" w:hint="eastAsia"/>
          <w:sz w:val="21"/>
          <w:szCs w:val="21"/>
        </w:rPr>
        <w:t>本计划风险等级</w:t>
      </w:r>
    </w:p>
    <w:p w14:paraId="7D6E45B5"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b/>
          <w:bCs/>
          <w:sz w:val="21"/>
          <w:szCs w:val="21"/>
        </w:rPr>
        <w:t>本计划风险等级为【</w:t>
      </w:r>
      <w:r>
        <w:rPr>
          <w:rFonts w:ascii="宋体" w:eastAsia="宋体" w:hAnsi="宋体" w:cs="宋体" w:hint="eastAsia"/>
          <w:b/>
          <w:bCs/>
          <w:sz w:val="21"/>
          <w:szCs w:val="21"/>
        </w:rPr>
        <w:t>R4</w:t>
      </w:r>
      <w:r>
        <w:rPr>
          <w:rFonts w:ascii="宋体" w:eastAsia="宋体" w:hAnsi="宋体" w:cs="宋体" w:hint="eastAsia"/>
          <w:b/>
          <w:bCs/>
          <w:sz w:val="21"/>
          <w:szCs w:val="21"/>
        </w:rPr>
        <w:t>】，适合专业投资者和风险识别、评估、承受能力为【</w:t>
      </w:r>
      <w:r>
        <w:rPr>
          <w:rFonts w:ascii="宋体" w:eastAsia="宋体" w:hAnsi="宋体" w:cs="宋体" w:hint="eastAsia"/>
          <w:b/>
          <w:bCs/>
          <w:sz w:val="21"/>
          <w:szCs w:val="21"/>
        </w:rPr>
        <w:t>C4</w:t>
      </w:r>
      <w:r>
        <w:rPr>
          <w:rFonts w:ascii="宋体" w:eastAsia="宋体" w:hAnsi="宋体" w:cs="宋体" w:hint="eastAsia"/>
          <w:b/>
          <w:bCs/>
          <w:sz w:val="21"/>
          <w:szCs w:val="21"/>
        </w:rPr>
        <w:t>、</w:t>
      </w:r>
      <w:r>
        <w:rPr>
          <w:rFonts w:ascii="宋体" w:eastAsia="宋体" w:hAnsi="宋体" w:cs="宋体" w:hint="eastAsia"/>
          <w:b/>
          <w:bCs/>
          <w:sz w:val="21"/>
          <w:szCs w:val="21"/>
        </w:rPr>
        <w:t>C5</w:t>
      </w:r>
      <w:r>
        <w:rPr>
          <w:rFonts w:ascii="宋体" w:eastAsia="宋体" w:hAnsi="宋体" w:cs="宋体" w:hint="eastAsia"/>
          <w:b/>
          <w:bCs/>
          <w:sz w:val="21"/>
          <w:szCs w:val="21"/>
        </w:rPr>
        <w:t>】的普通投资者</w:t>
      </w:r>
      <w:r>
        <w:rPr>
          <w:rFonts w:ascii="宋体" w:eastAsia="宋体" w:hAnsi="宋体" w:cs="宋体" w:hint="eastAsia"/>
          <w:sz w:val="21"/>
          <w:szCs w:val="21"/>
        </w:rPr>
        <w:t>。</w:t>
      </w:r>
    </w:p>
    <w:p w14:paraId="0A75371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（五）资产管理计划的存续期限</w:t>
      </w:r>
    </w:p>
    <w:p w14:paraId="4DCFAE25" w14:textId="77777777" w:rsidR="00694F14" w:rsidRDefault="00A463B7">
      <w:pPr>
        <w:spacing w:line="360" w:lineRule="auto"/>
        <w:ind w:firstLine="720"/>
        <w:rPr>
          <w:rFonts w:ascii="宋体" w:eastAsia="宋体" w:hAnsi="宋体" w:cs="宋体"/>
          <w:sz w:val="21"/>
          <w:szCs w:val="21"/>
        </w:rPr>
      </w:pPr>
      <w:r>
        <w:rPr>
          <w:rFonts w:ascii="宋体" w:eastAsia="宋体" w:hAnsi="宋体" w:cs="宋体" w:hint="eastAsia"/>
          <w:sz w:val="21"/>
          <w:szCs w:val="21"/>
        </w:rPr>
        <w:t>本计划存续期限为自本计划成立之日起至</w:t>
      </w:r>
      <w:r>
        <w:rPr>
          <w:rFonts w:ascii="宋体" w:eastAsia="宋体" w:hAnsi="宋体" w:cs="宋体" w:hint="eastAsia"/>
          <w:sz w:val="21"/>
          <w:szCs w:val="21"/>
        </w:rPr>
        <w:t>5</w:t>
      </w:r>
      <w:r>
        <w:rPr>
          <w:rFonts w:ascii="宋体" w:eastAsia="宋体" w:hAnsi="宋体" w:cs="宋体" w:hint="eastAsia"/>
          <w:sz w:val="21"/>
          <w:szCs w:val="21"/>
        </w:rPr>
        <w:t>年后年度对日止。如管理期限届满日为</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日，则管理期限届满日顺延至下一个交易日。经全体资产委托人、资产管理人和资产托管人协商一致后，可以对计划进行延期或提前终止。</w:t>
      </w:r>
    </w:p>
    <w:p w14:paraId="3358A92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（六）资产管理计划的最低初始募集规模</w:t>
      </w:r>
    </w:p>
    <w:p w14:paraId="6B5DB2E7"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管理计划成立时资产管理计划财产的初始资产不得低于</w:t>
      </w:r>
      <w:r>
        <w:rPr>
          <w:rFonts w:ascii="宋体" w:eastAsia="宋体" w:hAnsi="宋体" w:cs="宋体" w:hint="eastAsia"/>
          <w:sz w:val="21"/>
          <w:szCs w:val="21"/>
        </w:rPr>
        <w:t>1000</w:t>
      </w:r>
      <w:r>
        <w:rPr>
          <w:rFonts w:ascii="宋体" w:eastAsia="宋体" w:hAnsi="宋体" w:cs="宋体" w:hint="eastAsia"/>
          <w:sz w:val="21"/>
          <w:szCs w:val="21"/>
        </w:rPr>
        <w:t>万元人民币，但法律法规、监管机构及自律组织另有规定的除外。</w:t>
      </w:r>
    </w:p>
    <w:p w14:paraId="04A5262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（七）资产管理计划份额的初始募集面值</w:t>
      </w:r>
    </w:p>
    <w:p w14:paraId="4EB679A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人民币</w:t>
      </w:r>
      <w:r>
        <w:rPr>
          <w:rFonts w:ascii="宋体" w:eastAsia="宋体" w:hAnsi="宋体" w:cs="宋体" w:hint="eastAsia"/>
          <w:sz w:val="21"/>
          <w:szCs w:val="21"/>
        </w:rPr>
        <w:t>1.00</w:t>
      </w:r>
      <w:r>
        <w:rPr>
          <w:rFonts w:ascii="宋体" w:eastAsia="宋体" w:hAnsi="宋体" w:cs="宋体" w:hint="eastAsia"/>
          <w:sz w:val="21"/>
          <w:szCs w:val="21"/>
        </w:rPr>
        <w:t>元。</w:t>
      </w:r>
    </w:p>
    <w:p w14:paraId="49666F7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（八）资产管理计划的分级安排</w:t>
      </w:r>
    </w:p>
    <w:p w14:paraId="79CFC421" w14:textId="77777777" w:rsidR="00694F14" w:rsidRDefault="00A463B7">
      <w:pPr>
        <w:spacing w:line="360" w:lineRule="auto"/>
        <w:ind w:firstLine="720"/>
        <w:rPr>
          <w:rFonts w:ascii="宋体" w:eastAsia="宋体" w:hAnsi="宋体" w:cs="宋体"/>
          <w:sz w:val="21"/>
          <w:szCs w:val="21"/>
        </w:rPr>
      </w:pPr>
      <w:r>
        <w:rPr>
          <w:rFonts w:ascii="宋体" w:eastAsia="宋体" w:hAnsi="宋体" w:cs="宋体" w:hint="eastAsia"/>
          <w:sz w:val="21"/>
          <w:szCs w:val="21"/>
        </w:rPr>
        <w:t>本计划不进行分级安排。</w:t>
      </w:r>
    </w:p>
    <w:p w14:paraId="32A42F4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（九）资产管理计划的份额登记、估值与核算、信息技术系统等服务机构</w:t>
      </w:r>
    </w:p>
    <w:p w14:paraId="5FB5C7D3" w14:textId="77777777" w:rsidR="00694F14" w:rsidRDefault="00A463B7">
      <w:pPr>
        <w:spacing w:line="360" w:lineRule="auto"/>
        <w:ind w:left="60" w:firstLine="420"/>
        <w:rPr>
          <w:rFonts w:ascii="宋体" w:eastAsia="宋体" w:hAnsi="宋体" w:cs="宋体"/>
          <w:sz w:val="21"/>
          <w:szCs w:val="21"/>
        </w:rPr>
      </w:pPr>
      <w:r>
        <w:rPr>
          <w:rFonts w:ascii="宋体" w:eastAsia="宋体" w:hAnsi="宋体" w:cs="宋体" w:hint="eastAsia"/>
          <w:sz w:val="21"/>
          <w:szCs w:val="21"/>
        </w:rPr>
        <w:t>本计划的份</w:t>
      </w:r>
      <w:r>
        <w:rPr>
          <w:rFonts w:ascii="宋体" w:eastAsia="宋体" w:hAnsi="宋体" w:cs="宋体" w:hint="eastAsia"/>
          <w:sz w:val="21"/>
          <w:szCs w:val="21"/>
        </w:rPr>
        <w:t>额登记、估值与核算机构皆为【光大证券股份有限公司】，在证券投资基金业协会登记的业务登记编码为【</w:t>
      </w:r>
      <w:r>
        <w:rPr>
          <w:rFonts w:ascii="宋体" w:eastAsia="宋体" w:hAnsi="宋体" w:cs="宋体" w:hint="eastAsia"/>
          <w:sz w:val="21"/>
          <w:szCs w:val="21"/>
        </w:rPr>
        <w:t>A00037</w:t>
      </w:r>
      <w:r>
        <w:rPr>
          <w:rFonts w:ascii="宋体" w:eastAsia="宋体" w:hAnsi="宋体" w:cs="宋体" w:hint="eastAsia"/>
          <w:sz w:val="21"/>
          <w:szCs w:val="21"/>
        </w:rPr>
        <w:t>】。</w:t>
      </w:r>
    </w:p>
    <w:p w14:paraId="5BBFC31E" w14:textId="77777777" w:rsidR="00694F14" w:rsidRDefault="00A463B7">
      <w:pPr>
        <w:spacing w:line="360" w:lineRule="auto"/>
        <w:ind w:firstLine="540"/>
        <w:rPr>
          <w:rFonts w:ascii="宋体" w:eastAsia="宋体" w:hAnsi="宋体" w:cs="宋体"/>
          <w:color w:val="000000"/>
          <w:sz w:val="21"/>
          <w:szCs w:val="21"/>
        </w:rPr>
      </w:pPr>
      <w:r>
        <w:rPr>
          <w:rFonts w:ascii="宋体" w:eastAsia="宋体" w:hAnsi="宋体" w:cs="宋体" w:hint="eastAsia"/>
          <w:color w:val="000000"/>
          <w:sz w:val="21"/>
          <w:szCs w:val="21"/>
        </w:rPr>
        <w:t>（十）投资顾问相关事项说明</w:t>
      </w:r>
    </w:p>
    <w:p w14:paraId="66AD2B17" w14:textId="77777777" w:rsidR="00694F14" w:rsidRDefault="00A463B7">
      <w:pPr>
        <w:spacing w:line="360" w:lineRule="auto"/>
        <w:ind w:firstLine="540"/>
        <w:rPr>
          <w:rFonts w:ascii="宋体" w:eastAsia="宋体" w:hAnsi="宋体" w:cs="宋体"/>
          <w:color w:val="000000"/>
          <w:sz w:val="21"/>
          <w:szCs w:val="21"/>
        </w:rPr>
      </w:pPr>
      <w:r>
        <w:rPr>
          <w:rFonts w:ascii="宋体" w:eastAsia="宋体" w:hAnsi="宋体" w:cs="宋体" w:hint="eastAsia"/>
          <w:color w:val="000000"/>
          <w:sz w:val="21"/>
          <w:szCs w:val="21"/>
        </w:rPr>
        <w:t>本计划成立之时，</w:t>
      </w:r>
      <w:proofErr w:type="gramStart"/>
      <w:r>
        <w:rPr>
          <w:rFonts w:ascii="宋体" w:eastAsia="宋体" w:hAnsi="宋体" w:cs="宋体" w:hint="eastAsia"/>
          <w:color w:val="000000"/>
          <w:sz w:val="21"/>
          <w:szCs w:val="21"/>
        </w:rPr>
        <w:t>不</w:t>
      </w:r>
      <w:proofErr w:type="gramEnd"/>
      <w:r>
        <w:rPr>
          <w:rFonts w:ascii="宋体" w:eastAsia="宋体" w:hAnsi="宋体" w:cs="宋体" w:hint="eastAsia"/>
          <w:color w:val="000000"/>
          <w:sz w:val="21"/>
          <w:szCs w:val="21"/>
        </w:rPr>
        <w:t>聘用投资顾问。</w:t>
      </w:r>
    </w:p>
    <w:p w14:paraId="1C5AFF5A"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（十一）其他</w:t>
      </w:r>
    </w:p>
    <w:p w14:paraId="6A02EC0C"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除本合同另有约定外</w:t>
      </w:r>
      <w:r>
        <w:rPr>
          <w:rFonts w:ascii="宋体" w:eastAsia="宋体" w:hAnsi="宋体" w:cs="宋体" w:hint="eastAsia"/>
          <w:sz w:val="21"/>
          <w:szCs w:val="21"/>
        </w:rPr>
        <w:t>,</w:t>
      </w:r>
      <w:r>
        <w:rPr>
          <w:rFonts w:ascii="宋体" w:eastAsia="宋体" w:hAnsi="宋体" w:cs="宋体" w:hint="eastAsia"/>
          <w:sz w:val="21"/>
          <w:szCs w:val="21"/>
        </w:rPr>
        <w:t>资产管理计划应当设定为均等份额，每份计划份额具有同等的合法权益。</w:t>
      </w:r>
    </w:p>
    <w:p w14:paraId="0D2665B9" w14:textId="77777777" w:rsidR="00694F14" w:rsidRDefault="00694F14">
      <w:pPr>
        <w:spacing w:line="360" w:lineRule="auto"/>
        <w:ind w:firstLine="540"/>
        <w:rPr>
          <w:rFonts w:ascii="宋体" w:eastAsia="宋体" w:hAnsi="宋体" w:cs="宋体"/>
          <w:sz w:val="21"/>
          <w:szCs w:val="21"/>
        </w:rPr>
      </w:pPr>
    </w:p>
    <w:p w14:paraId="15192A20" w14:textId="77777777" w:rsidR="00694F14" w:rsidRDefault="00A463B7">
      <w:pPr>
        <w:pStyle w:val="1"/>
        <w:spacing w:before="0" w:after="0" w:line="360" w:lineRule="auto"/>
        <w:jc w:val="center"/>
        <w:rPr>
          <w:rFonts w:ascii="宋体" w:eastAsia="宋体" w:hAnsi="宋体" w:cs="宋体"/>
          <w:sz w:val="21"/>
          <w:szCs w:val="21"/>
        </w:rPr>
      </w:pPr>
      <w:bookmarkStart w:id="18" w:name="_Toc401668932"/>
      <w:bookmarkStart w:id="19" w:name="_Toc70622185"/>
      <w:r>
        <w:rPr>
          <w:rFonts w:ascii="宋体" w:eastAsia="宋体" w:hAnsi="宋体" w:cs="宋体" w:hint="eastAsia"/>
          <w:sz w:val="21"/>
          <w:szCs w:val="21"/>
        </w:rPr>
        <w:t>六、资产管理计划的</w:t>
      </w:r>
      <w:bookmarkEnd w:id="18"/>
      <w:r>
        <w:rPr>
          <w:rFonts w:ascii="宋体" w:eastAsia="宋体" w:hAnsi="宋体" w:cs="宋体" w:hint="eastAsia"/>
          <w:sz w:val="21"/>
          <w:szCs w:val="21"/>
        </w:rPr>
        <w:t>募集</w:t>
      </w:r>
      <w:bookmarkEnd w:id="19"/>
    </w:p>
    <w:p w14:paraId="0171BEC8"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（一）资产管理计划的募集期限、募集方式、募集对象</w:t>
      </w:r>
    </w:p>
    <w:p w14:paraId="03B0B821"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、募集期限</w:t>
      </w:r>
    </w:p>
    <w:p w14:paraId="2D9489AE" w14:textId="77777777" w:rsidR="00694F14" w:rsidRDefault="00A463B7">
      <w:pPr>
        <w:spacing w:line="360" w:lineRule="auto"/>
        <w:ind w:firstLine="42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管理计划的初始募集期</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管理计划份额发售之日起最长不超过</w:t>
      </w:r>
      <w:r>
        <w:rPr>
          <w:rFonts w:ascii="宋体" w:eastAsia="宋体" w:hAnsi="宋体" w:cs="宋体" w:hint="eastAsia"/>
          <w:sz w:val="21"/>
          <w:szCs w:val="21"/>
        </w:rPr>
        <w:t>60</w:t>
      </w:r>
      <w:r>
        <w:rPr>
          <w:rFonts w:ascii="宋体" w:eastAsia="宋体" w:hAnsi="宋体" w:cs="宋体" w:hint="eastAsia"/>
          <w:sz w:val="21"/>
          <w:szCs w:val="21"/>
        </w:rPr>
        <w:t>日。具体时间由资产管理人根据相关法律法规以及本合同的规定确定，并在计划说明书中披露。在初始募集期间，资产管理人可与代理销售机构协商决定提前终止初始募集。</w:t>
      </w:r>
    </w:p>
    <w:p w14:paraId="3672A652"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、募集方式</w:t>
      </w:r>
    </w:p>
    <w:p w14:paraId="676364A0"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管理计划通过资产管理人的直销机构及代理销售机构上海基</w:t>
      </w:r>
      <w:proofErr w:type="gramStart"/>
      <w:r>
        <w:rPr>
          <w:rFonts w:ascii="宋体" w:eastAsia="宋体" w:hAnsi="宋体" w:cs="宋体" w:hint="eastAsia"/>
          <w:sz w:val="21"/>
          <w:szCs w:val="21"/>
        </w:rPr>
        <w:t>煜</w:t>
      </w:r>
      <w:proofErr w:type="gramEnd"/>
      <w:r>
        <w:rPr>
          <w:rFonts w:ascii="宋体" w:eastAsia="宋体" w:hAnsi="宋体" w:cs="宋体" w:hint="eastAsia"/>
          <w:sz w:val="21"/>
          <w:szCs w:val="21"/>
        </w:rPr>
        <w:t>基金销售有限公司进行募集。具体销售机构名单、联系方式以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管理计划的计划说明书为准。</w:t>
      </w:r>
    </w:p>
    <w:p w14:paraId="6B18458F"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、募集对象</w:t>
      </w:r>
    </w:p>
    <w:p w14:paraId="1D316D5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具备相应风险识别能力和风险承受能力，投资于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管理计划不低于本计划要求的最低认购金额且符合下列条件的自然人、法人或者其他组织：</w:t>
      </w:r>
    </w:p>
    <w:p w14:paraId="0C3BABB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）具有</w:t>
      </w:r>
      <w:r>
        <w:rPr>
          <w:rFonts w:ascii="宋体" w:eastAsia="宋体" w:hAnsi="宋体" w:cs="宋体" w:hint="eastAsia"/>
          <w:sz w:val="21"/>
          <w:szCs w:val="21"/>
        </w:rPr>
        <w:t xml:space="preserve">2 </w:t>
      </w:r>
      <w:r>
        <w:rPr>
          <w:rFonts w:ascii="宋体" w:eastAsia="宋体" w:hAnsi="宋体" w:cs="宋体" w:hint="eastAsia"/>
          <w:sz w:val="21"/>
          <w:szCs w:val="21"/>
        </w:rPr>
        <w:t>年以上投资经历，且满足下列三项条件之一的自然人：家庭金融净资产不低于</w:t>
      </w:r>
      <w:r>
        <w:rPr>
          <w:rFonts w:ascii="宋体" w:eastAsia="宋体" w:hAnsi="宋体" w:cs="宋体" w:hint="eastAsia"/>
          <w:sz w:val="21"/>
          <w:szCs w:val="21"/>
        </w:rPr>
        <w:t xml:space="preserve">300 </w:t>
      </w:r>
      <w:r>
        <w:rPr>
          <w:rFonts w:ascii="宋体" w:eastAsia="宋体" w:hAnsi="宋体" w:cs="宋体" w:hint="eastAsia"/>
          <w:sz w:val="21"/>
          <w:szCs w:val="21"/>
        </w:rPr>
        <w:t>万元，家庭金融资产不低于</w:t>
      </w:r>
      <w:r>
        <w:rPr>
          <w:rFonts w:ascii="宋体" w:eastAsia="宋体" w:hAnsi="宋体" w:cs="宋体" w:hint="eastAsia"/>
          <w:sz w:val="21"/>
          <w:szCs w:val="21"/>
        </w:rPr>
        <w:t xml:space="preserve">500 </w:t>
      </w:r>
      <w:r>
        <w:rPr>
          <w:rFonts w:ascii="宋体" w:eastAsia="宋体" w:hAnsi="宋体" w:cs="宋体" w:hint="eastAsia"/>
          <w:sz w:val="21"/>
          <w:szCs w:val="21"/>
        </w:rPr>
        <w:t>万元，或者近</w:t>
      </w:r>
      <w:r>
        <w:rPr>
          <w:rFonts w:ascii="宋体" w:eastAsia="宋体" w:hAnsi="宋体" w:cs="宋体" w:hint="eastAsia"/>
          <w:sz w:val="21"/>
          <w:szCs w:val="21"/>
        </w:rPr>
        <w:t xml:space="preserve">3 </w:t>
      </w:r>
      <w:r>
        <w:rPr>
          <w:rFonts w:ascii="宋体" w:eastAsia="宋体" w:hAnsi="宋体" w:cs="宋体" w:hint="eastAsia"/>
          <w:sz w:val="21"/>
          <w:szCs w:val="21"/>
        </w:rPr>
        <w:t>年本人年均收入不低于</w:t>
      </w:r>
      <w:r>
        <w:rPr>
          <w:rFonts w:ascii="宋体" w:eastAsia="宋体" w:hAnsi="宋体" w:cs="宋体" w:hint="eastAsia"/>
          <w:sz w:val="21"/>
          <w:szCs w:val="21"/>
        </w:rPr>
        <w:t xml:space="preserve">40 </w:t>
      </w:r>
      <w:r>
        <w:rPr>
          <w:rFonts w:ascii="宋体" w:eastAsia="宋体" w:hAnsi="宋体" w:cs="宋体" w:hint="eastAsia"/>
          <w:sz w:val="21"/>
          <w:szCs w:val="21"/>
        </w:rPr>
        <w:t>万元；</w:t>
      </w:r>
    </w:p>
    <w:p w14:paraId="68369B6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）最近</w:t>
      </w:r>
      <w:r>
        <w:rPr>
          <w:rFonts w:ascii="宋体" w:eastAsia="宋体" w:hAnsi="宋体" w:cs="宋体" w:hint="eastAsia"/>
          <w:sz w:val="21"/>
          <w:szCs w:val="21"/>
        </w:rPr>
        <w:t xml:space="preserve">1 </w:t>
      </w:r>
      <w:r>
        <w:rPr>
          <w:rFonts w:ascii="宋体" w:eastAsia="宋体" w:hAnsi="宋体" w:cs="宋体" w:hint="eastAsia"/>
          <w:sz w:val="21"/>
          <w:szCs w:val="21"/>
        </w:rPr>
        <w:t>年末净资产不低于</w:t>
      </w:r>
      <w:r>
        <w:rPr>
          <w:rFonts w:ascii="宋体" w:eastAsia="宋体" w:hAnsi="宋体" w:cs="宋体" w:hint="eastAsia"/>
          <w:sz w:val="21"/>
          <w:szCs w:val="21"/>
        </w:rPr>
        <w:t xml:space="preserve">1000 </w:t>
      </w:r>
      <w:r>
        <w:rPr>
          <w:rFonts w:ascii="宋体" w:eastAsia="宋体" w:hAnsi="宋体" w:cs="宋体" w:hint="eastAsia"/>
          <w:sz w:val="21"/>
          <w:szCs w:val="21"/>
        </w:rPr>
        <w:t>万元的法人单位；</w:t>
      </w:r>
    </w:p>
    <w:p w14:paraId="11F408F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）依法设立并接受国务院金融监督管理机构监管的机构，包括证券公司及其子公司、基金管理公司及其子公司、期货公司及其子公司、在基金业协会登记的私募基金管理</w:t>
      </w:r>
      <w:r>
        <w:rPr>
          <w:rFonts w:ascii="宋体" w:eastAsia="宋体" w:hAnsi="宋体" w:cs="宋体" w:hint="eastAsia"/>
          <w:sz w:val="21"/>
          <w:szCs w:val="21"/>
        </w:rPr>
        <w:t>人、商业银行、金融资产投资公司、信托公司、保险公司、保险资产管理机构、财务公司及中国证监会认定的其他机构；</w:t>
      </w:r>
    </w:p>
    <w:p w14:paraId="5A09E4E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）接受国务院金融监督管理机构监管的机构发行的资产管理产品；</w:t>
      </w:r>
    </w:p>
    <w:p w14:paraId="489FF3B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）基本养老金、社会保障基金、企业年金等养老基金，慈善基金等社会公益基金，合格境外机构</w:t>
      </w:r>
      <w:r>
        <w:rPr>
          <w:rFonts w:ascii="宋体" w:eastAsia="宋体" w:hAnsi="宋体" w:cs="宋体" w:hint="eastAsia"/>
          <w:sz w:val="21"/>
          <w:szCs w:val="21"/>
        </w:rPr>
        <w:lastRenderedPageBreak/>
        <w:t>投资者（</w:t>
      </w:r>
      <w:r>
        <w:rPr>
          <w:rFonts w:ascii="宋体" w:eastAsia="宋体" w:hAnsi="宋体" w:cs="宋体" w:hint="eastAsia"/>
          <w:sz w:val="21"/>
          <w:szCs w:val="21"/>
        </w:rPr>
        <w:t>QFII</w:t>
      </w:r>
      <w:r>
        <w:rPr>
          <w:rFonts w:ascii="宋体" w:eastAsia="宋体" w:hAnsi="宋体" w:cs="宋体" w:hint="eastAsia"/>
          <w:sz w:val="21"/>
          <w:szCs w:val="21"/>
        </w:rPr>
        <w:t>）、人民币合格境外机构投资者（</w:t>
      </w:r>
      <w:r>
        <w:rPr>
          <w:rFonts w:ascii="宋体" w:eastAsia="宋体" w:hAnsi="宋体" w:cs="宋体" w:hint="eastAsia"/>
          <w:sz w:val="21"/>
          <w:szCs w:val="21"/>
        </w:rPr>
        <w:t>RQFII</w:t>
      </w:r>
      <w:r>
        <w:rPr>
          <w:rFonts w:ascii="宋体" w:eastAsia="宋体" w:hAnsi="宋体" w:cs="宋体" w:hint="eastAsia"/>
          <w:sz w:val="21"/>
          <w:szCs w:val="21"/>
        </w:rPr>
        <w:t>）；</w:t>
      </w:r>
    </w:p>
    <w:p w14:paraId="3B56C13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）中国证监会视为合格投资者的其他情形。</w:t>
      </w:r>
    </w:p>
    <w:p w14:paraId="0A3EA1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法律法规、监管机构、自律组织对于合格投资者认定将来另有规定的，从其规定。</w:t>
      </w:r>
    </w:p>
    <w:p w14:paraId="1FB5AC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（二）资产管理计划的最低认购金额和支付方式</w:t>
      </w:r>
    </w:p>
    <w:p w14:paraId="17BA5F5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认购资金应以现金形式交付。</w:t>
      </w:r>
    </w:p>
    <w:p w14:paraId="63E983D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投资者在初始募集期间的认购金额不得低于【</w:t>
      </w:r>
      <w:r>
        <w:rPr>
          <w:rFonts w:ascii="宋体" w:eastAsia="宋体" w:hAnsi="宋体" w:cs="宋体" w:hint="eastAsia"/>
          <w:sz w:val="21"/>
          <w:szCs w:val="21"/>
        </w:rPr>
        <w:t>40</w:t>
      </w:r>
      <w:r>
        <w:rPr>
          <w:rFonts w:ascii="宋体" w:eastAsia="宋体" w:hAnsi="宋体" w:cs="宋体" w:hint="eastAsia"/>
          <w:sz w:val="21"/>
          <w:szCs w:val="21"/>
        </w:rPr>
        <w:t>万元】人民币（不含认购费用），并可多次认购。</w:t>
      </w:r>
    </w:p>
    <w:p w14:paraId="1073E87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（三）资产管理计划份额的认购费用</w:t>
      </w:r>
    </w:p>
    <w:p w14:paraId="49AAAFEB"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管理计划无认购费用。</w:t>
      </w:r>
    </w:p>
    <w:p w14:paraId="342BA0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认购份额及认购费用的计算方法如下：</w:t>
      </w:r>
    </w:p>
    <w:p w14:paraId="08AC444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净认购金额</w:t>
      </w:r>
      <w:r>
        <w:rPr>
          <w:rFonts w:ascii="宋体" w:eastAsia="宋体" w:hAnsi="宋体" w:cs="宋体" w:hint="eastAsia"/>
          <w:sz w:val="21"/>
          <w:szCs w:val="21"/>
        </w:rPr>
        <w:t>=</w:t>
      </w:r>
      <w:r>
        <w:rPr>
          <w:rFonts w:ascii="宋体" w:eastAsia="宋体" w:hAnsi="宋体" w:cs="宋体" w:hint="eastAsia"/>
          <w:sz w:val="21"/>
          <w:szCs w:val="21"/>
        </w:rPr>
        <w:t>认购金额</w:t>
      </w:r>
      <w:r>
        <w:rPr>
          <w:rFonts w:ascii="宋体" w:eastAsia="宋体" w:hAnsi="宋体" w:cs="宋体" w:hint="eastAsia"/>
          <w:sz w:val="21"/>
          <w:szCs w:val="21"/>
        </w:rPr>
        <w:t>/</w:t>
      </w: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认购费率）</w:t>
      </w:r>
    </w:p>
    <w:p w14:paraId="53C4032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认购费用</w:t>
      </w:r>
      <w:r>
        <w:rPr>
          <w:rFonts w:ascii="宋体" w:eastAsia="宋体" w:hAnsi="宋体" w:cs="宋体" w:hint="eastAsia"/>
          <w:sz w:val="21"/>
          <w:szCs w:val="21"/>
        </w:rPr>
        <w:t>=</w:t>
      </w:r>
      <w:r>
        <w:rPr>
          <w:rFonts w:ascii="宋体" w:eastAsia="宋体" w:hAnsi="宋体" w:cs="宋体" w:hint="eastAsia"/>
          <w:sz w:val="21"/>
          <w:szCs w:val="21"/>
        </w:rPr>
        <w:t>认购金额</w:t>
      </w:r>
      <w:r>
        <w:rPr>
          <w:rFonts w:ascii="宋体" w:eastAsia="宋体" w:hAnsi="宋体" w:cs="宋体" w:hint="eastAsia"/>
          <w:sz w:val="21"/>
          <w:szCs w:val="21"/>
        </w:rPr>
        <w:t>-</w:t>
      </w:r>
      <w:r>
        <w:rPr>
          <w:rFonts w:ascii="宋体" w:eastAsia="宋体" w:hAnsi="宋体" w:cs="宋体" w:hint="eastAsia"/>
          <w:sz w:val="21"/>
          <w:szCs w:val="21"/>
        </w:rPr>
        <w:t>净认购金额</w:t>
      </w:r>
    </w:p>
    <w:p w14:paraId="21BAB5B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w:t>
      </w:r>
      <w:r>
        <w:rPr>
          <w:rFonts w:ascii="宋体" w:eastAsia="宋体" w:hAnsi="宋体" w:cs="宋体" w:hint="eastAsia"/>
          <w:sz w:val="21"/>
          <w:szCs w:val="21"/>
        </w:rPr>
        <w:t>=</w:t>
      </w:r>
      <w:r>
        <w:rPr>
          <w:rFonts w:ascii="宋体" w:eastAsia="宋体" w:hAnsi="宋体" w:cs="宋体" w:hint="eastAsia"/>
          <w:sz w:val="21"/>
          <w:szCs w:val="21"/>
        </w:rPr>
        <w:t>（净认购金额</w:t>
      </w:r>
      <w:r>
        <w:rPr>
          <w:rFonts w:ascii="宋体" w:eastAsia="宋体" w:hAnsi="宋体" w:cs="宋体" w:hint="eastAsia"/>
          <w:sz w:val="21"/>
          <w:szCs w:val="21"/>
        </w:rPr>
        <w:t>+</w:t>
      </w:r>
      <w:r>
        <w:rPr>
          <w:rFonts w:ascii="宋体" w:eastAsia="宋体" w:hAnsi="宋体" w:cs="宋体" w:hint="eastAsia"/>
          <w:sz w:val="21"/>
          <w:szCs w:val="21"/>
        </w:rPr>
        <w:t>认购期利息）</w:t>
      </w:r>
      <w:r>
        <w:rPr>
          <w:rFonts w:ascii="宋体" w:eastAsia="宋体" w:hAnsi="宋体" w:cs="宋体" w:hint="eastAsia"/>
          <w:sz w:val="21"/>
          <w:szCs w:val="21"/>
        </w:rPr>
        <w:t>/1.00</w:t>
      </w:r>
    </w:p>
    <w:p w14:paraId="12D9AAD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认购份额及认购费用的计算结果保留到小数点后两位，小数点后两位以后的部分四舍五入，由此产生的误差计入资产管理计划财产。</w:t>
      </w:r>
    </w:p>
    <w:p w14:paraId="437C860D"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（四）初始募集期的认购程序</w:t>
      </w:r>
    </w:p>
    <w:p w14:paraId="1B2F692E"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、资产管理人或代理销售机构需完成投资者尽职调查工作。</w:t>
      </w:r>
    </w:p>
    <w:p w14:paraId="04E2D5FE"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、认购程序。资产委托人办理认购业务时应提交的文件和办理手续、办理时间、处理规则等在遵守本合同规定的前提下，以销售机构的具体规定为准。</w:t>
      </w:r>
    </w:p>
    <w:p w14:paraId="0D38214E"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、认购申请的确认。</w:t>
      </w:r>
    </w:p>
    <w:p w14:paraId="3D62715F"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销售机构受理认购申请并不表示对该申请是否成功的确认，而仅代表销售机构确实收到了认购申请。申请是否有效应以注册登记机构的确认并且资产管理合同生效为准。投资者应在本合同生效后通过销售机构查询最终确认情况和有效认购份额。</w:t>
      </w:r>
    </w:p>
    <w:p w14:paraId="04A420A8"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认购申请一经受理，不得撤销。</w:t>
      </w:r>
    </w:p>
    <w:p w14:paraId="27858A06"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（五）初始认购资金的管理及利息处理方式</w:t>
      </w:r>
    </w:p>
    <w:p w14:paraId="490CDC79"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资产管理人应当将资产管理计划初始募集期间客户的认购资金存入资产管理计</w:t>
      </w:r>
      <w:r>
        <w:rPr>
          <w:rFonts w:ascii="宋体" w:eastAsia="宋体" w:hAnsi="宋体" w:cs="宋体" w:hint="eastAsia"/>
          <w:sz w:val="21"/>
          <w:szCs w:val="21"/>
        </w:rPr>
        <w:t>划募集结算专用账户，在资产管理计划成立前，任何机构和个人不得动用。投资者的认购参与资金（不含认购费用）在初始募集期间发生的利息将折算为资产管理计划份额，</w:t>
      </w:r>
      <w:proofErr w:type="gramStart"/>
      <w:r>
        <w:rPr>
          <w:rFonts w:ascii="宋体" w:eastAsia="宋体" w:hAnsi="宋体" w:cs="宋体" w:hint="eastAsia"/>
          <w:sz w:val="21"/>
          <w:szCs w:val="21"/>
        </w:rPr>
        <w:t>归资产</w:t>
      </w:r>
      <w:proofErr w:type="gramEnd"/>
      <w:r>
        <w:rPr>
          <w:rFonts w:ascii="宋体" w:eastAsia="宋体" w:hAnsi="宋体" w:cs="宋体" w:hint="eastAsia"/>
          <w:sz w:val="21"/>
          <w:szCs w:val="21"/>
        </w:rPr>
        <w:t>委托人所有。利息转份额以注册登记机构的记录为准。</w:t>
      </w:r>
    </w:p>
    <w:p w14:paraId="0D72F51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（六）</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管理计划销售机构（如有）账户等信息，具体以计划说明书登载为准。</w:t>
      </w:r>
    </w:p>
    <w:p w14:paraId="0E3017E5" w14:textId="77777777" w:rsidR="00694F14" w:rsidRDefault="00694F14">
      <w:pPr>
        <w:spacing w:line="360" w:lineRule="auto"/>
        <w:ind w:firstLine="480"/>
        <w:rPr>
          <w:rFonts w:ascii="宋体" w:eastAsia="宋体" w:hAnsi="宋体" w:cs="宋体"/>
          <w:sz w:val="21"/>
          <w:szCs w:val="21"/>
        </w:rPr>
      </w:pPr>
    </w:p>
    <w:p w14:paraId="66115EB1" w14:textId="77777777" w:rsidR="00694F14" w:rsidRDefault="00A463B7">
      <w:pPr>
        <w:pStyle w:val="1"/>
        <w:spacing w:before="0" w:after="0" w:line="360" w:lineRule="auto"/>
        <w:jc w:val="center"/>
        <w:rPr>
          <w:rFonts w:ascii="宋体" w:eastAsia="宋体" w:hAnsi="宋体" w:cs="宋体"/>
          <w:sz w:val="21"/>
          <w:szCs w:val="21"/>
        </w:rPr>
      </w:pPr>
      <w:bookmarkStart w:id="20" w:name="_Toc401668933"/>
      <w:bookmarkStart w:id="21" w:name="_Toc70622186"/>
      <w:r>
        <w:rPr>
          <w:rFonts w:ascii="宋体" w:eastAsia="宋体" w:hAnsi="宋体" w:cs="宋体" w:hint="eastAsia"/>
          <w:sz w:val="21"/>
          <w:szCs w:val="21"/>
        </w:rPr>
        <w:t>七、</w:t>
      </w:r>
      <w:bookmarkEnd w:id="20"/>
      <w:r>
        <w:rPr>
          <w:rFonts w:ascii="宋体" w:eastAsia="宋体" w:hAnsi="宋体" w:cs="宋体" w:hint="eastAsia"/>
          <w:sz w:val="21"/>
          <w:szCs w:val="21"/>
        </w:rPr>
        <w:t>资产管理计划的成立与备案</w:t>
      </w:r>
      <w:bookmarkEnd w:id="21"/>
    </w:p>
    <w:p w14:paraId="436A9679"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（一）资产管理计划成立的条件</w:t>
      </w:r>
    </w:p>
    <w:p w14:paraId="6B1B888E"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、募集过程符合法律、行政法规和中国证监会的规定；</w:t>
      </w:r>
    </w:p>
    <w:p w14:paraId="1A529F4F"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、初始募集规模不低于</w:t>
      </w:r>
      <w:r>
        <w:rPr>
          <w:rFonts w:ascii="宋体" w:eastAsia="宋体" w:hAnsi="宋体" w:cs="宋体" w:hint="eastAsia"/>
          <w:sz w:val="21"/>
          <w:szCs w:val="21"/>
        </w:rPr>
        <w:t>1000</w:t>
      </w:r>
      <w:r>
        <w:rPr>
          <w:rFonts w:ascii="宋体" w:eastAsia="宋体" w:hAnsi="宋体" w:cs="宋体" w:hint="eastAsia"/>
          <w:sz w:val="21"/>
          <w:szCs w:val="21"/>
        </w:rPr>
        <w:t>万元；</w:t>
      </w:r>
    </w:p>
    <w:p w14:paraId="6EB64694"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、投资者人数不少于</w:t>
      </w:r>
      <w:r>
        <w:rPr>
          <w:rFonts w:ascii="宋体" w:eastAsia="宋体" w:hAnsi="宋体" w:cs="宋体" w:hint="eastAsia"/>
          <w:sz w:val="21"/>
          <w:szCs w:val="21"/>
        </w:rPr>
        <w:t>2</w:t>
      </w:r>
      <w:r>
        <w:rPr>
          <w:rFonts w:ascii="宋体" w:eastAsia="宋体" w:hAnsi="宋体" w:cs="宋体" w:hint="eastAsia"/>
          <w:sz w:val="21"/>
          <w:szCs w:val="21"/>
        </w:rPr>
        <w:t>人，且不超过</w:t>
      </w:r>
      <w:r>
        <w:rPr>
          <w:rFonts w:ascii="宋体" w:eastAsia="宋体" w:hAnsi="宋体" w:cs="宋体" w:hint="eastAsia"/>
          <w:sz w:val="21"/>
          <w:szCs w:val="21"/>
        </w:rPr>
        <w:t>200</w:t>
      </w:r>
      <w:r>
        <w:rPr>
          <w:rFonts w:ascii="宋体" w:eastAsia="宋体" w:hAnsi="宋体" w:cs="宋体" w:hint="eastAsia"/>
          <w:sz w:val="21"/>
          <w:szCs w:val="21"/>
        </w:rPr>
        <w:t>人；</w:t>
      </w:r>
    </w:p>
    <w:p w14:paraId="61BE9466"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、符合中国证监会规定以及资产</w:t>
      </w:r>
      <w:r>
        <w:rPr>
          <w:rFonts w:ascii="宋体" w:eastAsia="宋体" w:hAnsi="宋体" w:cs="宋体" w:hint="eastAsia"/>
          <w:sz w:val="21"/>
          <w:szCs w:val="21"/>
        </w:rPr>
        <w:t>管理合同约定的其他条件。</w:t>
      </w:r>
    </w:p>
    <w:p w14:paraId="674FF7FA"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二</w:t>
      </w:r>
      <w:r>
        <w:rPr>
          <w:rFonts w:ascii="宋体" w:eastAsia="宋体" w:hAnsi="宋体" w:cs="宋体" w:hint="eastAsia"/>
          <w:sz w:val="21"/>
          <w:szCs w:val="21"/>
        </w:rPr>
        <w:t>)</w:t>
      </w:r>
      <w:r>
        <w:rPr>
          <w:rFonts w:ascii="宋体" w:eastAsia="宋体" w:hAnsi="宋体" w:cs="宋体" w:hint="eastAsia"/>
          <w:sz w:val="21"/>
          <w:szCs w:val="21"/>
        </w:rPr>
        <w:t>资产管理计划的成立与备案</w:t>
      </w:r>
    </w:p>
    <w:p w14:paraId="01E91362"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初始募集期限届满，符合资产管理计划成立条件的，资产管理人应当自募集金额缴足之日起十个工作日内聘请具有证券相关业务资格的会计师事务所进行验资，并出具验资报告。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管理计划在取得验资报告后，由资产管理人公告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管理计划成立，并将成立公告发送给资产托管人。资产管理人应当在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管理计划成立之日起五个工作日内，将资产管理合同、投资者名单与认购金额、验资报告或者资产缴付证明等材料</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业协会备案，并抄报中国证监会相关派出机构。资产管理计划成立前，任何机构和</w:t>
      </w:r>
      <w:r>
        <w:rPr>
          <w:rFonts w:ascii="宋体" w:eastAsia="宋体" w:hAnsi="宋体" w:cs="宋体" w:hint="eastAsia"/>
          <w:sz w:val="21"/>
          <w:szCs w:val="21"/>
        </w:rPr>
        <w:t>个人不得动用投资者认购参与资金。</w:t>
      </w:r>
    </w:p>
    <w:p w14:paraId="659936BE" w14:textId="77777777" w:rsidR="00694F14" w:rsidRDefault="00A463B7">
      <w:pPr>
        <w:spacing w:line="360" w:lineRule="auto"/>
        <w:ind w:firstLine="54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管理计划完成备案前不得开展投资活动，但以现金管理为目的，投资于银行活期存款、货币市场基金的除外。</w:t>
      </w:r>
    </w:p>
    <w:p w14:paraId="41D6144E"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三</w:t>
      </w:r>
      <w:r>
        <w:rPr>
          <w:rFonts w:ascii="宋体" w:eastAsia="宋体" w:hAnsi="宋体" w:cs="宋体" w:hint="eastAsia"/>
          <w:sz w:val="21"/>
          <w:szCs w:val="21"/>
        </w:rPr>
        <w:t>)</w:t>
      </w:r>
      <w:r>
        <w:rPr>
          <w:rFonts w:ascii="宋体" w:eastAsia="宋体" w:hAnsi="宋体" w:cs="宋体" w:hint="eastAsia"/>
          <w:sz w:val="21"/>
          <w:szCs w:val="21"/>
        </w:rPr>
        <w:t>资产管理合同的生效</w:t>
      </w:r>
    </w:p>
    <w:p w14:paraId="4CD5D9CA"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资产管理合同自本合同成立日生效。</w:t>
      </w:r>
    </w:p>
    <w:p w14:paraId="4310F1F9"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四</w:t>
      </w:r>
      <w:r>
        <w:rPr>
          <w:rFonts w:ascii="宋体" w:eastAsia="宋体" w:hAnsi="宋体" w:cs="宋体" w:hint="eastAsia"/>
          <w:sz w:val="21"/>
          <w:szCs w:val="21"/>
        </w:rPr>
        <w:t>)</w:t>
      </w:r>
      <w:r>
        <w:rPr>
          <w:rFonts w:ascii="宋体" w:eastAsia="宋体" w:hAnsi="宋体" w:cs="宋体" w:hint="eastAsia"/>
          <w:sz w:val="21"/>
          <w:szCs w:val="21"/>
        </w:rPr>
        <w:t>资产管理计划不能满足成立条件的处理方式</w:t>
      </w:r>
    </w:p>
    <w:p w14:paraId="7C1FC441"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资产管理计划初始募集期限届满，不能满足资产管理计划成立条件的，资产管理人应当承担下列责任：</w:t>
      </w:r>
    </w:p>
    <w:p w14:paraId="69B8F9E8"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、以其固有财产承担因募集行为而产生的债务和费用；</w:t>
      </w:r>
    </w:p>
    <w:p w14:paraId="785822B4"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、在初始募集期限届满后</w:t>
      </w:r>
      <w:r>
        <w:rPr>
          <w:rFonts w:ascii="宋体" w:eastAsia="宋体" w:hAnsi="宋体" w:cs="宋体" w:hint="eastAsia"/>
          <w:sz w:val="21"/>
          <w:szCs w:val="21"/>
        </w:rPr>
        <w:t>30</w:t>
      </w:r>
      <w:r>
        <w:rPr>
          <w:rFonts w:ascii="宋体" w:eastAsia="宋体" w:hAnsi="宋体" w:cs="宋体" w:hint="eastAsia"/>
          <w:sz w:val="21"/>
          <w:szCs w:val="21"/>
        </w:rPr>
        <w:t>日内返还投资者已缴纳的款项，并加计银行同期活期存款利息。</w:t>
      </w:r>
    </w:p>
    <w:p w14:paraId="6838430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、将托管人已盖章的合同及其他相关协议</w:t>
      </w:r>
      <w:r>
        <w:rPr>
          <w:rFonts w:ascii="宋体" w:eastAsia="宋体" w:hAnsi="宋体" w:cs="宋体" w:hint="eastAsia"/>
          <w:sz w:val="21"/>
          <w:szCs w:val="21"/>
        </w:rPr>
        <w:t>在募集期限届满后</w:t>
      </w:r>
      <w:r>
        <w:rPr>
          <w:rFonts w:ascii="宋体" w:eastAsia="宋体" w:hAnsi="宋体" w:cs="宋体" w:hint="eastAsia"/>
          <w:sz w:val="21"/>
          <w:szCs w:val="21"/>
        </w:rPr>
        <w:t>10</w:t>
      </w:r>
      <w:r>
        <w:rPr>
          <w:rFonts w:ascii="宋体" w:eastAsia="宋体" w:hAnsi="宋体" w:cs="宋体" w:hint="eastAsia"/>
          <w:sz w:val="21"/>
          <w:szCs w:val="21"/>
        </w:rPr>
        <w:t>日内如数原件返还托管人。未能如数返还的，应向托管人书面说明原因、去向并加盖印章。</w:t>
      </w:r>
    </w:p>
    <w:p w14:paraId="51707C9F" w14:textId="77777777" w:rsidR="00694F14" w:rsidRDefault="00A463B7">
      <w:pPr>
        <w:pStyle w:val="a4"/>
        <w:spacing w:line="360" w:lineRule="auto"/>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、计划初始销售失败的，资产管理人、资产托管人、销售机构不得请求报酬。资产管理人、资产托管人、销售机构为资产管理计划募集所支付之一切费用应由各方各自承担。</w:t>
      </w:r>
    </w:p>
    <w:p w14:paraId="6369BD1F" w14:textId="77777777" w:rsidR="00694F14" w:rsidRDefault="00694F14">
      <w:pPr>
        <w:spacing w:line="360" w:lineRule="auto"/>
        <w:ind w:firstLine="540"/>
        <w:rPr>
          <w:rFonts w:ascii="宋体" w:eastAsia="宋体" w:hAnsi="宋体" w:cs="宋体"/>
          <w:sz w:val="21"/>
          <w:szCs w:val="21"/>
        </w:rPr>
      </w:pPr>
    </w:p>
    <w:p w14:paraId="6A893489" w14:textId="77777777" w:rsidR="00694F14" w:rsidRDefault="00A463B7">
      <w:pPr>
        <w:pStyle w:val="1"/>
        <w:spacing w:before="0" w:after="0" w:line="360" w:lineRule="auto"/>
        <w:jc w:val="center"/>
        <w:rPr>
          <w:rFonts w:ascii="宋体" w:eastAsia="宋体" w:hAnsi="宋体" w:cs="宋体"/>
          <w:sz w:val="21"/>
          <w:szCs w:val="21"/>
        </w:rPr>
      </w:pPr>
      <w:bookmarkStart w:id="22" w:name="_Toc401668934"/>
      <w:bookmarkStart w:id="23" w:name="_Toc70622187"/>
      <w:r>
        <w:rPr>
          <w:rFonts w:ascii="宋体" w:eastAsia="宋体" w:hAnsi="宋体" w:cs="宋体" w:hint="eastAsia"/>
          <w:sz w:val="21"/>
          <w:szCs w:val="21"/>
        </w:rPr>
        <w:t>八、资产管理计划的参与、退出</w:t>
      </w:r>
      <w:bookmarkEnd w:id="22"/>
      <w:r>
        <w:rPr>
          <w:rFonts w:ascii="宋体" w:eastAsia="宋体" w:hAnsi="宋体" w:cs="宋体" w:hint="eastAsia"/>
          <w:sz w:val="21"/>
          <w:szCs w:val="21"/>
        </w:rPr>
        <w:t>与转让</w:t>
      </w:r>
      <w:bookmarkEnd w:id="23"/>
    </w:p>
    <w:p w14:paraId="2CB169A7"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（一）参与和退出场所</w:t>
      </w:r>
    </w:p>
    <w:p w14:paraId="2D2EE524"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管理计划参与和退出场所为资产管理人的直销机构及代理销售机构的营业场所，或按销售机构提供的其他方式办理参与和退出。具体销售机构名单、联系方式以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管理计划的计划说明书为准。</w:t>
      </w:r>
    </w:p>
    <w:p w14:paraId="7B1955C4"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（二）参与和退出的开放日和时间</w:t>
      </w:r>
    </w:p>
    <w:p w14:paraId="15FC292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本计划开放日为每周一、</w:t>
      </w:r>
      <w:r>
        <w:rPr>
          <w:rFonts w:ascii="宋体" w:eastAsia="宋体" w:hAnsi="宋体" w:cs="宋体" w:hint="eastAsia"/>
          <w:sz w:val="21"/>
          <w:szCs w:val="21"/>
        </w:rPr>
        <w:t>二</w:t>
      </w:r>
      <w:r>
        <w:rPr>
          <w:rFonts w:ascii="宋体" w:eastAsia="宋体" w:hAnsi="宋体" w:cs="宋体" w:hint="eastAsia"/>
          <w:sz w:val="21"/>
          <w:szCs w:val="21"/>
        </w:rPr>
        <w:t>、</w:t>
      </w:r>
      <w:r>
        <w:rPr>
          <w:rFonts w:ascii="宋体" w:eastAsia="宋体" w:hAnsi="宋体" w:cs="宋体" w:hint="eastAsia"/>
          <w:sz w:val="21"/>
          <w:szCs w:val="21"/>
        </w:rPr>
        <w:t>四</w:t>
      </w:r>
      <w:r>
        <w:rPr>
          <w:rFonts w:ascii="宋体" w:eastAsia="宋体" w:hAnsi="宋体" w:cs="宋体" w:hint="eastAsia"/>
          <w:sz w:val="21"/>
          <w:szCs w:val="21"/>
        </w:rPr>
        <w:t>（如</w:t>
      </w:r>
      <w:proofErr w:type="gramStart"/>
      <w:r>
        <w:rPr>
          <w:rFonts w:ascii="宋体" w:eastAsia="宋体" w:hAnsi="宋体" w:cs="宋体" w:hint="eastAsia"/>
          <w:sz w:val="21"/>
          <w:szCs w:val="21"/>
        </w:rPr>
        <w:t>遇非交易</w:t>
      </w:r>
      <w:proofErr w:type="gramEnd"/>
      <w:r>
        <w:rPr>
          <w:rFonts w:ascii="宋体" w:eastAsia="宋体" w:hAnsi="宋体" w:cs="宋体" w:hint="eastAsia"/>
          <w:sz w:val="21"/>
          <w:szCs w:val="21"/>
        </w:rPr>
        <w:t>日，则不开放），在开放日，投资者可以参与或退出本计划。</w:t>
      </w:r>
    </w:p>
    <w:p w14:paraId="05C48F9F" w14:textId="77777777" w:rsidR="00694F14" w:rsidRDefault="00A463B7">
      <w:pPr>
        <w:spacing w:line="360" w:lineRule="auto"/>
        <w:ind w:firstLine="420"/>
        <w:rPr>
          <w:rFonts w:ascii="宋体" w:eastAsia="宋体" w:hAnsi="宋体" w:cs="宋体"/>
          <w:b/>
          <w:sz w:val="21"/>
          <w:szCs w:val="21"/>
        </w:rPr>
      </w:pPr>
      <w:r>
        <w:rPr>
          <w:rFonts w:ascii="宋体" w:eastAsia="宋体" w:hAnsi="宋体" w:cs="宋体" w:hint="eastAsia"/>
          <w:sz w:val="21"/>
          <w:szCs w:val="21"/>
        </w:rPr>
        <w:t>若中国证监会有新的规定，或出现新的证券交易市场、证券交易所交易时间变更或其他特殊情况，资产管理人将视情况对前述开放日及开放时间进行相应的调整并告知资产委托人，同时需提前书面告知资产托管人。</w:t>
      </w:r>
      <w:r>
        <w:rPr>
          <w:rFonts w:ascii="宋体" w:eastAsia="宋体" w:hAnsi="宋体" w:cs="宋体" w:hint="eastAsia"/>
          <w:b/>
          <w:sz w:val="21"/>
          <w:szCs w:val="21"/>
        </w:rPr>
        <w:t>资产管理人网站上</w:t>
      </w:r>
      <w:r>
        <w:rPr>
          <w:rFonts w:ascii="宋体" w:eastAsia="宋体" w:hAnsi="宋体" w:cs="宋体" w:hint="eastAsia"/>
          <w:b/>
          <w:sz w:val="21"/>
          <w:szCs w:val="21"/>
        </w:rPr>
        <w:t>发布公告或邮件通知即视为履行了对资产委托人的告知义务。</w:t>
      </w:r>
    </w:p>
    <w:p w14:paraId="60C68C4B"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（三）临时开放期</w:t>
      </w:r>
    </w:p>
    <w:p w14:paraId="3C0108AA"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因法律法规、监管规定及自律规则发生修订，或者存在其他监管或自律机构允许情形时，资产管理人为保障投资者选择退出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管理计划的权利，资产管理人有权视本计划实际运作情况设定临时开放期，临时开放期的安排应符合</w:t>
      </w:r>
      <w:proofErr w:type="gramStart"/>
      <w:r>
        <w:rPr>
          <w:rFonts w:ascii="宋体" w:eastAsia="宋体" w:hAnsi="宋体" w:cs="宋体" w:hint="eastAsia"/>
          <w:sz w:val="21"/>
          <w:szCs w:val="21"/>
        </w:rPr>
        <w:t>资管新规</w:t>
      </w:r>
      <w:proofErr w:type="gramEnd"/>
      <w:r>
        <w:rPr>
          <w:rFonts w:ascii="宋体" w:eastAsia="宋体" w:hAnsi="宋体" w:cs="宋体" w:hint="eastAsia"/>
          <w:sz w:val="21"/>
          <w:szCs w:val="21"/>
        </w:rPr>
        <w:t>细则的规定。此等情形下，该等临时开放期安排不受前述参与和退出安排的限制。临时开放期委托人仅可办理退出业务。</w:t>
      </w:r>
      <w:r>
        <w:rPr>
          <w:rFonts w:ascii="宋体" w:eastAsia="宋体" w:hAnsi="宋体" w:cs="宋体" w:hint="eastAsia"/>
          <w:b/>
          <w:sz w:val="21"/>
          <w:szCs w:val="21"/>
        </w:rPr>
        <w:t>临时开放期的具体安排以资产管理人公告为准，届时资产管理人网站上发布公告或邮件通知即视为履行了对资产委托人的告知义务，同时临</w:t>
      </w:r>
      <w:r>
        <w:rPr>
          <w:rFonts w:ascii="宋体" w:eastAsia="宋体" w:hAnsi="宋体" w:cs="宋体" w:hint="eastAsia"/>
          <w:b/>
          <w:sz w:val="21"/>
          <w:szCs w:val="21"/>
        </w:rPr>
        <w:t>时开放期安排需提前通知资产托管人。</w:t>
      </w:r>
    </w:p>
    <w:p w14:paraId="0EB63F6C"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（四）参与和退出的方式、价格、程序及确认等</w:t>
      </w:r>
    </w:p>
    <w:p w14:paraId="00ABC7AA"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、“未知价”原则，即资产管理计划的参与和退出价格以申请当日的资产管理计划份额净值为基准进行计算。</w:t>
      </w:r>
    </w:p>
    <w:p w14:paraId="5917656D"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、资产管理计划采用金额参与和份额退出的方式，即参与以金额申请，退出以份额申请。</w:t>
      </w:r>
    </w:p>
    <w:p w14:paraId="719AE7EE"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、资产委托人办理参与、退出等业务时应提交的文件和办理手续、办理时间、处理规则等在遵守本合同规定的前提下，以各销售机构的具体规定为准。</w:t>
      </w:r>
    </w:p>
    <w:p w14:paraId="5EC078E4"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、当日的参与和退出申请可以在当日开放时间结束前撤销，在当日的开放时间结束后不得撤销。</w:t>
      </w:r>
    </w:p>
    <w:p w14:paraId="18EA9E2B"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、参与和退出申请的确认。</w:t>
      </w:r>
      <w:r>
        <w:rPr>
          <w:rFonts w:ascii="宋体" w:eastAsia="宋体" w:hAnsi="宋体" w:cs="宋体" w:hint="eastAsia"/>
          <w:sz w:val="21"/>
          <w:szCs w:val="21"/>
        </w:rPr>
        <w:t>销售机构受理参与或退出申请并不表示对该申请是否成功的确认，而仅代表销售机构确实收到了参与或退出申请。申请是否有效应以注册登记机构的确认为准。在正常情况下，注册登记机构应在</w:t>
      </w:r>
      <w:r>
        <w:rPr>
          <w:rFonts w:ascii="宋体" w:eastAsia="宋体" w:hAnsi="宋体" w:cs="宋体" w:hint="eastAsia"/>
          <w:sz w:val="21"/>
          <w:szCs w:val="21"/>
        </w:rPr>
        <w:t>T+2</w:t>
      </w:r>
      <w:r>
        <w:rPr>
          <w:rFonts w:ascii="宋体" w:eastAsia="宋体" w:hAnsi="宋体" w:cs="宋体" w:hint="eastAsia"/>
          <w:sz w:val="21"/>
          <w:szCs w:val="21"/>
        </w:rPr>
        <w:t>日内（含</w:t>
      </w:r>
      <w:r>
        <w:rPr>
          <w:rFonts w:ascii="宋体" w:eastAsia="宋体" w:hAnsi="宋体" w:cs="宋体" w:hint="eastAsia"/>
          <w:sz w:val="21"/>
          <w:szCs w:val="21"/>
        </w:rPr>
        <w:t>T+2</w:t>
      </w:r>
      <w:r>
        <w:rPr>
          <w:rFonts w:ascii="宋体" w:eastAsia="宋体" w:hAnsi="宋体" w:cs="宋体" w:hint="eastAsia"/>
          <w:sz w:val="21"/>
          <w:szCs w:val="21"/>
        </w:rPr>
        <w:t>日）对资产委托人参与、退出申请的有效性进行确认。如遇特殊情</w:t>
      </w:r>
      <w:r>
        <w:rPr>
          <w:rFonts w:ascii="宋体" w:eastAsia="宋体" w:hAnsi="宋体" w:cs="宋体" w:hint="eastAsia"/>
          <w:sz w:val="21"/>
          <w:szCs w:val="21"/>
        </w:rPr>
        <w:lastRenderedPageBreak/>
        <w:t>况，有合理理由的，管理人有权对确认日进行调整，并通知委托人和托管人，告知具体调整原因。</w:t>
      </w:r>
    </w:p>
    <w:p w14:paraId="7BC29B34"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如将开放当日全部有效参与申请确认后，投资者总人数不超过</w:t>
      </w:r>
      <w:r>
        <w:rPr>
          <w:rFonts w:ascii="宋体" w:eastAsia="宋体" w:hAnsi="宋体" w:cs="宋体" w:hint="eastAsia"/>
          <w:sz w:val="21"/>
          <w:szCs w:val="21"/>
        </w:rPr>
        <w:t>200</w:t>
      </w:r>
      <w:r>
        <w:rPr>
          <w:rFonts w:ascii="宋体" w:eastAsia="宋体" w:hAnsi="宋体" w:cs="宋体" w:hint="eastAsia"/>
          <w:sz w:val="21"/>
          <w:szCs w:val="21"/>
        </w:rPr>
        <w:t>人，则注册登记机构对参与申请全部予以确认。如将开放当日全部有效参与申请确认后投资者总人数超过</w:t>
      </w:r>
      <w:r>
        <w:rPr>
          <w:rFonts w:ascii="宋体" w:eastAsia="宋体" w:hAnsi="宋体" w:cs="宋体" w:hint="eastAsia"/>
          <w:sz w:val="21"/>
          <w:szCs w:val="21"/>
        </w:rPr>
        <w:t>200</w:t>
      </w:r>
      <w:r>
        <w:rPr>
          <w:rFonts w:ascii="宋体" w:eastAsia="宋体" w:hAnsi="宋体" w:cs="宋体" w:hint="eastAsia"/>
          <w:sz w:val="21"/>
          <w:szCs w:val="21"/>
        </w:rPr>
        <w:t>人，则注册登记机构</w:t>
      </w:r>
      <w:r>
        <w:rPr>
          <w:rFonts w:ascii="宋体" w:eastAsia="宋体" w:hAnsi="宋体" w:cs="宋体" w:hint="eastAsia"/>
          <w:sz w:val="21"/>
          <w:szCs w:val="21"/>
        </w:rPr>
        <w:t>按照时间优先、金额优先的原则确认参与申请，确保</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管理计划的委托人数不超过</w:t>
      </w:r>
      <w:r>
        <w:rPr>
          <w:rFonts w:ascii="宋体" w:eastAsia="宋体" w:hAnsi="宋体" w:cs="宋体" w:hint="eastAsia"/>
          <w:sz w:val="21"/>
          <w:szCs w:val="21"/>
        </w:rPr>
        <w:t>200</w:t>
      </w:r>
      <w:r>
        <w:rPr>
          <w:rFonts w:ascii="宋体" w:eastAsia="宋体" w:hAnsi="宋体" w:cs="宋体" w:hint="eastAsia"/>
          <w:sz w:val="21"/>
          <w:szCs w:val="21"/>
        </w:rPr>
        <w:t>人，对未予确认的参与资金无息予以返还。</w:t>
      </w:r>
    </w:p>
    <w:p w14:paraId="73C913F2"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资产委托人退出资产管理计划时，资产管理人按先进先出的原则，份额确认日期在先的计划份额先退出，确认日期在后的计划份额后退出，以确定所适用的业绩报酬。</w:t>
      </w:r>
    </w:p>
    <w:p w14:paraId="040F2713"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参与和退出申请的款项支付。参与采用全额交款方式，若资金在规定时间内未全额到账则参与不成功，已交付的委托款项将无息退回资产委托人账户。投资者退出申请成交后，资产管理人应按规定向资产委托人支付退出款项，退出款项在自受理资产委托人有效退出申请之</w:t>
      </w:r>
      <w:r>
        <w:rPr>
          <w:rFonts w:ascii="宋体" w:eastAsia="宋体" w:hAnsi="宋体" w:cs="宋体" w:hint="eastAsia"/>
          <w:sz w:val="21"/>
          <w:szCs w:val="21"/>
        </w:rPr>
        <w:t>日起不超过</w:t>
      </w:r>
      <w:r>
        <w:rPr>
          <w:rFonts w:ascii="宋体" w:eastAsia="宋体" w:hAnsi="宋体" w:cs="宋体" w:hint="eastAsia"/>
          <w:sz w:val="21"/>
          <w:szCs w:val="21"/>
        </w:rPr>
        <w:t>7</w:t>
      </w:r>
      <w:r>
        <w:rPr>
          <w:rFonts w:ascii="宋体" w:eastAsia="宋体" w:hAnsi="宋体" w:cs="宋体" w:hint="eastAsia"/>
          <w:sz w:val="21"/>
          <w:szCs w:val="21"/>
        </w:rPr>
        <w:t>个工作日的时间内</w:t>
      </w:r>
      <w:proofErr w:type="gramStart"/>
      <w:r>
        <w:rPr>
          <w:rFonts w:ascii="宋体" w:eastAsia="宋体" w:hAnsi="宋体" w:cs="宋体" w:hint="eastAsia"/>
          <w:sz w:val="21"/>
          <w:szCs w:val="21"/>
        </w:rPr>
        <w:t>划往资产</w:t>
      </w:r>
      <w:proofErr w:type="gramEnd"/>
      <w:r>
        <w:rPr>
          <w:rFonts w:ascii="宋体" w:eastAsia="宋体" w:hAnsi="宋体" w:cs="宋体" w:hint="eastAsia"/>
          <w:sz w:val="21"/>
          <w:szCs w:val="21"/>
        </w:rPr>
        <w:t>委托人银行账户。在发生巨额退出时，退出款项的支付办法按本合同和有关法律法规规定办理。</w:t>
      </w:r>
    </w:p>
    <w:p w14:paraId="545AB6A1"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、在于资产委托人协商确定后，资产管理人在不损害资产委托人权益的情况下可更改上述原则。</w:t>
      </w:r>
    </w:p>
    <w:p w14:paraId="371D1734"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（五）参与和退出的金额限制</w:t>
      </w:r>
    </w:p>
    <w:p w14:paraId="72100220"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投资者在资产管理计划存续</w:t>
      </w:r>
      <w:proofErr w:type="gramStart"/>
      <w:r>
        <w:rPr>
          <w:rFonts w:ascii="宋体" w:eastAsia="宋体" w:hAnsi="宋体" w:cs="宋体" w:hint="eastAsia"/>
          <w:sz w:val="21"/>
          <w:szCs w:val="21"/>
        </w:rPr>
        <w:t>期开放日购买</w:t>
      </w:r>
      <w:proofErr w:type="gramEnd"/>
      <w:r>
        <w:rPr>
          <w:rFonts w:ascii="宋体" w:eastAsia="宋体" w:hAnsi="宋体" w:cs="宋体" w:hint="eastAsia"/>
          <w:sz w:val="21"/>
          <w:szCs w:val="21"/>
        </w:rPr>
        <w:t>资产管理计划份额的，如投资者在提交参与申请时未持有资产管理计划份额，则投资者应符合合格投资者标准且申购金额应不低于【</w:t>
      </w:r>
      <w:r>
        <w:rPr>
          <w:rFonts w:ascii="宋体" w:eastAsia="宋体" w:hAnsi="宋体" w:cs="宋体" w:hint="eastAsia"/>
          <w:sz w:val="21"/>
          <w:szCs w:val="21"/>
        </w:rPr>
        <w:t>40</w:t>
      </w:r>
      <w:r>
        <w:rPr>
          <w:rFonts w:ascii="宋体" w:eastAsia="宋体" w:hAnsi="宋体" w:cs="宋体" w:hint="eastAsia"/>
          <w:sz w:val="21"/>
          <w:szCs w:val="21"/>
        </w:rPr>
        <w:t>万元】人民币</w:t>
      </w:r>
      <w:r>
        <w:rPr>
          <w:rFonts w:ascii="宋体" w:eastAsia="宋体" w:hAnsi="宋体" w:cs="宋体" w:hint="eastAsia"/>
          <w:sz w:val="21"/>
          <w:szCs w:val="21"/>
        </w:rPr>
        <w:t xml:space="preserve"> </w:t>
      </w:r>
      <w:r>
        <w:rPr>
          <w:rFonts w:ascii="宋体" w:eastAsia="宋体" w:hAnsi="宋体" w:cs="宋体" w:hint="eastAsia"/>
          <w:sz w:val="21"/>
          <w:szCs w:val="21"/>
        </w:rPr>
        <w:t>（不含参与费用），在开放日内追加参与的，每次参与的金额应不低于【</w:t>
      </w:r>
      <w:r>
        <w:rPr>
          <w:rFonts w:ascii="宋体" w:eastAsia="宋体" w:hAnsi="宋体" w:cs="宋体" w:hint="eastAsia"/>
          <w:sz w:val="21"/>
          <w:szCs w:val="21"/>
        </w:rPr>
        <w:t>1</w:t>
      </w:r>
      <w:r>
        <w:rPr>
          <w:rFonts w:ascii="宋体" w:eastAsia="宋体" w:hAnsi="宋体" w:cs="宋体" w:hint="eastAsia"/>
          <w:sz w:val="21"/>
          <w:szCs w:val="21"/>
        </w:rPr>
        <w:t>万元】人民币。</w:t>
      </w:r>
    </w:p>
    <w:p w14:paraId="6B2E7677"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当投资者持有的计划份额</w:t>
      </w:r>
      <w:r>
        <w:rPr>
          <w:rFonts w:ascii="宋体" w:eastAsia="宋体" w:hAnsi="宋体" w:cs="宋体" w:hint="eastAsia"/>
          <w:sz w:val="21"/>
          <w:szCs w:val="21"/>
        </w:rPr>
        <w:t>资产净值高于【</w:t>
      </w:r>
      <w:r>
        <w:rPr>
          <w:rFonts w:ascii="宋体" w:eastAsia="宋体" w:hAnsi="宋体" w:cs="宋体" w:hint="eastAsia"/>
          <w:sz w:val="21"/>
          <w:szCs w:val="21"/>
        </w:rPr>
        <w:t>40</w:t>
      </w:r>
      <w:r>
        <w:rPr>
          <w:rFonts w:ascii="宋体" w:eastAsia="宋体" w:hAnsi="宋体" w:cs="宋体" w:hint="eastAsia"/>
          <w:sz w:val="21"/>
          <w:szCs w:val="21"/>
        </w:rPr>
        <w:t>万元】人民币时，投资者可以选择全部或部分退出资产管理计划份额；选择部分退出资产管理计划份额的，投资者在退出后持有的计划份额资产净值应当不低于【</w:t>
      </w:r>
      <w:r>
        <w:rPr>
          <w:rFonts w:ascii="宋体" w:eastAsia="宋体" w:hAnsi="宋体" w:cs="宋体" w:hint="eastAsia"/>
          <w:sz w:val="21"/>
          <w:szCs w:val="21"/>
        </w:rPr>
        <w:t>40</w:t>
      </w:r>
      <w:r>
        <w:rPr>
          <w:rFonts w:ascii="宋体" w:eastAsia="宋体" w:hAnsi="宋体" w:cs="宋体" w:hint="eastAsia"/>
          <w:sz w:val="21"/>
          <w:szCs w:val="21"/>
        </w:rPr>
        <w:t>万元】人民币。当资产管理人发现投资者申请部分退出资产管理计划将致使其在部分退出申请确认后持有的计划资产净值低于【</w:t>
      </w:r>
      <w:r>
        <w:rPr>
          <w:rFonts w:ascii="宋体" w:eastAsia="宋体" w:hAnsi="宋体" w:cs="宋体" w:hint="eastAsia"/>
          <w:sz w:val="21"/>
          <w:szCs w:val="21"/>
        </w:rPr>
        <w:t>40</w:t>
      </w:r>
      <w:r>
        <w:rPr>
          <w:rFonts w:ascii="宋体" w:eastAsia="宋体" w:hAnsi="宋体" w:cs="宋体" w:hint="eastAsia"/>
          <w:sz w:val="21"/>
          <w:szCs w:val="21"/>
        </w:rPr>
        <w:t>万元】人民币的，资产管理人有权适当减少该投资者的退出金额，以保证部分退出申请确认后投资者持有的计划资产净值不低于【</w:t>
      </w:r>
      <w:r>
        <w:rPr>
          <w:rFonts w:ascii="宋体" w:eastAsia="宋体" w:hAnsi="宋体" w:cs="宋体" w:hint="eastAsia"/>
          <w:sz w:val="21"/>
          <w:szCs w:val="21"/>
        </w:rPr>
        <w:t>40</w:t>
      </w:r>
      <w:r>
        <w:rPr>
          <w:rFonts w:ascii="宋体" w:eastAsia="宋体" w:hAnsi="宋体" w:cs="宋体" w:hint="eastAsia"/>
          <w:sz w:val="21"/>
          <w:szCs w:val="21"/>
        </w:rPr>
        <w:t>万元】人民币。</w:t>
      </w:r>
    </w:p>
    <w:p w14:paraId="7083A259"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当投资者持有的计划资产净值低于【</w:t>
      </w:r>
      <w:r>
        <w:rPr>
          <w:rFonts w:ascii="宋体" w:eastAsia="宋体" w:hAnsi="宋体" w:cs="宋体" w:hint="eastAsia"/>
          <w:sz w:val="21"/>
          <w:szCs w:val="21"/>
        </w:rPr>
        <w:t>40</w:t>
      </w:r>
      <w:r>
        <w:rPr>
          <w:rFonts w:ascii="宋体" w:eastAsia="宋体" w:hAnsi="宋体" w:cs="宋体" w:hint="eastAsia"/>
          <w:sz w:val="21"/>
          <w:szCs w:val="21"/>
        </w:rPr>
        <w:t>万元】人民币（含【</w:t>
      </w:r>
      <w:r>
        <w:rPr>
          <w:rFonts w:ascii="宋体" w:eastAsia="宋体" w:hAnsi="宋体" w:cs="宋体" w:hint="eastAsia"/>
          <w:sz w:val="21"/>
          <w:szCs w:val="21"/>
        </w:rPr>
        <w:t>40</w:t>
      </w:r>
      <w:r>
        <w:rPr>
          <w:rFonts w:ascii="宋体" w:eastAsia="宋体" w:hAnsi="宋体" w:cs="宋体" w:hint="eastAsia"/>
          <w:sz w:val="21"/>
          <w:szCs w:val="21"/>
        </w:rPr>
        <w:t>万元】人民币）时，需要退出计划的，投资者</w:t>
      </w:r>
      <w:r>
        <w:rPr>
          <w:rFonts w:ascii="宋体" w:eastAsia="宋体" w:hAnsi="宋体" w:cs="宋体" w:hint="eastAsia"/>
          <w:sz w:val="21"/>
          <w:szCs w:val="21"/>
        </w:rPr>
        <w:t>应当一次性全部退出资产管理计划。</w:t>
      </w:r>
    </w:p>
    <w:p w14:paraId="04F81890"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资产管理人可根据市场情况，合理调整对参与金额和退出份额的数量限制，资产管理人进行前述调整必须提前</w:t>
      </w:r>
      <w:r>
        <w:rPr>
          <w:rFonts w:ascii="宋体" w:eastAsia="宋体" w:hAnsi="宋体" w:cs="宋体" w:hint="eastAsia"/>
          <w:sz w:val="21"/>
          <w:szCs w:val="21"/>
        </w:rPr>
        <w:t>3</w:t>
      </w:r>
      <w:r>
        <w:rPr>
          <w:rFonts w:ascii="宋体" w:eastAsia="宋体" w:hAnsi="宋体" w:cs="宋体" w:hint="eastAsia"/>
          <w:sz w:val="21"/>
          <w:szCs w:val="21"/>
        </w:rPr>
        <w:t>个工作日告知资产委托人。</w:t>
      </w:r>
      <w:r>
        <w:rPr>
          <w:rFonts w:ascii="宋体" w:eastAsia="宋体" w:hAnsi="宋体" w:cs="宋体" w:hint="eastAsia"/>
          <w:b/>
          <w:sz w:val="21"/>
          <w:szCs w:val="21"/>
        </w:rPr>
        <w:t>资产管理人在网站公告或邮件通知前述调整事项即视为履行了告知义务。</w:t>
      </w:r>
    </w:p>
    <w:p w14:paraId="3CD2F2E7"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（六）参与和退出的费用</w:t>
      </w:r>
    </w:p>
    <w:p w14:paraId="03BD504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、参与费用与参与份额的计算方式</w:t>
      </w:r>
    </w:p>
    <w:p w14:paraId="10BE5F4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本计划无参与费用。</w:t>
      </w:r>
    </w:p>
    <w:p w14:paraId="725A27A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参与份额及参与费用的计算方法如下：</w:t>
      </w:r>
    </w:p>
    <w:p w14:paraId="07B0B5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w:t>
      </w:r>
      <w:r>
        <w:rPr>
          <w:rFonts w:ascii="宋体" w:eastAsia="宋体" w:hAnsi="宋体" w:cs="宋体" w:hint="eastAsia"/>
          <w:sz w:val="21"/>
          <w:szCs w:val="21"/>
        </w:rPr>
        <w:t>=</w:t>
      </w:r>
      <w:r>
        <w:rPr>
          <w:rFonts w:ascii="宋体" w:eastAsia="宋体" w:hAnsi="宋体" w:cs="宋体" w:hint="eastAsia"/>
          <w:sz w:val="21"/>
          <w:szCs w:val="21"/>
        </w:rPr>
        <w:t>参与金额</w:t>
      </w:r>
      <w:r>
        <w:rPr>
          <w:rFonts w:ascii="宋体" w:eastAsia="宋体" w:hAnsi="宋体" w:cs="宋体" w:hint="eastAsia"/>
          <w:sz w:val="21"/>
          <w:szCs w:val="21"/>
        </w:rPr>
        <w:t>/</w:t>
      </w:r>
      <w:r>
        <w:rPr>
          <w:rFonts w:ascii="宋体" w:eastAsia="宋体" w:hAnsi="宋体" w:cs="宋体" w:hint="eastAsia"/>
          <w:sz w:val="21"/>
          <w:szCs w:val="21"/>
        </w:rPr>
        <w:t>申请</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管理计划份额净值</w:t>
      </w:r>
    </w:p>
    <w:p w14:paraId="2122272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参与份额的计算结果按照四舍五入方式保留到小数点后两位，由此产生的误差由计划财产承担。</w:t>
      </w:r>
    </w:p>
    <w:p w14:paraId="3645E84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、退出费用与退出金额的计算方式</w:t>
      </w:r>
    </w:p>
    <w:p w14:paraId="32ECBA1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本计划无退出费用。</w:t>
      </w:r>
    </w:p>
    <w:p w14:paraId="3EABFD7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本计划退出金额的计算方法如下：</w:t>
      </w:r>
    </w:p>
    <w:p w14:paraId="67269FE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退出总额</w:t>
      </w:r>
      <w:r>
        <w:rPr>
          <w:rFonts w:ascii="宋体" w:eastAsia="宋体" w:hAnsi="宋体" w:cs="宋体" w:hint="eastAsia"/>
          <w:sz w:val="21"/>
          <w:szCs w:val="21"/>
        </w:rPr>
        <w:t>=</w:t>
      </w:r>
      <w:r>
        <w:rPr>
          <w:rFonts w:ascii="宋体" w:eastAsia="宋体" w:hAnsi="宋体" w:cs="宋体" w:hint="eastAsia"/>
          <w:sz w:val="21"/>
          <w:szCs w:val="21"/>
        </w:rPr>
        <w:t>退出份额×申请</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管理计划份额净值</w:t>
      </w:r>
    </w:p>
    <w:p w14:paraId="4FD168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退出金额</w:t>
      </w:r>
      <w:r>
        <w:rPr>
          <w:rFonts w:ascii="宋体" w:eastAsia="宋体" w:hAnsi="宋体" w:cs="宋体" w:hint="eastAsia"/>
          <w:sz w:val="21"/>
          <w:szCs w:val="21"/>
        </w:rPr>
        <w:t>=</w:t>
      </w:r>
      <w:r>
        <w:rPr>
          <w:rFonts w:ascii="宋体" w:eastAsia="宋体" w:hAnsi="宋体" w:cs="宋体" w:hint="eastAsia"/>
          <w:sz w:val="21"/>
          <w:szCs w:val="21"/>
        </w:rPr>
        <w:t>退出总额</w:t>
      </w:r>
      <w:r>
        <w:rPr>
          <w:rFonts w:ascii="宋体" w:eastAsia="宋体" w:hAnsi="宋体" w:cs="宋体" w:hint="eastAsia"/>
          <w:sz w:val="21"/>
          <w:szCs w:val="21"/>
        </w:rPr>
        <w:t>-</w:t>
      </w:r>
      <w:r>
        <w:rPr>
          <w:rFonts w:ascii="宋体" w:eastAsia="宋体" w:hAnsi="宋体" w:cs="宋体" w:hint="eastAsia"/>
          <w:sz w:val="21"/>
          <w:szCs w:val="21"/>
        </w:rPr>
        <w:t>退出费用</w:t>
      </w:r>
      <w:r>
        <w:rPr>
          <w:rFonts w:ascii="宋体" w:eastAsia="宋体" w:hAnsi="宋体" w:cs="宋体" w:hint="eastAsia"/>
          <w:sz w:val="21"/>
          <w:szCs w:val="21"/>
        </w:rPr>
        <w:t>(</w:t>
      </w:r>
      <w:r>
        <w:rPr>
          <w:rFonts w:ascii="宋体" w:eastAsia="宋体" w:hAnsi="宋体" w:cs="宋体" w:hint="eastAsia"/>
          <w:sz w:val="21"/>
          <w:szCs w:val="21"/>
        </w:rPr>
        <w:t>如有</w:t>
      </w:r>
      <w:r>
        <w:rPr>
          <w:rFonts w:ascii="宋体" w:eastAsia="宋体" w:hAnsi="宋体" w:cs="宋体" w:hint="eastAsia"/>
          <w:sz w:val="21"/>
          <w:szCs w:val="21"/>
        </w:rPr>
        <w:t>)-</w:t>
      </w:r>
      <w:r>
        <w:rPr>
          <w:rFonts w:ascii="宋体" w:eastAsia="宋体" w:hAnsi="宋体" w:cs="宋体" w:hint="eastAsia"/>
          <w:sz w:val="21"/>
          <w:szCs w:val="21"/>
        </w:rPr>
        <w:t>业绩报酬（如有）</w:t>
      </w:r>
    </w:p>
    <w:p w14:paraId="2FA4472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其中，退出总额和退出金额的计算结果保留到小数点后</w:t>
      </w:r>
      <w:r>
        <w:rPr>
          <w:rFonts w:ascii="宋体" w:eastAsia="宋体" w:hAnsi="宋体" w:cs="宋体" w:hint="eastAsia"/>
          <w:sz w:val="21"/>
          <w:szCs w:val="21"/>
        </w:rPr>
        <w:t>2</w:t>
      </w:r>
      <w:r>
        <w:rPr>
          <w:rFonts w:ascii="宋体" w:eastAsia="宋体" w:hAnsi="宋体" w:cs="宋体" w:hint="eastAsia"/>
          <w:sz w:val="21"/>
          <w:szCs w:val="21"/>
        </w:rPr>
        <w:t>位，小数点后第</w:t>
      </w:r>
      <w:r>
        <w:rPr>
          <w:rFonts w:ascii="宋体" w:eastAsia="宋体" w:hAnsi="宋体" w:cs="宋体" w:hint="eastAsia"/>
          <w:sz w:val="21"/>
          <w:szCs w:val="21"/>
        </w:rPr>
        <w:t>3</w:t>
      </w:r>
      <w:r>
        <w:rPr>
          <w:rFonts w:ascii="宋体" w:eastAsia="宋体" w:hAnsi="宋体" w:cs="宋体" w:hint="eastAsia"/>
          <w:sz w:val="21"/>
          <w:szCs w:val="21"/>
        </w:rPr>
        <w:t>位四舍五入，由此产生的误差产生的收益或损失由计划财产承担。</w:t>
      </w:r>
    </w:p>
    <w:p w14:paraId="4C49A46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（七）拒绝或暂停参与、暂停退出的情形及处理</w:t>
      </w:r>
    </w:p>
    <w:p w14:paraId="40345D48"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、在如下情况下，资产管理人可以拒绝接受投资者的参与申请：</w:t>
      </w:r>
    </w:p>
    <w:p w14:paraId="33EB5B8A"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）如接受该申请，将导致本计划的资产委托人超过</w:t>
      </w:r>
      <w:r>
        <w:rPr>
          <w:rFonts w:ascii="宋体" w:eastAsia="宋体" w:hAnsi="宋体" w:cs="宋体" w:hint="eastAsia"/>
          <w:sz w:val="21"/>
          <w:szCs w:val="21"/>
        </w:rPr>
        <w:t>200</w:t>
      </w:r>
      <w:r>
        <w:rPr>
          <w:rFonts w:ascii="宋体" w:eastAsia="宋体" w:hAnsi="宋体" w:cs="宋体" w:hint="eastAsia"/>
          <w:sz w:val="21"/>
          <w:szCs w:val="21"/>
        </w:rPr>
        <w:t>人。</w:t>
      </w:r>
    </w:p>
    <w:p w14:paraId="6723827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）根据市场情况，资产管理人无法找到合适的投资品种，或其他可能对资产管理计划业绩产生负面影响，从而损害现有资产管理计划资产委托人的利益的情形。</w:t>
      </w:r>
    </w:p>
    <w:p w14:paraId="5850039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）因资产管理计划收益分配、或资产管理计划内某个或某些证券进行权益分派等原</w:t>
      </w:r>
      <w:r>
        <w:rPr>
          <w:rFonts w:ascii="宋体" w:eastAsia="宋体" w:hAnsi="宋体" w:cs="宋体" w:hint="eastAsia"/>
          <w:sz w:val="21"/>
          <w:szCs w:val="21"/>
        </w:rPr>
        <w:t>因，使资产管理人认为短期内接受参与可能会影响或损害现有资产管理计划资产委托人利益的。</w:t>
      </w:r>
    </w:p>
    <w:p w14:paraId="10A5955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）资产管理人认为接受某笔或某些参与申请可能会影响或损害其他资产管理计划资产委托人利益的。</w:t>
      </w:r>
    </w:p>
    <w:p w14:paraId="3B5EDEE8"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）法律法规规定或经中国证监会认定的其他情形。</w:t>
      </w:r>
    </w:p>
    <w:p w14:paraId="419A3BE1"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资产管理人决定拒绝接受某些资产委托人的参与申请时，参与款项将无息退回资产委托人账户。</w:t>
      </w:r>
    </w:p>
    <w:p w14:paraId="54F7F929"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、在如下情况下，资产管理人可以暂停接受投资者的参与申请：</w:t>
      </w:r>
    </w:p>
    <w:p w14:paraId="481E6C3E"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）因不可抗力导致无法受理资产委托人的参与申请。</w:t>
      </w:r>
    </w:p>
    <w:p w14:paraId="522B51E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）证券交易场所交易时间临时停市，导致资产管理人无法计算当日资产管理计划财产净值。</w:t>
      </w:r>
    </w:p>
    <w:p w14:paraId="62F1DA6A"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）发生</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管理计划合同规定的暂停资产管理计划资产估值情况。</w:t>
      </w:r>
    </w:p>
    <w:p w14:paraId="735509FE"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）法律法规规定或经中国证监会认定的其他情形。</w:t>
      </w:r>
    </w:p>
    <w:p w14:paraId="206D4E49"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资产管理人决定暂停接受全部或部分参与申请时，应当告知资产委托人。在暂停参与的情形消除时，</w:t>
      </w:r>
      <w:r>
        <w:rPr>
          <w:rFonts w:ascii="宋体" w:eastAsia="宋体" w:hAnsi="宋体" w:cs="宋体" w:hint="eastAsia"/>
          <w:sz w:val="21"/>
          <w:szCs w:val="21"/>
        </w:rPr>
        <w:lastRenderedPageBreak/>
        <w:t>资产管理人应及时恢复参与业务的办理并告知资产委托人。</w:t>
      </w:r>
    </w:p>
    <w:p w14:paraId="1C61077C"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、在如下情况下，资产管理人可以暂停接受资产委托人的退出申请：</w:t>
      </w:r>
    </w:p>
    <w:p w14:paraId="5168E607"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）因不可抗力导致资产管理人无法支付退出款项。</w:t>
      </w:r>
    </w:p>
    <w:p w14:paraId="404D8D69"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）证券交易场所交易时间临时停市，导致资产管理人无法计算当日资产管理计划财产净值。</w:t>
      </w:r>
    </w:p>
    <w:p w14:paraId="7A36BA13"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）发生</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管理计划合同规定的暂停资产管理计划资产估值的情况；</w:t>
      </w:r>
    </w:p>
    <w:p w14:paraId="208D6F4E"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）发生连续巨额赎回；</w:t>
      </w:r>
    </w:p>
    <w:p w14:paraId="6CF3B550"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）法律法规规定或经中国证监会认定的其他情形。</w:t>
      </w:r>
    </w:p>
    <w:p w14:paraId="5C7F9DD2"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发生上述情形之一的，资产管理人应当及时告知资产委托人。已接受的退出申请，资产管理人应当足额支付；如暂时不能足额支付，应当按单个退出申请人已被接受的退出申请量占已接受的退出申请总量的比例分配给退出申请人，其余部分在后续开放日予以支付。</w:t>
      </w:r>
    </w:p>
    <w:p w14:paraId="26D66086"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在暂停退出的情况消除时，资产管理人应及时恢复退出</w:t>
      </w:r>
      <w:r>
        <w:rPr>
          <w:rFonts w:ascii="宋体" w:eastAsia="宋体" w:hAnsi="宋体" w:cs="宋体" w:hint="eastAsia"/>
          <w:sz w:val="21"/>
          <w:szCs w:val="21"/>
        </w:rPr>
        <w:t>业务的办理并及时告知资产委托人。</w:t>
      </w:r>
    </w:p>
    <w:p w14:paraId="0941C95A"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、暂停资产管理计划的参与、退出时，资产管理人应按规定告知资产委托人并履行相应报告程序。</w:t>
      </w:r>
    </w:p>
    <w:p w14:paraId="3BD63EEA"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、暂停参与或退出期间结束，资产管理计划重新开放时，资产管理人应按规定告知资产委托人并履行相应报告程序。</w:t>
      </w:r>
    </w:p>
    <w:p w14:paraId="253859D9"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（八）大额退出的通知</w:t>
      </w:r>
    </w:p>
    <w:p w14:paraId="7DDB8E34"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任</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委托人在开放日退出金额超过人民币</w:t>
      </w:r>
      <w:r>
        <w:rPr>
          <w:rFonts w:ascii="宋体" w:eastAsia="宋体" w:hAnsi="宋体" w:cs="宋体" w:hint="eastAsia"/>
          <w:sz w:val="21"/>
          <w:szCs w:val="21"/>
        </w:rPr>
        <w:t>1000</w:t>
      </w:r>
      <w:r>
        <w:rPr>
          <w:rFonts w:ascii="宋体" w:eastAsia="宋体" w:hAnsi="宋体" w:cs="宋体" w:hint="eastAsia"/>
          <w:sz w:val="21"/>
          <w:szCs w:val="21"/>
        </w:rPr>
        <w:t>万元的，应当提前</w:t>
      </w:r>
      <w:r>
        <w:rPr>
          <w:rFonts w:ascii="宋体" w:eastAsia="宋体" w:hAnsi="宋体" w:cs="宋体" w:hint="eastAsia"/>
          <w:sz w:val="21"/>
          <w:szCs w:val="21"/>
        </w:rPr>
        <w:t>5</w:t>
      </w:r>
      <w:r>
        <w:rPr>
          <w:rFonts w:ascii="宋体" w:eastAsia="宋体" w:hAnsi="宋体" w:cs="宋体" w:hint="eastAsia"/>
          <w:sz w:val="21"/>
          <w:szCs w:val="21"/>
        </w:rPr>
        <w:t>个工作日书面通知管理人。管理人未收到该等通知的，管理人有权拒绝该委托人的退出。</w:t>
      </w:r>
    </w:p>
    <w:p w14:paraId="6AEB5FD1"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（九）巨额退出的认定及处理方式</w:t>
      </w:r>
    </w:p>
    <w:p w14:paraId="62C7C9BD"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、巨额退出的认定</w:t>
      </w:r>
    </w:p>
    <w:p w14:paraId="25933865"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单个开放日中，</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管理计划需处理的净退出</w:t>
      </w:r>
      <w:proofErr w:type="gramStart"/>
      <w:r>
        <w:rPr>
          <w:rFonts w:ascii="宋体" w:eastAsia="宋体" w:hAnsi="宋体" w:cs="宋体" w:hint="eastAsia"/>
          <w:sz w:val="21"/>
          <w:szCs w:val="21"/>
        </w:rPr>
        <w:t>申请总</w:t>
      </w:r>
      <w:proofErr w:type="gramEnd"/>
      <w:r>
        <w:rPr>
          <w:rFonts w:ascii="宋体" w:eastAsia="宋体" w:hAnsi="宋体" w:cs="宋体" w:hint="eastAsia"/>
          <w:sz w:val="21"/>
          <w:szCs w:val="21"/>
        </w:rPr>
        <w:t>份额超过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w:t>
      </w:r>
      <w:r>
        <w:rPr>
          <w:rFonts w:ascii="宋体" w:eastAsia="宋体" w:hAnsi="宋体" w:cs="宋体" w:hint="eastAsia"/>
          <w:sz w:val="21"/>
          <w:szCs w:val="21"/>
        </w:rPr>
        <w:t>计划上一工作日资产管理计划总份额的</w:t>
      </w:r>
      <w:r>
        <w:rPr>
          <w:rFonts w:ascii="宋体" w:eastAsia="宋体" w:hAnsi="宋体" w:cs="宋体" w:hint="eastAsia"/>
          <w:sz w:val="21"/>
          <w:szCs w:val="21"/>
        </w:rPr>
        <w:t>20%</w:t>
      </w:r>
      <w:r>
        <w:rPr>
          <w:rFonts w:ascii="宋体" w:eastAsia="宋体" w:hAnsi="宋体" w:cs="宋体" w:hint="eastAsia"/>
          <w:sz w:val="21"/>
          <w:szCs w:val="21"/>
        </w:rPr>
        <w:t>时，即认为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管理计划发生了巨额退出。</w:t>
      </w:r>
    </w:p>
    <w:p w14:paraId="1BE74147"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、巨额退出的处理方式</w:t>
      </w:r>
    </w:p>
    <w:p w14:paraId="11BFF851"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出现巨额退出时，资产管理人可以根据</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管理计划当时的资产状况决定接受全额退出或部分退出。</w:t>
      </w:r>
    </w:p>
    <w:p w14:paraId="0CA605C2"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）接受全额退出：当资产管理人认为有能力兑付资产委托人的全部退出申请时，按正常退出程序执行。</w:t>
      </w:r>
    </w:p>
    <w:p w14:paraId="58379E25"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）部分延期退出：当资产管理人认为全额兑付资产委托人的退出申请有困难，或认为兑付资产委托人的退出申请进行的资产变现可能使资产管理计划财产净值发生较大波动时，资产管理人在接受退出比</w:t>
      </w:r>
      <w:r>
        <w:rPr>
          <w:rFonts w:ascii="宋体" w:eastAsia="宋体" w:hAnsi="宋体" w:cs="宋体" w:hint="eastAsia"/>
          <w:sz w:val="21"/>
          <w:szCs w:val="21"/>
        </w:rPr>
        <w:lastRenderedPageBreak/>
        <w:t>例不低于前一日资产管理计划总份额</w:t>
      </w:r>
      <w:r>
        <w:rPr>
          <w:rFonts w:ascii="宋体" w:eastAsia="宋体" w:hAnsi="宋体" w:cs="宋体" w:hint="eastAsia"/>
          <w:sz w:val="21"/>
          <w:szCs w:val="21"/>
        </w:rPr>
        <w:t>20%</w:t>
      </w:r>
      <w:r>
        <w:rPr>
          <w:rFonts w:ascii="宋体" w:eastAsia="宋体" w:hAnsi="宋体" w:cs="宋体" w:hint="eastAsia"/>
          <w:sz w:val="21"/>
          <w:szCs w:val="21"/>
        </w:rPr>
        <w:t>的前提下，办理部分退出，并按单个资产委托人申请退出份额占净退出</w:t>
      </w:r>
      <w:proofErr w:type="gramStart"/>
      <w:r>
        <w:rPr>
          <w:rFonts w:ascii="宋体" w:eastAsia="宋体" w:hAnsi="宋体" w:cs="宋体" w:hint="eastAsia"/>
          <w:sz w:val="21"/>
          <w:szCs w:val="21"/>
        </w:rPr>
        <w:t>申请总</w:t>
      </w:r>
      <w:proofErr w:type="gramEnd"/>
      <w:r>
        <w:rPr>
          <w:rFonts w:ascii="宋体" w:eastAsia="宋体" w:hAnsi="宋体" w:cs="宋体" w:hint="eastAsia"/>
          <w:sz w:val="21"/>
          <w:szCs w:val="21"/>
        </w:rPr>
        <w:t>份额的比例，确定该资产委托人的退出份额，未受理部分予以撤销。部分退出导致资产委托人持有的计划份额资产净值低于【</w:t>
      </w:r>
      <w:r>
        <w:rPr>
          <w:rFonts w:ascii="宋体" w:eastAsia="宋体" w:hAnsi="宋体" w:cs="宋体" w:hint="eastAsia"/>
          <w:sz w:val="21"/>
          <w:szCs w:val="21"/>
        </w:rPr>
        <w:t>40</w:t>
      </w:r>
      <w:r>
        <w:rPr>
          <w:rFonts w:ascii="宋体" w:eastAsia="宋体" w:hAnsi="宋体" w:cs="宋体" w:hint="eastAsia"/>
          <w:sz w:val="21"/>
          <w:szCs w:val="21"/>
        </w:rPr>
        <w:t>万元】的，资产管理人可按全额退出处理。</w:t>
      </w:r>
    </w:p>
    <w:p w14:paraId="68BAD3E5"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）当发生巨额退出并只接受部分退出时，资产管理人应当通过邮寄、传真、邮件、本合同或计划说明书规定的其他方式，在开放日后的</w:t>
      </w:r>
      <w:r>
        <w:rPr>
          <w:rFonts w:ascii="宋体" w:eastAsia="宋体" w:hAnsi="宋体" w:cs="宋体" w:hint="eastAsia"/>
          <w:sz w:val="21"/>
          <w:szCs w:val="21"/>
        </w:rPr>
        <w:t>3</w:t>
      </w:r>
      <w:r>
        <w:rPr>
          <w:rFonts w:ascii="宋体" w:eastAsia="宋体" w:hAnsi="宋体" w:cs="宋体" w:hint="eastAsia"/>
          <w:sz w:val="21"/>
          <w:szCs w:val="21"/>
        </w:rPr>
        <w:t>个交易日内及时告知资产委托人，说明有关处理方法。</w:t>
      </w:r>
    </w:p>
    <w:p w14:paraId="625FEBF4"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）出现连续巨额退出时，即连续</w:t>
      </w:r>
      <w:r>
        <w:rPr>
          <w:rFonts w:ascii="宋体" w:eastAsia="宋体" w:hAnsi="宋体" w:cs="宋体" w:hint="eastAsia"/>
          <w:sz w:val="21"/>
          <w:szCs w:val="21"/>
        </w:rPr>
        <w:t>2</w:t>
      </w:r>
      <w:r>
        <w:rPr>
          <w:rFonts w:ascii="宋体" w:eastAsia="宋体" w:hAnsi="宋体" w:cs="宋体" w:hint="eastAsia"/>
          <w:sz w:val="21"/>
          <w:szCs w:val="21"/>
        </w:rPr>
        <w:t>个开放日以上</w:t>
      </w:r>
      <w:r>
        <w:rPr>
          <w:rFonts w:ascii="宋体" w:eastAsia="宋体" w:hAnsi="宋体" w:cs="宋体" w:hint="eastAsia"/>
          <w:sz w:val="21"/>
          <w:szCs w:val="21"/>
        </w:rPr>
        <w:t>(</w:t>
      </w:r>
      <w:r>
        <w:rPr>
          <w:rFonts w:ascii="宋体" w:eastAsia="宋体" w:hAnsi="宋体" w:cs="宋体" w:hint="eastAsia"/>
          <w:sz w:val="21"/>
          <w:szCs w:val="21"/>
        </w:rPr>
        <w:t>含本数</w:t>
      </w:r>
      <w:r>
        <w:rPr>
          <w:rFonts w:ascii="宋体" w:eastAsia="宋体" w:hAnsi="宋体" w:cs="宋体" w:hint="eastAsia"/>
          <w:sz w:val="21"/>
          <w:szCs w:val="21"/>
        </w:rPr>
        <w:t>)</w:t>
      </w:r>
      <w:r>
        <w:rPr>
          <w:rFonts w:ascii="宋体" w:eastAsia="宋体" w:hAnsi="宋体" w:cs="宋体" w:hint="eastAsia"/>
          <w:sz w:val="21"/>
          <w:szCs w:val="21"/>
        </w:rPr>
        <w:t>发生巨额赎回，如资产管理人认为有必要，可暂停接受退出申请；已经接受的退出申请可以延缓支付退出款项，但不得超过</w:t>
      </w:r>
      <w:r>
        <w:rPr>
          <w:rFonts w:ascii="宋体" w:eastAsia="宋体" w:hAnsi="宋体" w:cs="宋体" w:hint="eastAsia"/>
          <w:sz w:val="21"/>
          <w:szCs w:val="21"/>
        </w:rPr>
        <w:t>20</w:t>
      </w:r>
      <w:r>
        <w:rPr>
          <w:rFonts w:ascii="宋体" w:eastAsia="宋体" w:hAnsi="宋体" w:cs="宋体" w:hint="eastAsia"/>
          <w:sz w:val="21"/>
          <w:szCs w:val="21"/>
        </w:rPr>
        <w:t>个工作日。出现连续巨额退出并暂停接受退出申请或延缓支付退出款项时，资产管理人应当在</w:t>
      </w:r>
      <w:r>
        <w:rPr>
          <w:rFonts w:ascii="宋体" w:eastAsia="宋体" w:hAnsi="宋体" w:cs="宋体" w:hint="eastAsia"/>
          <w:sz w:val="21"/>
          <w:szCs w:val="21"/>
        </w:rPr>
        <w:t>20</w:t>
      </w:r>
      <w:r>
        <w:rPr>
          <w:rFonts w:ascii="宋体" w:eastAsia="宋体" w:hAnsi="宋体" w:cs="宋体" w:hint="eastAsia"/>
          <w:sz w:val="21"/>
          <w:szCs w:val="21"/>
        </w:rPr>
        <w:t>个交易日内通知资产委托人，并说明有关处理方法。</w:t>
      </w:r>
    </w:p>
    <w:p w14:paraId="14EBE1D6"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（十）份额转让</w:t>
      </w:r>
    </w:p>
    <w:p w14:paraId="38437B53"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在具备可行条件且经管</w:t>
      </w:r>
      <w:r>
        <w:rPr>
          <w:rFonts w:ascii="宋体" w:eastAsia="宋体" w:hAnsi="宋体" w:cs="宋体" w:hint="eastAsia"/>
          <w:sz w:val="21"/>
          <w:szCs w:val="21"/>
        </w:rPr>
        <w:t>理人公告或通知后，资产委托人可以通过证券交易所以及中国证监会认可的其他方式，向合格投资者转让其持有的</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管理计划份额，份额转让应遵守交易场所相关规定及要求，并按规定办理份额变更登记手续。转让后，持有</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管理计划份额的合格投资者合计不得超过</w:t>
      </w:r>
      <w:r>
        <w:rPr>
          <w:rFonts w:ascii="宋体" w:eastAsia="宋体" w:hAnsi="宋体" w:cs="宋体" w:hint="eastAsia"/>
          <w:sz w:val="21"/>
          <w:szCs w:val="21"/>
        </w:rPr>
        <w:t>200</w:t>
      </w:r>
      <w:r>
        <w:rPr>
          <w:rFonts w:ascii="宋体" w:eastAsia="宋体" w:hAnsi="宋体" w:cs="宋体" w:hint="eastAsia"/>
          <w:sz w:val="21"/>
          <w:szCs w:val="21"/>
        </w:rPr>
        <w:t>人。资产管理人应当在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管理计划份额转让前，对受让人的合格投资者身份和资产管理计划的投资者人数进行合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性审查。受让方首次参与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管理计划的，应当先与资产管理人、资产托管人签订资产管理合同。</w:t>
      </w:r>
    </w:p>
    <w:p w14:paraId="0FDEFBEB"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（十一）</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过户认定及处理方式</w:t>
      </w:r>
    </w:p>
    <w:p w14:paraId="787314E6"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、资产管理人及注册登记机构只受理继</w:t>
      </w:r>
      <w:r>
        <w:rPr>
          <w:rFonts w:ascii="宋体" w:eastAsia="宋体" w:hAnsi="宋体" w:cs="宋体" w:hint="eastAsia"/>
          <w:sz w:val="21"/>
          <w:szCs w:val="21"/>
        </w:rPr>
        <w:t>承、捐赠、司法强制执行和经注册登记机构认可的其他情况下的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过户。其中：</w:t>
      </w:r>
    </w:p>
    <w:p w14:paraId="71F5B409"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“继承”是指资产委托人死亡，其持有的计划份额由其合法的继承人继承。</w:t>
      </w:r>
    </w:p>
    <w:p w14:paraId="7A08C077"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“捐赠”</w:t>
      </w:r>
      <w:r>
        <w:rPr>
          <w:rFonts w:ascii="宋体" w:eastAsia="宋体" w:hAnsi="宋体" w:cs="宋体" w:hint="eastAsia"/>
          <w:color w:val="000000"/>
          <w:sz w:val="21"/>
          <w:szCs w:val="21"/>
        </w:rPr>
        <w:t>是指资产委托人将其合法持有的计划份额捐赠给公益性质的基金会或社会团体。</w:t>
      </w:r>
    </w:p>
    <w:p w14:paraId="3CCC9788"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“司法强制执行”是指司法机构依据生效司法文书将资产委托人持有的计划份额强制划转给其他自然人、法人、社会团体或其他组织的情形。</w:t>
      </w:r>
    </w:p>
    <w:p w14:paraId="0FDE1174"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、办理</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过户业务必须提供注册登记机构规定的相关资料。符合条件的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过户申请自申请受理日起</w:t>
      </w:r>
      <w:r>
        <w:rPr>
          <w:rFonts w:ascii="宋体" w:eastAsia="宋体" w:hAnsi="宋体" w:cs="宋体" w:hint="eastAsia"/>
          <w:sz w:val="21"/>
          <w:szCs w:val="21"/>
        </w:rPr>
        <w:t>2</w:t>
      </w:r>
      <w:r>
        <w:rPr>
          <w:rFonts w:ascii="宋体" w:eastAsia="宋体" w:hAnsi="宋体" w:cs="宋体" w:hint="eastAsia"/>
          <w:sz w:val="21"/>
          <w:szCs w:val="21"/>
        </w:rPr>
        <w:t>个月内办理；申请人按注册登记机构规定的标准缴纳过户费用。</w:t>
      </w:r>
    </w:p>
    <w:p w14:paraId="555048D6"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（十二）资产管理人自有资金参与</w:t>
      </w:r>
    </w:p>
    <w:p w14:paraId="04070E57"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资产管理人若以自有资金参与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管理计划的，与其余投资者所持的份额享有同等权益、承担同等风险。</w:t>
      </w:r>
    </w:p>
    <w:p w14:paraId="1DBDD5DB"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lastRenderedPageBreak/>
        <w:t>资产管理人持有的计划份额比例不得超过本计划总份额的</w:t>
      </w:r>
      <w:r>
        <w:rPr>
          <w:rFonts w:ascii="宋体" w:eastAsia="宋体" w:hAnsi="宋体" w:cs="宋体" w:hint="eastAsia"/>
          <w:sz w:val="21"/>
          <w:szCs w:val="21"/>
        </w:rPr>
        <w:t>20%</w:t>
      </w:r>
      <w:r>
        <w:rPr>
          <w:rFonts w:ascii="宋体" w:eastAsia="宋体" w:hAnsi="宋体" w:cs="宋体" w:hint="eastAsia"/>
          <w:sz w:val="21"/>
          <w:szCs w:val="21"/>
        </w:rPr>
        <w:t>，且参与本计划的持有期限不得少于</w:t>
      </w:r>
      <w:r>
        <w:rPr>
          <w:rFonts w:ascii="宋体" w:eastAsia="宋体" w:hAnsi="宋体" w:cs="宋体" w:hint="eastAsia"/>
          <w:sz w:val="21"/>
          <w:szCs w:val="21"/>
        </w:rPr>
        <w:t>6</w:t>
      </w:r>
      <w:r>
        <w:rPr>
          <w:rFonts w:ascii="宋体" w:eastAsia="宋体" w:hAnsi="宋体" w:cs="宋体" w:hint="eastAsia"/>
          <w:sz w:val="21"/>
          <w:szCs w:val="21"/>
        </w:rPr>
        <w:t>个月。同时，参与、退出本计划时，资产管理人应当提前</w:t>
      </w:r>
      <w:r>
        <w:rPr>
          <w:rFonts w:ascii="宋体" w:eastAsia="宋体" w:hAnsi="宋体" w:cs="宋体" w:hint="eastAsia"/>
          <w:sz w:val="21"/>
          <w:szCs w:val="21"/>
        </w:rPr>
        <w:t>5</w:t>
      </w:r>
      <w:r>
        <w:rPr>
          <w:rFonts w:ascii="宋体" w:eastAsia="宋体" w:hAnsi="宋体" w:cs="宋体" w:hint="eastAsia"/>
          <w:sz w:val="21"/>
          <w:szCs w:val="21"/>
        </w:rPr>
        <w:t>个工作日以邮件或网站公告的形式告知投资者和资产托管人，并按照法律法规的规定备案。为应对</w:t>
      </w:r>
      <w:r>
        <w:rPr>
          <w:rFonts w:ascii="宋体" w:eastAsia="宋体" w:hAnsi="宋体" w:cs="宋体" w:hint="eastAsia"/>
          <w:sz w:val="21"/>
          <w:szCs w:val="21"/>
        </w:rPr>
        <w:t>本计划巨额赎回（如有），解决流动性风险，在不存在利益冲突并遵守合同约定的前提下，管理人以自有资金参与及其后续退出本计划可不受前款规定限制，但应当及时告知投资者和托管人，并向相关派出机构及证券投资基金业协会报告。</w:t>
      </w:r>
    </w:p>
    <w:p w14:paraId="16C1F985"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资产管理人的自有资金参与本计划的份额不得超过计划总份额的</w:t>
      </w:r>
      <w:r>
        <w:rPr>
          <w:rFonts w:ascii="宋体" w:eastAsia="宋体" w:hAnsi="宋体" w:cs="宋体" w:hint="eastAsia"/>
          <w:sz w:val="21"/>
          <w:szCs w:val="21"/>
        </w:rPr>
        <w:t>20%</w:t>
      </w:r>
      <w:r>
        <w:rPr>
          <w:rFonts w:ascii="宋体" w:eastAsia="宋体" w:hAnsi="宋体" w:cs="宋体" w:hint="eastAsia"/>
          <w:sz w:val="21"/>
          <w:szCs w:val="21"/>
        </w:rPr>
        <w:t>。资产管理人及其下设机构（含员工）以自有资金参与本计划的份额合计不得超过计划总份额的</w:t>
      </w:r>
      <w:r>
        <w:rPr>
          <w:rFonts w:ascii="宋体" w:eastAsia="宋体" w:hAnsi="宋体" w:cs="宋体" w:hint="eastAsia"/>
          <w:sz w:val="21"/>
          <w:szCs w:val="21"/>
        </w:rPr>
        <w:t>50%</w:t>
      </w:r>
      <w:r>
        <w:rPr>
          <w:rFonts w:ascii="宋体" w:eastAsia="宋体" w:hAnsi="宋体" w:cs="宋体" w:hint="eastAsia"/>
          <w:sz w:val="21"/>
          <w:szCs w:val="21"/>
        </w:rPr>
        <w:t>。因本计划规模变动等客观因素导致前述比例被动超限的，资产管理人应当依照中国证监会规定及本合同的约定及时完成调整。</w:t>
      </w:r>
    </w:p>
    <w:p w14:paraId="2A8E1751" w14:textId="77777777" w:rsidR="00694F14" w:rsidRDefault="00A463B7">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r>
        <w:rPr>
          <w:rFonts w:ascii="宋体" w:eastAsia="宋体" w:hAnsi="宋体" w:cs="宋体" w:hint="eastAsia"/>
          <w:sz w:val="21"/>
          <w:szCs w:val="21"/>
        </w:rPr>
        <w:t>（十三）管理人应定期将资产管理计划</w:t>
      </w:r>
      <w:r>
        <w:rPr>
          <w:rFonts w:ascii="宋体" w:eastAsia="宋体" w:hAnsi="宋体" w:cs="宋体" w:hint="eastAsia"/>
          <w:sz w:val="21"/>
          <w:szCs w:val="21"/>
        </w:rPr>
        <w:t>资产委托人变更情况报送基金业协会。</w:t>
      </w:r>
    </w:p>
    <w:bookmarkEnd w:id="17"/>
    <w:p w14:paraId="28215A84" w14:textId="77777777" w:rsidR="00694F14" w:rsidRDefault="00694F14">
      <w:pPr>
        <w:tabs>
          <w:tab w:val="left" w:pos="0"/>
          <w:tab w:val="left" w:pos="720"/>
          <w:tab w:val="left" w:pos="1440"/>
          <w:tab w:val="left" w:pos="2160"/>
          <w:tab w:val="left" w:pos="2880"/>
          <w:tab w:val="left" w:pos="3600"/>
          <w:tab w:val="left" w:pos="4320"/>
        </w:tabs>
        <w:spacing w:line="360" w:lineRule="auto"/>
        <w:ind w:firstLine="540"/>
        <w:jc w:val="left"/>
        <w:rPr>
          <w:rFonts w:ascii="宋体" w:eastAsia="宋体" w:hAnsi="宋体" w:cs="宋体"/>
          <w:sz w:val="21"/>
          <w:szCs w:val="21"/>
        </w:rPr>
      </w:pPr>
    </w:p>
    <w:p w14:paraId="229A367F" w14:textId="77777777" w:rsidR="00694F14" w:rsidRDefault="00A463B7">
      <w:pPr>
        <w:pStyle w:val="1"/>
        <w:spacing w:line="360" w:lineRule="auto"/>
        <w:jc w:val="center"/>
        <w:rPr>
          <w:rFonts w:ascii="宋体" w:eastAsia="宋体" w:hAnsi="宋体" w:cs="宋体"/>
          <w:sz w:val="21"/>
          <w:szCs w:val="21"/>
        </w:rPr>
      </w:pPr>
      <w:bookmarkStart w:id="24" w:name="_Toc382408566"/>
      <w:bookmarkStart w:id="25" w:name="_Toc401668936"/>
      <w:bookmarkStart w:id="26" w:name="_Toc70622188"/>
      <w:bookmarkStart w:id="27" w:name="_Toc194741908"/>
      <w:r>
        <w:rPr>
          <w:rFonts w:ascii="宋体" w:eastAsia="宋体" w:hAnsi="宋体" w:cs="宋体" w:hint="eastAsia"/>
          <w:sz w:val="21"/>
          <w:szCs w:val="21"/>
        </w:rPr>
        <w:t>九、</w:t>
      </w:r>
      <w:bookmarkEnd w:id="24"/>
      <w:bookmarkEnd w:id="25"/>
      <w:r>
        <w:rPr>
          <w:rFonts w:ascii="宋体" w:eastAsia="宋体" w:hAnsi="宋体" w:cs="宋体" w:hint="eastAsia"/>
          <w:sz w:val="21"/>
          <w:szCs w:val="21"/>
        </w:rPr>
        <w:t>份额持有人大会及日常机构</w:t>
      </w:r>
      <w:bookmarkEnd w:id="26"/>
    </w:p>
    <w:p w14:paraId="112976F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本计划不设置份额持有人大会机制。</w:t>
      </w:r>
    </w:p>
    <w:p w14:paraId="7EC67B02" w14:textId="77777777" w:rsidR="00694F14" w:rsidRDefault="00694F14">
      <w:pPr>
        <w:spacing w:line="360" w:lineRule="auto"/>
        <w:ind w:firstLine="480"/>
        <w:rPr>
          <w:rFonts w:ascii="宋体" w:eastAsia="宋体" w:hAnsi="宋体" w:cs="宋体"/>
          <w:sz w:val="21"/>
          <w:szCs w:val="21"/>
        </w:rPr>
      </w:pPr>
    </w:p>
    <w:p w14:paraId="1F69F749" w14:textId="77777777" w:rsidR="00694F14" w:rsidRDefault="00A463B7">
      <w:pPr>
        <w:pStyle w:val="1"/>
        <w:spacing w:before="0" w:after="0" w:line="360" w:lineRule="auto"/>
        <w:jc w:val="center"/>
        <w:rPr>
          <w:rFonts w:ascii="宋体" w:eastAsia="宋体" w:hAnsi="宋体" w:cs="宋体"/>
          <w:sz w:val="21"/>
          <w:szCs w:val="21"/>
        </w:rPr>
      </w:pPr>
      <w:bookmarkStart w:id="28" w:name="_Toc70622189"/>
      <w:bookmarkStart w:id="29" w:name="_Toc401668937"/>
      <w:r>
        <w:rPr>
          <w:rFonts w:ascii="宋体" w:eastAsia="宋体" w:hAnsi="宋体" w:cs="宋体" w:hint="eastAsia"/>
          <w:sz w:val="21"/>
          <w:szCs w:val="21"/>
        </w:rPr>
        <w:t>十、资产管理计划份额的登记</w:t>
      </w:r>
      <w:bookmarkEnd w:id="28"/>
      <w:bookmarkEnd w:id="29"/>
    </w:p>
    <w:p w14:paraId="3F40733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管理计划份额的注册登记业务指</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管理计划的登记、存管、清算和交收业务，具体内容包括资产委托人账户管理、份额注册登记、清算及交易确认、收益分配、建立并保管资产管理计划客户资料表等。</w:t>
      </w:r>
    </w:p>
    <w:p w14:paraId="26914B6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管理计划的注册登记业务由</w:t>
      </w:r>
      <w:r>
        <w:rPr>
          <w:rFonts w:ascii="宋体" w:eastAsia="宋体" w:hAnsi="宋体" w:cs="宋体" w:hint="eastAsia"/>
          <w:color w:val="000000"/>
          <w:sz w:val="21"/>
          <w:szCs w:val="21"/>
        </w:rPr>
        <w:t>光大证券股份有限公司</w:t>
      </w:r>
      <w:r>
        <w:rPr>
          <w:rFonts w:ascii="宋体" w:eastAsia="宋体" w:hAnsi="宋体" w:cs="宋体" w:hint="eastAsia"/>
          <w:sz w:val="21"/>
          <w:szCs w:val="21"/>
        </w:rPr>
        <w:t>负责办理，</w:t>
      </w:r>
      <w:r>
        <w:rPr>
          <w:rFonts w:ascii="宋体" w:eastAsia="宋体" w:hAnsi="宋体" w:cs="宋体" w:hint="eastAsia"/>
          <w:color w:val="000000"/>
          <w:sz w:val="21"/>
          <w:szCs w:val="21"/>
        </w:rPr>
        <w:t>管理人与注册登记机构签订</w:t>
      </w:r>
      <w:proofErr w:type="gramStart"/>
      <w:r>
        <w:rPr>
          <w:rFonts w:ascii="宋体" w:eastAsia="宋体" w:hAnsi="宋体" w:cs="宋体" w:hint="eastAsia"/>
          <w:color w:val="000000"/>
          <w:sz w:val="21"/>
          <w:szCs w:val="21"/>
        </w:rPr>
        <w:t>资管计划</w:t>
      </w:r>
      <w:proofErr w:type="gramEnd"/>
      <w:r>
        <w:rPr>
          <w:rFonts w:ascii="宋体" w:eastAsia="宋体" w:hAnsi="宋体" w:cs="宋体" w:hint="eastAsia"/>
          <w:color w:val="000000"/>
          <w:sz w:val="21"/>
          <w:szCs w:val="21"/>
        </w:rPr>
        <w:t>服务协议以确认相关权限和职责</w:t>
      </w:r>
      <w:r>
        <w:rPr>
          <w:rFonts w:ascii="宋体" w:eastAsia="宋体" w:hAnsi="宋体" w:cs="宋体" w:hint="eastAsia"/>
          <w:sz w:val="21"/>
          <w:szCs w:val="21"/>
        </w:rPr>
        <w:t>。</w:t>
      </w:r>
    </w:p>
    <w:p w14:paraId="2F06149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（三）注册登记机构履行如下职责：</w:t>
      </w:r>
    </w:p>
    <w:p w14:paraId="174FE55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、建立和保管资产委托人账户资料、交易资料、资产管理计划客户资料表等。</w:t>
      </w:r>
    </w:p>
    <w:p w14:paraId="6F1D9B8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、配备足够的专业人员办理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w:t>
      </w:r>
    </w:p>
    <w:p w14:paraId="5DE3BBD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、严格按照法律法规和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管理合同规定的条件办理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管理计划的注册登记业务。</w:t>
      </w:r>
    </w:p>
    <w:p w14:paraId="04A928D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、严格按照法律法规和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管理合同的规定计算业绩报酬（如有）。</w:t>
      </w:r>
    </w:p>
    <w:p w14:paraId="68910A8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、妥善保存登记数据，并将资产管理计划投资者名称、身份信息以及资产管理计划份额明细等数据备份至中国证监会认定的机构。其保存期限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管理计划账户销户之日起不得少于</w:t>
      </w:r>
      <w:r>
        <w:rPr>
          <w:rFonts w:ascii="宋体" w:eastAsia="宋体" w:hAnsi="宋体" w:cs="宋体" w:hint="eastAsia"/>
          <w:sz w:val="21"/>
          <w:szCs w:val="21"/>
        </w:rPr>
        <w:t xml:space="preserve">20 </w:t>
      </w:r>
      <w:r>
        <w:rPr>
          <w:rFonts w:ascii="宋体" w:eastAsia="宋体" w:hAnsi="宋体" w:cs="宋体" w:hint="eastAsia"/>
          <w:sz w:val="21"/>
          <w:szCs w:val="21"/>
        </w:rPr>
        <w:t>年。</w:t>
      </w:r>
    </w:p>
    <w:p w14:paraId="1F4F083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、对资产委托人的账户信息</w:t>
      </w:r>
      <w:r>
        <w:rPr>
          <w:rFonts w:ascii="宋体" w:eastAsia="宋体" w:hAnsi="宋体" w:cs="宋体" w:hint="eastAsia"/>
          <w:sz w:val="21"/>
          <w:szCs w:val="21"/>
        </w:rPr>
        <w:t>负有保密义务，因违反该保密义务对资产委托人或资产管理计划带来的</w:t>
      </w:r>
      <w:r>
        <w:rPr>
          <w:rFonts w:ascii="宋体" w:eastAsia="宋体" w:hAnsi="宋体" w:cs="宋体" w:hint="eastAsia"/>
          <w:sz w:val="21"/>
          <w:szCs w:val="21"/>
        </w:rPr>
        <w:lastRenderedPageBreak/>
        <w:t>损失，须承担相应的赔偿责任，但法律法规或监管机构另有规定的除外。</w:t>
      </w:r>
    </w:p>
    <w:p w14:paraId="35FAC78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、按</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管理计划合同，为资产委托人提供资产管理计划收益分配等其他必要的服务。</w:t>
      </w:r>
    </w:p>
    <w:p w14:paraId="70C62E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、在法律法规允许的范围内，制定和调整注册登记业务的相关规则。</w:t>
      </w:r>
    </w:p>
    <w:p w14:paraId="7DE2CED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、法律法规规定的其他职责。</w:t>
      </w:r>
    </w:p>
    <w:p w14:paraId="01270294" w14:textId="77777777" w:rsidR="00694F14" w:rsidRDefault="00A463B7">
      <w:pPr>
        <w:spacing w:line="360" w:lineRule="auto"/>
        <w:ind w:left="480"/>
        <w:rPr>
          <w:rFonts w:ascii="宋体" w:eastAsia="宋体" w:hAnsi="宋体" w:cs="宋体"/>
          <w:sz w:val="21"/>
          <w:szCs w:val="21"/>
        </w:rPr>
      </w:pPr>
      <w:r>
        <w:rPr>
          <w:rFonts w:ascii="宋体" w:eastAsia="宋体" w:hAnsi="宋体" w:cs="宋体" w:hint="eastAsia"/>
          <w:sz w:val="21"/>
          <w:szCs w:val="21"/>
        </w:rPr>
        <w:t>（四）注册登记机构履行上述职责后，有权取得注册登记费。</w:t>
      </w:r>
    </w:p>
    <w:p w14:paraId="509A98D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（五）全体资产管理计划份额持有人同意管理人、份额登记机构或其他份额登记义务人将集合资产管理计划投资者名称、身份信息以及集合资产管理计划份额明细等数据备份</w:t>
      </w:r>
      <w:r>
        <w:rPr>
          <w:rFonts w:ascii="宋体" w:eastAsia="宋体" w:hAnsi="宋体" w:cs="宋体" w:hint="eastAsia"/>
          <w:sz w:val="21"/>
          <w:szCs w:val="21"/>
        </w:rPr>
        <w:t>至中国证监会认定的机构。</w:t>
      </w:r>
    </w:p>
    <w:p w14:paraId="55E66F55" w14:textId="77777777" w:rsidR="00694F14" w:rsidRDefault="00694F14">
      <w:pPr>
        <w:spacing w:line="360" w:lineRule="auto"/>
        <w:ind w:firstLine="480"/>
        <w:rPr>
          <w:rFonts w:ascii="宋体" w:eastAsia="宋体" w:hAnsi="宋体" w:cs="宋体"/>
          <w:sz w:val="21"/>
          <w:szCs w:val="21"/>
        </w:rPr>
      </w:pPr>
    </w:p>
    <w:p w14:paraId="044A0585" w14:textId="77777777" w:rsidR="00694F14" w:rsidRDefault="00A463B7">
      <w:pPr>
        <w:pStyle w:val="1"/>
        <w:spacing w:before="0" w:after="0" w:line="360" w:lineRule="auto"/>
        <w:jc w:val="center"/>
        <w:rPr>
          <w:rFonts w:ascii="宋体" w:eastAsia="宋体" w:hAnsi="宋体" w:cs="宋体"/>
          <w:color w:val="FF0000"/>
          <w:sz w:val="21"/>
          <w:szCs w:val="21"/>
        </w:rPr>
      </w:pPr>
      <w:bookmarkStart w:id="30" w:name="_Toc70622190"/>
      <w:bookmarkStart w:id="31" w:name="_Toc401668938"/>
      <w:r>
        <w:rPr>
          <w:rFonts w:ascii="宋体" w:eastAsia="宋体" w:hAnsi="宋体" w:cs="宋体" w:hint="eastAsia"/>
          <w:sz w:val="21"/>
          <w:szCs w:val="21"/>
        </w:rPr>
        <w:t>十一、资产管理计划的投资</w:t>
      </w:r>
      <w:bookmarkEnd w:id="30"/>
      <w:bookmarkEnd w:id="31"/>
    </w:p>
    <w:p w14:paraId="26C279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（一）投资目标</w:t>
      </w:r>
    </w:p>
    <w:p w14:paraId="0DBD5BC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在有效控制风险的前提下，追求委托财产的增值。</w:t>
      </w:r>
    </w:p>
    <w:p w14:paraId="3476C76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（二）投资范围及比例</w:t>
      </w:r>
    </w:p>
    <w:p w14:paraId="4BCD43D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、本计划的投资范围</w:t>
      </w:r>
    </w:p>
    <w:p w14:paraId="1CAF6AA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本计划成立之日起至完成备案前，资产管理人以现金管理为目的，可投资于银行活期存款、货币市场基金。</w:t>
      </w:r>
    </w:p>
    <w:p w14:paraId="109AD48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本计划完成备案后，主要投资于：</w:t>
      </w:r>
    </w:p>
    <w:p w14:paraId="1ED7BBF9"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沪深交易所发行上市的股票（包括主板、中小板、创业板、</w:t>
      </w:r>
      <w:proofErr w:type="gramStart"/>
      <w:r>
        <w:rPr>
          <w:rFonts w:ascii="宋体" w:eastAsia="宋体" w:hAnsi="宋体" w:cs="宋体" w:hint="eastAsia"/>
          <w:sz w:val="21"/>
          <w:szCs w:val="21"/>
        </w:rPr>
        <w:t>科创板</w:t>
      </w:r>
      <w:proofErr w:type="gramEnd"/>
      <w:r>
        <w:rPr>
          <w:rFonts w:ascii="宋体" w:eastAsia="宋体" w:hAnsi="宋体" w:cs="宋体" w:hint="eastAsia"/>
          <w:sz w:val="21"/>
          <w:szCs w:val="21"/>
        </w:rPr>
        <w:t>及其他经中国证监会核准上市的股票，含新股申购）；港股通标的范围内的股票；银行间及交易所债券、中央银行票据、资产支持证券、资产支持票据；公募证券投资基金（含封闭式及开放式证券投资基金、</w:t>
      </w:r>
      <w:r>
        <w:rPr>
          <w:rFonts w:ascii="宋体" w:eastAsia="宋体" w:hAnsi="宋体" w:cs="宋体" w:hint="eastAsia"/>
          <w:sz w:val="21"/>
          <w:szCs w:val="21"/>
        </w:rPr>
        <w:t>LOF</w:t>
      </w:r>
      <w:r>
        <w:rPr>
          <w:rFonts w:ascii="宋体" w:eastAsia="宋体" w:hAnsi="宋体" w:cs="宋体" w:hint="eastAsia"/>
          <w:sz w:val="21"/>
          <w:szCs w:val="21"/>
        </w:rPr>
        <w:t>、</w:t>
      </w:r>
      <w:r>
        <w:rPr>
          <w:rFonts w:ascii="宋体" w:eastAsia="宋体" w:hAnsi="宋体" w:cs="宋体" w:hint="eastAsia"/>
          <w:sz w:val="21"/>
          <w:szCs w:val="21"/>
        </w:rPr>
        <w:t>ETF</w:t>
      </w:r>
      <w:r>
        <w:rPr>
          <w:rFonts w:ascii="宋体" w:eastAsia="宋体" w:hAnsi="宋体" w:cs="宋体" w:hint="eastAsia"/>
          <w:sz w:val="21"/>
          <w:szCs w:val="21"/>
        </w:rPr>
        <w:t>基金）；银行存款（含现金、定期存款、活期存款、协议存款）、债券逆回购、债券正回购、货币市场基金；股指期货、商品期货、国债期货、交易所上市的期权。</w:t>
      </w:r>
    </w:p>
    <w:p w14:paraId="55530823" w14:textId="77777777" w:rsidR="00694F14" w:rsidRDefault="00A463B7">
      <w:pPr>
        <w:pStyle w:val="15"/>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特别予以说明，本计划可进行债券回购（债券正回购、债券逆回购）、融资融券、转融通证券出借交易。</w:t>
      </w:r>
    </w:p>
    <w:p w14:paraId="6D6C07E5"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b/>
          <w:bCs/>
          <w:sz w:val="21"/>
          <w:szCs w:val="21"/>
        </w:rPr>
        <w:t>资产管理人在进行期</w:t>
      </w:r>
      <w:r>
        <w:rPr>
          <w:rFonts w:ascii="宋体" w:eastAsia="宋体" w:hAnsi="宋体" w:cs="宋体" w:hint="eastAsia"/>
          <w:b/>
          <w:bCs/>
          <w:sz w:val="21"/>
          <w:szCs w:val="21"/>
        </w:rPr>
        <w:t>权、</w:t>
      </w:r>
      <w:ins w:id="32" w:author="高超" w:date="2021-09-28T14:31:00Z">
        <w:r>
          <w:rPr>
            <w:rFonts w:ascii="宋体" w:eastAsia="宋体" w:hAnsi="宋体" w:cs="宋体" w:hint="eastAsia"/>
            <w:b/>
            <w:bCs/>
            <w:sz w:val="21"/>
            <w:szCs w:val="21"/>
          </w:rPr>
          <w:t>融资融券、</w:t>
        </w:r>
      </w:ins>
      <w:r>
        <w:rPr>
          <w:rFonts w:ascii="宋体" w:eastAsia="宋体" w:hAnsi="宋体" w:cs="宋体" w:hint="eastAsia"/>
          <w:b/>
          <w:bCs/>
          <w:sz w:val="21"/>
          <w:szCs w:val="21"/>
        </w:rPr>
        <w:t>港股通标的范围内的股票投资、</w:t>
      </w:r>
      <w:r>
        <w:rPr>
          <w:rFonts w:ascii="宋体" w:eastAsia="宋体" w:hAnsi="宋体" w:cs="宋体" w:hint="eastAsia"/>
          <w:b/>
          <w:color w:val="000000"/>
          <w:sz w:val="21"/>
          <w:szCs w:val="21"/>
        </w:rPr>
        <w:t>转融通证券出借交易</w:t>
      </w:r>
      <w:r>
        <w:rPr>
          <w:rFonts w:ascii="宋体" w:eastAsia="宋体" w:hAnsi="宋体" w:cs="宋体" w:hint="eastAsia"/>
          <w:b/>
          <w:bCs/>
          <w:sz w:val="21"/>
          <w:szCs w:val="21"/>
        </w:rPr>
        <w:t>前，必须与资产托管人就交收结算、核算估值等业务规则和流程进行沟通确定，在系统测试通过后才可投资，否则，由此产生的风险由资产管理人承担。</w:t>
      </w:r>
    </w:p>
    <w:p w14:paraId="6477CC9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、本计划的投资比例</w:t>
      </w:r>
    </w:p>
    <w:p w14:paraId="62F05BA6"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）投资于存款、债券等债权类资产的比例低于资产管理计划总资产的</w:t>
      </w:r>
      <w:r>
        <w:rPr>
          <w:rFonts w:ascii="宋体" w:eastAsia="宋体" w:hAnsi="宋体" w:cs="宋体" w:hint="eastAsia"/>
          <w:sz w:val="21"/>
          <w:szCs w:val="21"/>
        </w:rPr>
        <w:t>80%</w:t>
      </w:r>
      <w:r>
        <w:rPr>
          <w:rFonts w:ascii="宋体" w:eastAsia="宋体" w:hAnsi="宋体" w:cs="宋体" w:hint="eastAsia"/>
          <w:sz w:val="21"/>
          <w:szCs w:val="21"/>
        </w:rPr>
        <w:t>；</w:t>
      </w:r>
    </w:p>
    <w:p w14:paraId="39F8E23F"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2</w:t>
      </w:r>
      <w:r>
        <w:rPr>
          <w:rFonts w:ascii="宋体" w:eastAsia="宋体" w:hAnsi="宋体" w:cs="宋体" w:hint="eastAsia"/>
          <w:sz w:val="21"/>
          <w:szCs w:val="21"/>
        </w:rPr>
        <w:t>）投资于股票等权益类资产的比例低于资产管理计划总资产的</w:t>
      </w:r>
      <w:r>
        <w:rPr>
          <w:rFonts w:ascii="宋体" w:eastAsia="宋体" w:hAnsi="宋体" w:cs="宋体" w:hint="eastAsia"/>
          <w:sz w:val="21"/>
          <w:szCs w:val="21"/>
        </w:rPr>
        <w:t>80%</w:t>
      </w:r>
      <w:r>
        <w:rPr>
          <w:rFonts w:ascii="宋体" w:eastAsia="宋体" w:hAnsi="宋体" w:cs="宋体" w:hint="eastAsia"/>
          <w:sz w:val="21"/>
          <w:szCs w:val="21"/>
        </w:rPr>
        <w:t>；</w:t>
      </w:r>
    </w:p>
    <w:p w14:paraId="1C0C56CB"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）投资于商品及金融衍生品的持仓合约价值比例低于资产管理计划总资产</w:t>
      </w:r>
      <w:r>
        <w:rPr>
          <w:rFonts w:ascii="宋体" w:eastAsia="宋体" w:hAnsi="宋体" w:cs="宋体" w:hint="eastAsia"/>
          <w:sz w:val="21"/>
          <w:szCs w:val="21"/>
        </w:rPr>
        <w:t>80%</w:t>
      </w:r>
      <w:r>
        <w:rPr>
          <w:rFonts w:ascii="宋体" w:eastAsia="宋体" w:hAnsi="宋体" w:cs="宋体" w:hint="eastAsia"/>
          <w:sz w:val="21"/>
          <w:szCs w:val="21"/>
        </w:rPr>
        <w:t>，或衍生品账户权益不超过资产管理计划总资产的</w:t>
      </w:r>
      <w:r>
        <w:rPr>
          <w:rFonts w:ascii="宋体" w:eastAsia="宋体" w:hAnsi="宋体" w:cs="宋体" w:hint="eastAsia"/>
          <w:sz w:val="21"/>
          <w:szCs w:val="21"/>
        </w:rPr>
        <w:t>20%</w:t>
      </w:r>
      <w:r>
        <w:rPr>
          <w:rFonts w:ascii="宋体" w:eastAsia="宋体" w:hAnsi="宋体" w:cs="宋体" w:hint="eastAsia"/>
          <w:sz w:val="21"/>
          <w:szCs w:val="21"/>
        </w:rPr>
        <w:t>；</w:t>
      </w:r>
    </w:p>
    <w:p w14:paraId="206A5D4D"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）投资于同一资产的资金，不得超过计划资产净值的</w:t>
      </w:r>
      <w:r>
        <w:rPr>
          <w:rFonts w:ascii="宋体" w:eastAsia="宋体" w:hAnsi="宋体" w:cs="宋体" w:hint="eastAsia"/>
          <w:sz w:val="21"/>
          <w:szCs w:val="21"/>
        </w:rPr>
        <w:t>25%</w:t>
      </w:r>
      <w:r>
        <w:rPr>
          <w:rFonts w:ascii="宋体" w:eastAsia="宋体" w:hAnsi="宋体" w:cs="宋体" w:hint="eastAsia"/>
          <w:sz w:val="21"/>
          <w:szCs w:val="21"/>
        </w:rPr>
        <w:t>，管理人管理的全部集合资产管理计划投资于同一资产的资金，不得超过该资产的</w:t>
      </w:r>
      <w:r>
        <w:rPr>
          <w:rFonts w:ascii="宋体" w:eastAsia="宋体" w:hAnsi="宋体" w:cs="宋体" w:hint="eastAsia"/>
          <w:sz w:val="21"/>
          <w:szCs w:val="21"/>
        </w:rPr>
        <w:t>25%</w:t>
      </w:r>
      <w:r>
        <w:rPr>
          <w:rFonts w:ascii="宋体" w:eastAsia="宋体" w:hAnsi="宋体" w:cs="宋体" w:hint="eastAsia"/>
          <w:sz w:val="21"/>
          <w:szCs w:val="21"/>
        </w:rPr>
        <w:t>，银行活期存款、国债、中央银行票据、政策性金融债、地方政府债券等中国证监会认可的投资品种除外。</w:t>
      </w:r>
    </w:p>
    <w:p w14:paraId="2B8A0540"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本计划符合《运作规定》组合投资的要求。</w:t>
      </w:r>
    </w:p>
    <w:p w14:paraId="68F83D84"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本计划投资于其他资产管理产品的，计算本计划的总资产时按照穿透原则合并计算所投资资产管理产品的总资产。</w:t>
      </w:r>
    </w:p>
    <w:p w14:paraId="165CE5E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本计划的建仓</w:t>
      </w:r>
      <w:r>
        <w:rPr>
          <w:rFonts w:ascii="宋体" w:eastAsia="宋体" w:hAnsi="宋体" w:cs="宋体" w:hint="eastAsia"/>
          <w:sz w:val="21"/>
          <w:szCs w:val="21"/>
        </w:rPr>
        <w:t>期为自本计划成立之日起</w:t>
      </w:r>
      <w:r>
        <w:rPr>
          <w:rFonts w:ascii="宋体" w:eastAsia="宋体" w:hAnsi="宋体" w:cs="宋体" w:hint="eastAsia"/>
          <w:sz w:val="21"/>
          <w:szCs w:val="21"/>
        </w:rPr>
        <w:t>6</w:t>
      </w:r>
      <w:r>
        <w:rPr>
          <w:rFonts w:ascii="宋体" w:eastAsia="宋体" w:hAnsi="宋体" w:cs="宋体" w:hint="eastAsia"/>
          <w:sz w:val="21"/>
          <w:szCs w:val="21"/>
        </w:rPr>
        <w:t>个月。</w:t>
      </w:r>
    </w:p>
    <w:p w14:paraId="04ED309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本计划建仓期的投资活动，应当符合</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管理合同约定的投向和资产管理计划的风险收益特征。以现金管理为目的，投资于银行活期存款、货币市场基金的除外。</w:t>
      </w:r>
    </w:p>
    <w:p w14:paraId="1A6E61A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建仓期结束后，资产管理计划的资产组合应当符合法律、行政法规、中国证监会规定和合同约定的投向和比例。</w:t>
      </w:r>
    </w:p>
    <w:p w14:paraId="17A632F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本计划减</w:t>
      </w:r>
      <w:proofErr w:type="gramStart"/>
      <w:r>
        <w:rPr>
          <w:rFonts w:ascii="宋体" w:eastAsia="宋体" w:hAnsi="宋体" w:cs="宋体" w:hint="eastAsia"/>
          <w:sz w:val="21"/>
          <w:szCs w:val="21"/>
        </w:rPr>
        <w:t>持期自计划</w:t>
      </w:r>
      <w:proofErr w:type="gramEnd"/>
      <w:r>
        <w:rPr>
          <w:rFonts w:ascii="宋体" w:eastAsia="宋体" w:hAnsi="宋体" w:cs="宋体" w:hint="eastAsia"/>
          <w:sz w:val="21"/>
          <w:szCs w:val="21"/>
        </w:rPr>
        <w:t>终止之日前</w:t>
      </w:r>
      <w:r>
        <w:rPr>
          <w:rFonts w:ascii="宋体" w:eastAsia="宋体" w:hAnsi="宋体" w:cs="宋体" w:hint="eastAsia"/>
          <w:sz w:val="21"/>
          <w:szCs w:val="21"/>
        </w:rPr>
        <w:t>6</w:t>
      </w:r>
      <w:r>
        <w:rPr>
          <w:rFonts w:ascii="宋体" w:eastAsia="宋体" w:hAnsi="宋体" w:cs="宋体" w:hint="eastAsia"/>
          <w:sz w:val="21"/>
          <w:szCs w:val="21"/>
        </w:rPr>
        <w:t>个月内，</w:t>
      </w:r>
      <w:proofErr w:type="gramStart"/>
      <w:r>
        <w:rPr>
          <w:rFonts w:ascii="宋体" w:eastAsia="宋体" w:hAnsi="宋体" w:cs="宋体" w:hint="eastAsia"/>
          <w:sz w:val="21"/>
          <w:szCs w:val="21"/>
        </w:rPr>
        <w:t>减持期内</w:t>
      </w:r>
      <w:proofErr w:type="gramEnd"/>
      <w:r>
        <w:rPr>
          <w:rFonts w:ascii="宋体" w:eastAsia="宋体" w:hAnsi="宋体" w:cs="宋体" w:hint="eastAsia"/>
          <w:sz w:val="21"/>
          <w:szCs w:val="21"/>
        </w:rPr>
        <w:t>的投资比例可以不受上述限制。</w:t>
      </w:r>
    </w:p>
    <w:p w14:paraId="5DFE170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除上述情况外，本计划改变投向和比例的，应当事先取得全体资产委托人及资产托管人同意，并按规定履行合同变更程序。</w:t>
      </w:r>
    </w:p>
    <w:p w14:paraId="77C563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法律法规或监管部门取消上述限制，如适用于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w:t>
      </w:r>
      <w:r>
        <w:rPr>
          <w:rFonts w:ascii="宋体" w:eastAsia="宋体" w:hAnsi="宋体" w:cs="宋体" w:hint="eastAsia"/>
          <w:sz w:val="21"/>
          <w:szCs w:val="21"/>
        </w:rPr>
        <w:t>理计划，资产管理人在取得全体资产委托人及资产托管人同意后，本计划投资不再受相关限制。法律法规或监管部门另有规定的，从其规定。</w:t>
      </w:r>
    </w:p>
    <w:p w14:paraId="6A767DF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（三）投资比例超限的处理方式</w:t>
      </w:r>
    </w:p>
    <w:p w14:paraId="5ECBFB4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存续期间，资产管理人应当严格按照法律、行政法规、中国证监会规定以及合同约定的投向和比例进行资产管理计划的投资运作。资产管理计划改变投向和比例的，应当事先取得全体投资者及资产托管人同意，并按规定履行合同变更程序。</w:t>
      </w:r>
    </w:p>
    <w:p w14:paraId="527468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因证券期货市场波动、证券发行人合并、资产管理计划规模变动等资产管理人之外的因素导致资产管理计划投资不符合法律、行政法规和中国证监会规</w:t>
      </w:r>
      <w:r>
        <w:rPr>
          <w:rFonts w:ascii="宋体" w:eastAsia="宋体" w:hAnsi="宋体" w:cs="宋体" w:hint="eastAsia"/>
          <w:sz w:val="21"/>
          <w:szCs w:val="21"/>
        </w:rPr>
        <w:t>定的投资比例或者合同约定的投资比例的，资产管理人应当在流动性受限资产可出售、可转让或者恢复交易的十五个交易日内调整至符合相关要求。确有特殊事由未能在规定时间内完成调整的，管理人应当及时向中国证监会相关派出机构和证券投资基金业协会报告。</w:t>
      </w:r>
    </w:p>
    <w:p w14:paraId="56E46FC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（四）投资策略</w:t>
      </w:r>
    </w:p>
    <w:p w14:paraId="14A15587"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1</w:t>
      </w:r>
      <w:r>
        <w:rPr>
          <w:rFonts w:ascii="宋体" w:eastAsia="宋体" w:hAnsi="宋体" w:cs="宋体" w:hint="eastAsia"/>
          <w:bCs/>
          <w:sz w:val="21"/>
          <w:szCs w:val="21"/>
          <w:lang w:val="en-GB"/>
        </w:rPr>
        <w:t>、股票投资策略</w:t>
      </w:r>
    </w:p>
    <w:p w14:paraId="0C5AD7EA"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结合市场环境灵活运用多种投资策略，多维</w:t>
      </w:r>
      <w:proofErr w:type="gramStart"/>
      <w:r>
        <w:rPr>
          <w:rFonts w:ascii="宋体" w:eastAsia="宋体" w:hAnsi="宋体" w:cs="宋体" w:hint="eastAsia"/>
          <w:bCs/>
          <w:sz w:val="21"/>
          <w:szCs w:val="21"/>
          <w:lang w:val="en-GB"/>
        </w:rPr>
        <w:t>度分析</w:t>
      </w:r>
      <w:proofErr w:type="gramEnd"/>
      <w:r>
        <w:rPr>
          <w:rFonts w:ascii="宋体" w:eastAsia="宋体" w:hAnsi="宋体" w:cs="宋体" w:hint="eastAsia"/>
          <w:bCs/>
          <w:sz w:val="21"/>
          <w:szCs w:val="21"/>
          <w:lang w:val="en-GB"/>
        </w:rPr>
        <w:t>股票的投资价值，挖掘市场中潜在的投资机会。</w:t>
      </w:r>
    </w:p>
    <w:p w14:paraId="1419E482"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2</w:t>
      </w:r>
      <w:r>
        <w:rPr>
          <w:rFonts w:ascii="宋体" w:eastAsia="宋体" w:hAnsi="宋体" w:cs="宋体" w:hint="eastAsia"/>
          <w:bCs/>
          <w:sz w:val="21"/>
          <w:szCs w:val="21"/>
          <w:lang w:val="en-GB"/>
        </w:rPr>
        <w:t>、期货等衍生</w:t>
      </w:r>
      <w:proofErr w:type="gramStart"/>
      <w:r>
        <w:rPr>
          <w:rFonts w:ascii="宋体" w:eastAsia="宋体" w:hAnsi="宋体" w:cs="宋体" w:hint="eastAsia"/>
          <w:bCs/>
          <w:sz w:val="21"/>
          <w:szCs w:val="21"/>
          <w:lang w:val="en-GB"/>
        </w:rPr>
        <w:t>品投资</w:t>
      </w:r>
      <w:proofErr w:type="gramEnd"/>
      <w:r>
        <w:rPr>
          <w:rFonts w:ascii="宋体" w:eastAsia="宋体" w:hAnsi="宋体" w:cs="宋体" w:hint="eastAsia"/>
          <w:bCs/>
          <w:sz w:val="21"/>
          <w:szCs w:val="21"/>
          <w:lang w:val="en-GB"/>
        </w:rPr>
        <w:t>策略</w:t>
      </w:r>
    </w:p>
    <w:p w14:paraId="4060010E"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根据市场环境可采用趋势交易、套期保值、商品</w:t>
      </w:r>
      <w:r>
        <w:rPr>
          <w:rFonts w:ascii="宋体" w:eastAsia="宋体" w:hAnsi="宋体" w:cs="宋体" w:hint="eastAsia"/>
          <w:bCs/>
          <w:sz w:val="21"/>
          <w:szCs w:val="21"/>
          <w:lang w:val="en-GB"/>
        </w:rPr>
        <w:t>CTA</w:t>
      </w:r>
      <w:r>
        <w:rPr>
          <w:rFonts w:ascii="宋体" w:eastAsia="宋体" w:hAnsi="宋体" w:cs="宋体" w:hint="eastAsia"/>
          <w:bCs/>
          <w:sz w:val="21"/>
          <w:szCs w:val="21"/>
          <w:lang w:val="en-GB"/>
        </w:rPr>
        <w:t>、跨期</w:t>
      </w:r>
      <w:proofErr w:type="gramStart"/>
      <w:r>
        <w:rPr>
          <w:rFonts w:ascii="宋体" w:eastAsia="宋体" w:hAnsi="宋体" w:cs="宋体" w:hint="eastAsia"/>
          <w:bCs/>
          <w:sz w:val="21"/>
          <w:szCs w:val="21"/>
          <w:lang w:val="en-GB"/>
        </w:rPr>
        <w:t>跨品种</w:t>
      </w:r>
      <w:proofErr w:type="gramEnd"/>
      <w:r>
        <w:rPr>
          <w:rFonts w:ascii="宋体" w:eastAsia="宋体" w:hAnsi="宋体" w:cs="宋体" w:hint="eastAsia"/>
          <w:bCs/>
          <w:sz w:val="21"/>
          <w:szCs w:val="21"/>
          <w:lang w:val="en-GB"/>
        </w:rPr>
        <w:t>套利、期权套利等策略。</w:t>
      </w:r>
    </w:p>
    <w:p w14:paraId="3E1547E8"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3</w:t>
      </w:r>
      <w:r>
        <w:rPr>
          <w:rFonts w:ascii="宋体" w:eastAsia="宋体" w:hAnsi="宋体" w:cs="宋体" w:hint="eastAsia"/>
          <w:bCs/>
          <w:sz w:val="21"/>
          <w:szCs w:val="21"/>
          <w:lang w:val="en-GB"/>
        </w:rPr>
        <w:t>、基金投资策略</w:t>
      </w:r>
    </w:p>
    <w:p w14:paraId="5174769B"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结合定量分析与定性分析，从基金分类、风险收益特征等方面对公</w:t>
      </w:r>
      <w:proofErr w:type="gramStart"/>
      <w:r>
        <w:rPr>
          <w:rFonts w:ascii="宋体" w:eastAsia="宋体" w:hAnsi="宋体" w:cs="宋体" w:hint="eastAsia"/>
          <w:bCs/>
          <w:sz w:val="21"/>
          <w:szCs w:val="21"/>
          <w:lang w:val="en-GB"/>
        </w:rPr>
        <w:t>募</w:t>
      </w:r>
      <w:proofErr w:type="gramEnd"/>
      <w:r>
        <w:rPr>
          <w:rFonts w:ascii="宋体" w:eastAsia="宋体" w:hAnsi="宋体" w:cs="宋体" w:hint="eastAsia"/>
          <w:bCs/>
          <w:sz w:val="21"/>
          <w:szCs w:val="21"/>
          <w:lang w:val="en-GB"/>
        </w:rPr>
        <w:t>基金进行评估，精选合适的投资标的，建立公</w:t>
      </w:r>
      <w:proofErr w:type="gramStart"/>
      <w:r>
        <w:rPr>
          <w:rFonts w:ascii="宋体" w:eastAsia="宋体" w:hAnsi="宋体" w:cs="宋体" w:hint="eastAsia"/>
          <w:bCs/>
          <w:sz w:val="21"/>
          <w:szCs w:val="21"/>
          <w:lang w:val="en-GB"/>
        </w:rPr>
        <w:t>募基金</w:t>
      </w:r>
      <w:proofErr w:type="gramEnd"/>
      <w:r>
        <w:rPr>
          <w:rFonts w:ascii="宋体" w:eastAsia="宋体" w:hAnsi="宋体" w:cs="宋体" w:hint="eastAsia"/>
          <w:bCs/>
          <w:sz w:val="21"/>
          <w:szCs w:val="21"/>
          <w:lang w:val="en-GB"/>
        </w:rPr>
        <w:t>投资组合。</w:t>
      </w:r>
    </w:p>
    <w:p w14:paraId="7BF704A7"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rPr>
        <w:t>4</w:t>
      </w:r>
      <w:r>
        <w:rPr>
          <w:rFonts w:ascii="宋体" w:eastAsia="宋体" w:hAnsi="宋体" w:cs="宋体" w:hint="eastAsia"/>
          <w:bCs/>
          <w:sz w:val="21"/>
          <w:szCs w:val="21"/>
          <w:lang w:val="en-GB"/>
        </w:rPr>
        <w:t>、债券投资策略</w:t>
      </w:r>
    </w:p>
    <w:p w14:paraId="4E7A6D88"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坚守配置：底仓严控信用风险，秉持分散化为原则，完成基础配置工作；通过长期持有合意资产，在账户生命周期中，力争赚取稳定的利息收益；</w:t>
      </w:r>
    </w:p>
    <w:p w14:paraId="49C8E5C7" w14:textId="77777777" w:rsidR="00694F14" w:rsidRDefault="00A463B7">
      <w:pPr>
        <w:spacing w:line="360" w:lineRule="auto"/>
        <w:ind w:firstLine="480"/>
        <w:rPr>
          <w:rFonts w:eastAsia="宋体"/>
        </w:rPr>
      </w:pPr>
      <w:r>
        <w:rPr>
          <w:rFonts w:ascii="宋体" w:eastAsia="宋体" w:hAnsi="宋体" w:cs="宋体" w:hint="eastAsia"/>
          <w:bCs/>
          <w:sz w:val="21"/>
          <w:szCs w:val="21"/>
          <w:lang w:val="en-GB"/>
        </w:rPr>
        <w:t>择机交易：存续期内，视市场情况变化，通过杠杆的调整，来捕捉交易性机会，力争赚取资本利得。</w:t>
      </w:r>
    </w:p>
    <w:p w14:paraId="3B23E84C"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rPr>
        <w:t>5</w:t>
      </w:r>
      <w:r>
        <w:rPr>
          <w:rFonts w:ascii="宋体" w:eastAsia="宋体" w:hAnsi="宋体" w:cs="宋体" w:hint="eastAsia"/>
          <w:bCs/>
          <w:sz w:val="21"/>
          <w:szCs w:val="21"/>
          <w:lang w:val="en-GB"/>
        </w:rPr>
        <w:t>、现金类资产投资策略</w:t>
      </w:r>
      <w:r>
        <w:rPr>
          <w:rFonts w:ascii="宋体" w:eastAsia="宋体" w:hAnsi="宋体" w:cs="宋体" w:hint="eastAsia"/>
          <w:bCs/>
          <w:sz w:val="21"/>
          <w:szCs w:val="21"/>
          <w:lang w:val="en-GB"/>
        </w:rPr>
        <w:t xml:space="preserve"> </w:t>
      </w:r>
    </w:p>
    <w:p w14:paraId="6B937FC0" w14:textId="77777777" w:rsidR="00694F14" w:rsidRDefault="00A463B7">
      <w:pPr>
        <w:spacing w:line="360" w:lineRule="auto"/>
        <w:ind w:firstLine="480"/>
        <w:rPr>
          <w:rFonts w:ascii="宋体" w:eastAsia="宋体" w:hAnsi="宋体" w:cs="宋体"/>
          <w:bCs/>
          <w:sz w:val="21"/>
          <w:szCs w:val="21"/>
          <w:lang w:val="en-GB"/>
        </w:rPr>
      </w:pPr>
      <w:r>
        <w:rPr>
          <w:rFonts w:ascii="宋体" w:eastAsia="宋体" w:hAnsi="宋体" w:cs="宋体" w:hint="eastAsia"/>
          <w:bCs/>
          <w:sz w:val="21"/>
          <w:szCs w:val="21"/>
          <w:lang w:val="en-GB"/>
        </w:rPr>
        <w:t>在确定总体流动性要求的基础上</w:t>
      </w:r>
      <w:r>
        <w:rPr>
          <w:rFonts w:ascii="宋体" w:eastAsia="宋体" w:hAnsi="宋体" w:cs="宋体" w:hint="eastAsia"/>
          <w:bCs/>
          <w:sz w:val="21"/>
          <w:szCs w:val="21"/>
          <w:lang w:val="en-GB"/>
        </w:rPr>
        <w:t>，结合不同类型货币市场工具的流动性和货币市场预期收益水平对现金类资产进行配置。</w:t>
      </w:r>
    </w:p>
    <w:p w14:paraId="1498E84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（五）投资限制</w:t>
      </w:r>
    </w:p>
    <w:p w14:paraId="4913CBA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除投资范围部分规定的投资比例限制外，本计划还需遵循以下限制：</w:t>
      </w:r>
      <w:r>
        <w:rPr>
          <w:rFonts w:ascii="宋体" w:eastAsia="宋体" w:hAnsi="宋体" w:cs="宋体" w:hint="eastAsia"/>
          <w:sz w:val="21"/>
          <w:szCs w:val="21"/>
        </w:rPr>
        <w:t xml:space="preserve"> </w:t>
      </w:r>
    </w:p>
    <w:p w14:paraId="17779F2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、本计划不得投资除公</w:t>
      </w:r>
      <w:proofErr w:type="gramStart"/>
      <w:r>
        <w:rPr>
          <w:rFonts w:ascii="宋体" w:eastAsia="宋体" w:hAnsi="宋体" w:cs="宋体" w:hint="eastAsia"/>
          <w:sz w:val="21"/>
          <w:szCs w:val="21"/>
        </w:rPr>
        <w:t>募基金</w:t>
      </w:r>
      <w:proofErr w:type="gramEnd"/>
      <w:r>
        <w:rPr>
          <w:rFonts w:ascii="宋体" w:eastAsia="宋体" w:hAnsi="宋体" w:cs="宋体" w:hint="eastAsia"/>
          <w:sz w:val="21"/>
          <w:szCs w:val="21"/>
        </w:rPr>
        <w:t>以外的其他资产管理产品；</w:t>
      </w:r>
    </w:p>
    <w:p w14:paraId="63226A5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、本计划不得主动投资</w:t>
      </w:r>
      <w:r>
        <w:rPr>
          <w:rFonts w:ascii="宋体" w:eastAsia="宋体" w:hAnsi="宋体" w:cs="宋体" w:hint="eastAsia"/>
          <w:sz w:val="21"/>
          <w:szCs w:val="21"/>
        </w:rPr>
        <w:t>S</w:t>
      </w:r>
      <w:r>
        <w:rPr>
          <w:rFonts w:ascii="宋体" w:eastAsia="宋体" w:hAnsi="宋体" w:cs="宋体" w:hint="eastAsia"/>
          <w:sz w:val="21"/>
          <w:szCs w:val="21"/>
        </w:rPr>
        <w:t>、</w:t>
      </w:r>
      <w:r>
        <w:rPr>
          <w:rFonts w:ascii="宋体" w:eastAsia="宋体" w:hAnsi="宋体" w:cs="宋体" w:hint="eastAsia"/>
          <w:sz w:val="21"/>
          <w:szCs w:val="21"/>
        </w:rPr>
        <w:t>ST</w:t>
      </w:r>
      <w:r>
        <w:rPr>
          <w:rFonts w:ascii="宋体" w:eastAsia="宋体" w:hAnsi="宋体" w:cs="宋体" w:hint="eastAsia"/>
          <w:sz w:val="21"/>
          <w:szCs w:val="21"/>
        </w:rPr>
        <w:t>、</w:t>
      </w:r>
      <w:r>
        <w:rPr>
          <w:rFonts w:ascii="宋体" w:eastAsia="宋体" w:hAnsi="宋体" w:cs="宋体" w:hint="eastAsia"/>
          <w:sz w:val="21"/>
          <w:szCs w:val="21"/>
        </w:rPr>
        <w:t>*ST</w:t>
      </w:r>
      <w:r>
        <w:rPr>
          <w:rFonts w:ascii="宋体" w:eastAsia="宋体" w:hAnsi="宋体" w:cs="宋体" w:hint="eastAsia"/>
          <w:sz w:val="21"/>
          <w:szCs w:val="21"/>
        </w:rPr>
        <w:t>、</w:t>
      </w:r>
      <w:r>
        <w:rPr>
          <w:rFonts w:ascii="宋体" w:eastAsia="宋体" w:hAnsi="宋体" w:cs="宋体" w:hint="eastAsia"/>
          <w:sz w:val="21"/>
          <w:szCs w:val="21"/>
        </w:rPr>
        <w:t>S*ST</w:t>
      </w:r>
      <w:r>
        <w:rPr>
          <w:rFonts w:ascii="宋体" w:eastAsia="宋体" w:hAnsi="宋体" w:cs="宋体" w:hint="eastAsia"/>
          <w:sz w:val="21"/>
          <w:szCs w:val="21"/>
        </w:rPr>
        <w:t>及</w:t>
      </w:r>
      <w:r>
        <w:rPr>
          <w:rFonts w:ascii="宋体" w:eastAsia="宋体" w:hAnsi="宋体" w:cs="宋体" w:hint="eastAsia"/>
          <w:sz w:val="21"/>
          <w:szCs w:val="21"/>
        </w:rPr>
        <w:t>SST</w:t>
      </w:r>
      <w:r>
        <w:rPr>
          <w:rFonts w:ascii="宋体" w:eastAsia="宋体" w:hAnsi="宋体" w:cs="宋体" w:hint="eastAsia"/>
          <w:sz w:val="21"/>
          <w:szCs w:val="21"/>
        </w:rPr>
        <w:t>类股票；</w:t>
      </w:r>
    </w:p>
    <w:p w14:paraId="3A55B7F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、参与股票等证券发行申购时，所申报的金额不得超过计划的总资产，所申报的数量不得超过拟发行公司本次发行的总量；</w:t>
      </w:r>
    </w:p>
    <w:p w14:paraId="0580237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、本计划总资产不得超过本计划净资产的</w:t>
      </w:r>
      <w:r>
        <w:rPr>
          <w:rFonts w:ascii="宋体" w:eastAsia="宋体" w:hAnsi="宋体" w:cs="宋体" w:hint="eastAsia"/>
          <w:sz w:val="21"/>
          <w:szCs w:val="21"/>
        </w:rPr>
        <w:t>200%</w:t>
      </w:r>
      <w:r>
        <w:rPr>
          <w:rFonts w:ascii="宋体" w:eastAsia="宋体" w:hAnsi="宋体" w:cs="宋体" w:hint="eastAsia"/>
          <w:sz w:val="21"/>
          <w:szCs w:val="21"/>
        </w:rPr>
        <w:t>；</w:t>
      </w:r>
    </w:p>
    <w:p w14:paraId="1FDDCC8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、本计划开放退出期内，资产组合中</w:t>
      </w:r>
      <w:r>
        <w:rPr>
          <w:rFonts w:ascii="宋体" w:eastAsia="宋体" w:hAnsi="宋体" w:cs="宋体" w:hint="eastAsia"/>
          <w:sz w:val="21"/>
          <w:szCs w:val="21"/>
        </w:rPr>
        <w:t>7</w:t>
      </w:r>
      <w:r>
        <w:rPr>
          <w:rFonts w:ascii="宋体" w:eastAsia="宋体" w:hAnsi="宋体" w:cs="宋体" w:hint="eastAsia"/>
          <w:sz w:val="21"/>
          <w:szCs w:val="21"/>
        </w:rPr>
        <w:t>个工作日可变现资产的价值，不低于本计划资产净值的</w:t>
      </w:r>
      <w:r>
        <w:rPr>
          <w:rFonts w:ascii="宋体" w:eastAsia="宋体" w:hAnsi="宋体" w:cs="宋体" w:hint="eastAsia"/>
          <w:sz w:val="21"/>
          <w:szCs w:val="21"/>
        </w:rPr>
        <w:t>10%</w:t>
      </w:r>
      <w:r>
        <w:rPr>
          <w:rFonts w:ascii="宋体" w:eastAsia="宋体" w:hAnsi="宋体" w:cs="宋体" w:hint="eastAsia"/>
          <w:sz w:val="21"/>
          <w:szCs w:val="21"/>
        </w:rPr>
        <w:t>；</w:t>
      </w:r>
    </w:p>
    <w:p w14:paraId="1AFB016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、本计划主动投资于流动性受限资产的市值在开放退出期内合计不得超过本计划资产净值的</w:t>
      </w:r>
      <w:r>
        <w:rPr>
          <w:rFonts w:ascii="宋体" w:eastAsia="宋体" w:hAnsi="宋体" w:cs="宋体" w:hint="eastAsia"/>
          <w:sz w:val="21"/>
          <w:szCs w:val="21"/>
        </w:rPr>
        <w:t>20%</w:t>
      </w:r>
      <w:r>
        <w:rPr>
          <w:rFonts w:ascii="宋体" w:eastAsia="宋体" w:hAnsi="宋体" w:cs="宋体" w:hint="eastAsia"/>
          <w:sz w:val="21"/>
          <w:szCs w:val="21"/>
        </w:rPr>
        <w:t>；</w:t>
      </w:r>
    </w:p>
    <w:p w14:paraId="2A726B8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w:t>
      </w:r>
      <w:r>
        <w:rPr>
          <w:rFonts w:ascii="宋体" w:eastAsia="宋体" w:hAnsi="宋体" w:cs="宋体" w:hint="eastAsia"/>
          <w:sz w:val="21"/>
          <w:szCs w:val="21"/>
        </w:rPr>
        <w:t>本计划投资资产支持证券所投资基础资产不包含信托计划、私募基金、</w:t>
      </w:r>
      <w:proofErr w:type="gramStart"/>
      <w:r>
        <w:rPr>
          <w:rFonts w:ascii="宋体" w:eastAsia="宋体" w:hAnsi="宋体" w:cs="宋体" w:hint="eastAsia"/>
          <w:sz w:val="21"/>
          <w:szCs w:val="21"/>
        </w:rPr>
        <w:t>资管产品</w:t>
      </w:r>
      <w:proofErr w:type="gramEnd"/>
      <w:r>
        <w:rPr>
          <w:rFonts w:ascii="宋体" w:eastAsia="宋体" w:hAnsi="宋体" w:cs="宋体" w:hint="eastAsia"/>
          <w:sz w:val="21"/>
          <w:szCs w:val="21"/>
        </w:rPr>
        <w:t>和其他收（受）益权；</w:t>
      </w:r>
    </w:p>
    <w:p w14:paraId="02948F2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、本计划不得投资资产支持证券、资产支持票据的劣后级；</w:t>
      </w:r>
    </w:p>
    <w:p w14:paraId="1843EAD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、法律法规、中国证监会规定、自律规则及其他有关规定和合同约定禁止或限制的投资事项。</w:t>
      </w:r>
    </w:p>
    <w:p w14:paraId="0093F0C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计划存续期间有新的法律法规、监管政策对上述限制做出不同规定的，上述限制根据规定做相应调整。</w:t>
      </w:r>
    </w:p>
    <w:p w14:paraId="4688CA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证券期货市场波动、证券发行人合并、资产管理计划规模变动等资产管理人之外的因素导致资产管理计划投资不符合法律法规和中国证监会规定的投资比例或者合同约定的投资比例的，资产管理人应当在流动性受限资产可出售、可转让或者恢复交易的十五个交易日内调整至符合相关要求。确有特殊事由未能在规定时间内完成调整的，资产管理人应当及时向中国证监会相关派出机构和证券投资基金业协会报告。</w:t>
      </w:r>
    </w:p>
    <w:p w14:paraId="08BFF5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（六）投资禁止</w:t>
      </w:r>
    </w:p>
    <w:p w14:paraId="4729434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本合同委托财产的投资禁止行为包括：</w:t>
      </w:r>
    </w:p>
    <w:p w14:paraId="1506B3D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、承销证券；</w:t>
      </w:r>
    </w:p>
    <w:p w14:paraId="3D2D152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、违反规定向他人贷款或者提供担保；</w:t>
      </w:r>
    </w:p>
    <w:p w14:paraId="0591EDF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、从事承担无限责任的投资；</w:t>
      </w:r>
    </w:p>
    <w:p w14:paraId="4A62B9F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、从事内幕交易、操纵证券交易价格及其他不正当的证券交易活动；</w:t>
      </w:r>
    </w:p>
    <w:p w14:paraId="4884995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、不得直接投资于商业银行信贷资产；</w:t>
      </w:r>
    </w:p>
    <w:p w14:paraId="21FB4DF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、不得违规为地方政府及其部门提供融资，不得要求或者接受地方政府及其部门违规提供担保；</w:t>
      </w:r>
    </w:p>
    <w:p w14:paraId="40EAA86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、不得直接或者间接投资法律、行政法规和国家政策禁止投资的行业或领域；</w:t>
      </w:r>
    </w:p>
    <w:p w14:paraId="054BC06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、不得直接或者间接投资于违反国家产业政策、环境保护政策的项目（证券市场投资除外）；</w:t>
      </w:r>
    </w:p>
    <w:p w14:paraId="462002D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、法律法规、监管机构、自律组织禁止的其他活动。</w:t>
      </w:r>
    </w:p>
    <w:p w14:paraId="551A7F8C" w14:textId="77777777" w:rsidR="00694F14" w:rsidRDefault="00A463B7">
      <w:pPr>
        <w:spacing w:line="360" w:lineRule="auto"/>
        <w:ind w:firstLine="420"/>
        <w:rPr>
          <w:rFonts w:ascii="宋体" w:eastAsia="宋体" w:hAnsi="宋体" w:cs="宋体"/>
          <w:sz w:val="21"/>
          <w:szCs w:val="21"/>
        </w:rPr>
      </w:pPr>
      <w:proofErr w:type="gramStart"/>
      <w:r>
        <w:rPr>
          <w:rFonts w:ascii="宋体" w:eastAsia="宋体" w:hAnsi="宋体" w:cs="宋体" w:hint="eastAsia"/>
          <w:color w:val="000000"/>
          <w:sz w:val="21"/>
          <w:szCs w:val="21"/>
        </w:rPr>
        <w:t>若法律</w:t>
      </w:r>
      <w:proofErr w:type="gramEnd"/>
      <w:r>
        <w:rPr>
          <w:rFonts w:ascii="宋体" w:eastAsia="宋体" w:hAnsi="宋体" w:cs="宋体" w:hint="eastAsia"/>
          <w:color w:val="000000"/>
          <w:sz w:val="21"/>
          <w:szCs w:val="21"/>
        </w:rPr>
        <w:t>法规或监管部门取消或变更上述限制，则</w:t>
      </w:r>
      <w:proofErr w:type="gramStart"/>
      <w:r>
        <w:rPr>
          <w:rFonts w:ascii="宋体" w:eastAsia="宋体" w:hAnsi="宋体" w:cs="宋体" w:hint="eastAsia"/>
          <w:color w:val="000000"/>
          <w:sz w:val="21"/>
          <w:szCs w:val="21"/>
        </w:rPr>
        <w:t>本资产</w:t>
      </w:r>
      <w:proofErr w:type="gramEnd"/>
      <w:r>
        <w:rPr>
          <w:rFonts w:ascii="宋体" w:eastAsia="宋体" w:hAnsi="宋体" w:cs="宋体" w:hint="eastAsia"/>
          <w:color w:val="000000"/>
          <w:sz w:val="21"/>
          <w:szCs w:val="21"/>
        </w:rPr>
        <w:t>管理计划不再受相关限制或以变更后的规</w:t>
      </w:r>
      <w:r>
        <w:rPr>
          <w:rFonts w:ascii="宋体" w:eastAsia="宋体" w:hAnsi="宋体" w:cs="宋体" w:hint="eastAsia"/>
          <w:color w:val="000000"/>
          <w:sz w:val="21"/>
          <w:szCs w:val="21"/>
        </w:rPr>
        <w:t>定为准。</w:t>
      </w:r>
    </w:p>
    <w:p w14:paraId="749BFE97" w14:textId="77777777" w:rsidR="00694F14" w:rsidRDefault="00A463B7">
      <w:pPr>
        <w:spacing w:line="360" w:lineRule="auto"/>
        <w:ind w:firstLine="480"/>
        <w:rPr>
          <w:rFonts w:ascii="宋体" w:eastAsia="宋体" w:hAnsi="宋体" w:cs="宋体"/>
          <w:sz w:val="21"/>
          <w:szCs w:val="21"/>
        </w:rPr>
      </w:pPr>
      <w:bookmarkStart w:id="33" w:name="_Toc78208364"/>
      <w:r>
        <w:rPr>
          <w:rFonts w:ascii="宋体" w:eastAsia="宋体" w:hAnsi="宋体" w:cs="宋体" w:hint="eastAsia"/>
          <w:sz w:val="21"/>
          <w:szCs w:val="21"/>
        </w:rPr>
        <w:t>（七）投资政策的变更</w:t>
      </w:r>
    </w:p>
    <w:p w14:paraId="1F82D3CE"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经全体资产委托人与资产管理人、资产托管人协商一致可对投资政策进行变更，变更投资政策应以书面形式</w:t>
      </w:r>
      <w:proofErr w:type="gramStart"/>
      <w:r>
        <w:rPr>
          <w:rFonts w:ascii="宋体" w:eastAsia="宋体" w:hAnsi="宋体" w:cs="宋体" w:hint="eastAsia"/>
          <w:bCs/>
          <w:sz w:val="21"/>
          <w:szCs w:val="21"/>
        </w:rPr>
        <w:t>作出</w:t>
      </w:r>
      <w:proofErr w:type="gramEnd"/>
      <w:r>
        <w:rPr>
          <w:rFonts w:ascii="宋体" w:eastAsia="宋体" w:hAnsi="宋体" w:cs="宋体" w:hint="eastAsia"/>
          <w:bCs/>
          <w:sz w:val="21"/>
          <w:szCs w:val="21"/>
        </w:rPr>
        <w:t>。投资政策变更应为调整投资组合及资产托管人做好营运准备留出必要、合理的时间。</w:t>
      </w:r>
      <w:bookmarkEnd w:id="33"/>
      <w:r>
        <w:rPr>
          <w:rFonts w:ascii="宋体" w:eastAsia="宋体" w:hAnsi="宋体" w:cs="宋体" w:hint="eastAsia"/>
          <w:bCs/>
          <w:sz w:val="21"/>
          <w:szCs w:val="21"/>
        </w:rPr>
        <w:t>资产管理人应及时告知资产托管人该等变更。</w:t>
      </w:r>
    </w:p>
    <w:p w14:paraId="79043D81"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（八）建仓期</w:t>
      </w:r>
    </w:p>
    <w:p w14:paraId="32B87C7E"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本计划的建仓期为自本计划成立之日起</w:t>
      </w:r>
      <w:r>
        <w:rPr>
          <w:rFonts w:ascii="宋体" w:eastAsia="宋体" w:hAnsi="宋体" w:cs="宋体" w:hint="eastAsia"/>
          <w:bCs/>
          <w:sz w:val="21"/>
          <w:szCs w:val="21"/>
        </w:rPr>
        <w:t>6</w:t>
      </w:r>
      <w:r>
        <w:rPr>
          <w:rFonts w:ascii="宋体" w:eastAsia="宋体" w:hAnsi="宋体" w:cs="宋体" w:hint="eastAsia"/>
          <w:bCs/>
          <w:sz w:val="21"/>
          <w:szCs w:val="21"/>
        </w:rPr>
        <w:t>个月。</w:t>
      </w:r>
    </w:p>
    <w:p w14:paraId="6A8CC6B6"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本计划建仓期的投资活动，应当符合</w:t>
      </w:r>
      <w:proofErr w:type="gramStart"/>
      <w:r>
        <w:rPr>
          <w:rFonts w:ascii="宋体" w:eastAsia="宋体" w:hAnsi="宋体" w:cs="宋体" w:hint="eastAsia"/>
          <w:bCs/>
          <w:sz w:val="21"/>
          <w:szCs w:val="21"/>
        </w:rPr>
        <w:t>本资产</w:t>
      </w:r>
      <w:proofErr w:type="gramEnd"/>
      <w:r>
        <w:rPr>
          <w:rFonts w:ascii="宋体" w:eastAsia="宋体" w:hAnsi="宋体" w:cs="宋体" w:hint="eastAsia"/>
          <w:bCs/>
          <w:sz w:val="21"/>
          <w:szCs w:val="21"/>
        </w:rPr>
        <w:t>管理合同约定的投向和资产管理计划的风险收益特征。以现金管理为目的，投资于银行活期存款、货币市场基金的除外。</w:t>
      </w:r>
    </w:p>
    <w:p w14:paraId="35B02543"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建仓期结束后，资产管理计划的资产组合应当符合法律、行政法规、中国证监会规定和合同约定的投</w:t>
      </w:r>
      <w:r>
        <w:rPr>
          <w:rFonts w:ascii="宋体" w:eastAsia="宋体" w:hAnsi="宋体" w:cs="宋体" w:hint="eastAsia"/>
          <w:bCs/>
          <w:sz w:val="21"/>
          <w:szCs w:val="21"/>
        </w:rPr>
        <w:lastRenderedPageBreak/>
        <w:t>向和比例。</w:t>
      </w:r>
    </w:p>
    <w:p w14:paraId="41923975"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（九）风险收益特征</w:t>
      </w:r>
    </w:p>
    <w:p w14:paraId="21B3073C"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本计划风险等级为【</w:t>
      </w:r>
      <w:r>
        <w:rPr>
          <w:rFonts w:ascii="宋体" w:eastAsia="宋体" w:hAnsi="宋体" w:cs="宋体" w:hint="eastAsia"/>
          <w:bCs/>
          <w:sz w:val="21"/>
          <w:szCs w:val="21"/>
        </w:rPr>
        <w:t>R4</w:t>
      </w:r>
      <w:r>
        <w:rPr>
          <w:rFonts w:ascii="宋体" w:eastAsia="宋体" w:hAnsi="宋体" w:cs="宋体" w:hint="eastAsia"/>
          <w:bCs/>
          <w:sz w:val="21"/>
          <w:szCs w:val="21"/>
        </w:rPr>
        <w:t>】，适合专业投资者和风险识别、评估、承受能力为【</w:t>
      </w:r>
      <w:r>
        <w:rPr>
          <w:rFonts w:ascii="宋体" w:eastAsia="宋体" w:hAnsi="宋体" w:cs="宋体" w:hint="eastAsia"/>
          <w:bCs/>
          <w:sz w:val="21"/>
          <w:szCs w:val="21"/>
        </w:rPr>
        <w:t>C4</w:t>
      </w:r>
      <w:r>
        <w:rPr>
          <w:rFonts w:ascii="宋体" w:eastAsia="宋体" w:hAnsi="宋体" w:cs="宋体" w:hint="eastAsia"/>
          <w:bCs/>
          <w:sz w:val="21"/>
          <w:szCs w:val="21"/>
        </w:rPr>
        <w:t>、</w:t>
      </w:r>
      <w:r>
        <w:rPr>
          <w:rFonts w:ascii="宋体" w:eastAsia="宋体" w:hAnsi="宋体" w:cs="宋体" w:hint="eastAsia"/>
          <w:bCs/>
          <w:sz w:val="21"/>
          <w:szCs w:val="21"/>
        </w:rPr>
        <w:t>C5</w:t>
      </w:r>
      <w:r>
        <w:rPr>
          <w:rFonts w:ascii="宋体" w:eastAsia="宋体" w:hAnsi="宋体" w:cs="宋体" w:hint="eastAsia"/>
          <w:bCs/>
          <w:sz w:val="21"/>
          <w:szCs w:val="21"/>
        </w:rPr>
        <w:t>】的普通投资者。</w:t>
      </w:r>
    </w:p>
    <w:p w14:paraId="6C295871"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（十）本计划应开放期流动性需要，为保护计划份额持有人利益，开放期前资产管理人提前做好组合流动性管理。本计划每季度多次开放，在计划开放退出期内，资产组</w:t>
      </w:r>
      <w:r>
        <w:rPr>
          <w:rFonts w:ascii="宋体" w:eastAsia="宋体" w:hAnsi="宋体" w:cs="宋体" w:hint="eastAsia"/>
          <w:bCs/>
          <w:sz w:val="21"/>
          <w:szCs w:val="21"/>
        </w:rPr>
        <w:t>合中</w:t>
      </w:r>
      <w:r>
        <w:rPr>
          <w:rFonts w:ascii="宋体" w:eastAsia="宋体" w:hAnsi="宋体" w:cs="宋体" w:hint="eastAsia"/>
          <w:bCs/>
          <w:sz w:val="21"/>
          <w:szCs w:val="21"/>
        </w:rPr>
        <w:t>7</w:t>
      </w:r>
      <w:r>
        <w:rPr>
          <w:rFonts w:ascii="宋体" w:eastAsia="宋体" w:hAnsi="宋体" w:cs="宋体" w:hint="eastAsia"/>
          <w:bCs/>
          <w:sz w:val="21"/>
          <w:szCs w:val="21"/>
        </w:rPr>
        <w:t>个工作日可变现资产的价值，不低于本计划资产净值的</w:t>
      </w:r>
      <w:r>
        <w:rPr>
          <w:rFonts w:ascii="宋体" w:eastAsia="宋体" w:hAnsi="宋体" w:cs="宋体" w:hint="eastAsia"/>
          <w:bCs/>
          <w:sz w:val="21"/>
          <w:szCs w:val="21"/>
        </w:rPr>
        <w:t>10%</w:t>
      </w:r>
      <w:r>
        <w:rPr>
          <w:rFonts w:ascii="宋体" w:eastAsia="宋体" w:hAnsi="宋体" w:cs="宋体" w:hint="eastAsia"/>
          <w:bCs/>
          <w:sz w:val="21"/>
          <w:szCs w:val="21"/>
        </w:rPr>
        <w:t>，且本计划主动投资于流动性受限资产的市值在开放退出期内合计不得超过本计划资产净值的</w:t>
      </w:r>
      <w:r>
        <w:rPr>
          <w:rFonts w:ascii="宋体" w:eastAsia="宋体" w:hAnsi="宋体" w:cs="宋体" w:hint="eastAsia"/>
          <w:bCs/>
          <w:sz w:val="21"/>
          <w:szCs w:val="21"/>
        </w:rPr>
        <w:t>20%</w:t>
      </w:r>
      <w:r>
        <w:rPr>
          <w:rFonts w:ascii="宋体" w:eastAsia="宋体" w:hAnsi="宋体" w:cs="宋体" w:hint="eastAsia"/>
          <w:bCs/>
          <w:sz w:val="21"/>
          <w:szCs w:val="21"/>
        </w:rPr>
        <w:t>。本计划投资的资产组合的流动性与参与、退出安排相匹配。</w:t>
      </w:r>
    </w:p>
    <w:p w14:paraId="0932EA7B"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（十一）业绩比较基准测算依据及测算过程</w:t>
      </w:r>
    </w:p>
    <w:p w14:paraId="015A14E1"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本计划不设业绩比较基准。</w:t>
      </w:r>
    </w:p>
    <w:p w14:paraId="77DFA4F2"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（十二）预警止损安排</w:t>
      </w:r>
    </w:p>
    <w:p w14:paraId="59C7D45F"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1</w:t>
      </w:r>
      <w:r>
        <w:rPr>
          <w:rFonts w:ascii="宋体" w:eastAsia="宋体" w:hAnsi="宋体" w:cs="宋体" w:hint="eastAsia"/>
          <w:b/>
          <w:sz w:val="21"/>
          <w:szCs w:val="21"/>
        </w:rPr>
        <w:t>、预警线：本计划份额净值【</w:t>
      </w:r>
      <w:r>
        <w:rPr>
          <w:rFonts w:ascii="宋体" w:eastAsia="宋体" w:hAnsi="宋体" w:cs="宋体" w:hint="eastAsia"/>
          <w:b/>
          <w:sz w:val="21"/>
          <w:szCs w:val="21"/>
        </w:rPr>
        <w:t>0.</w:t>
      </w:r>
      <w:r>
        <w:rPr>
          <w:rFonts w:ascii="宋体" w:eastAsia="宋体" w:hAnsi="宋体" w:cs="宋体" w:hint="eastAsia"/>
          <w:b/>
          <w:sz w:val="21"/>
          <w:szCs w:val="21"/>
        </w:rPr>
        <w:t>75</w:t>
      </w:r>
      <w:r>
        <w:rPr>
          <w:rFonts w:ascii="宋体" w:eastAsia="宋体" w:hAnsi="宋体" w:cs="宋体" w:hint="eastAsia"/>
          <w:b/>
          <w:sz w:val="21"/>
          <w:szCs w:val="21"/>
        </w:rPr>
        <w:t>00</w:t>
      </w:r>
      <w:r>
        <w:rPr>
          <w:rFonts w:ascii="宋体" w:eastAsia="宋体" w:hAnsi="宋体" w:cs="宋体" w:hint="eastAsia"/>
          <w:b/>
          <w:sz w:val="21"/>
          <w:szCs w:val="21"/>
        </w:rPr>
        <w:t>】元。</w:t>
      </w:r>
    </w:p>
    <w:p w14:paraId="622B1AA6"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在本计划存续期内任何一个交易日</w:t>
      </w:r>
      <w:r>
        <w:rPr>
          <w:rFonts w:ascii="宋体" w:eastAsia="宋体" w:hAnsi="宋体" w:cs="宋体" w:hint="eastAsia"/>
          <w:bCs/>
          <w:sz w:val="21"/>
          <w:szCs w:val="21"/>
        </w:rPr>
        <w:t>T</w:t>
      </w:r>
      <w:r>
        <w:rPr>
          <w:rFonts w:ascii="宋体" w:eastAsia="宋体" w:hAnsi="宋体" w:cs="宋体" w:hint="eastAsia"/>
          <w:bCs/>
          <w:sz w:val="21"/>
          <w:szCs w:val="21"/>
        </w:rPr>
        <w:t>日，经托管人复核的</w:t>
      </w:r>
      <w:r>
        <w:rPr>
          <w:rFonts w:ascii="宋体" w:eastAsia="宋体" w:hAnsi="宋体" w:cs="宋体" w:hint="eastAsia"/>
          <w:bCs/>
          <w:sz w:val="21"/>
          <w:szCs w:val="21"/>
        </w:rPr>
        <w:t>T</w:t>
      </w:r>
      <w:r>
        <w:rPr>
          <w:rFonts w:ascii="宋体" w:eastAsia="宋体" w:hAnsi="宋体" w:cs="宋体" w:hint="eastAsia"/>
          <w:bCs/>
          <w:sz w:val="21"/>
          <w:szCs w:val="21"/>
        </w:rPr>
        <w:t>日计划份额净值不高于【</w:t>
      </w:r>
      <w:r>
        <w:rPr>
          <w:rFonts w:ascii="宋体" w:eastAsia="宋体" w:hAnsi="宋体" w:cs="宋体" w:hint="eastAsia"/>
          <w:bCs/>
          <w:sz w:val="21"/>
          <w:szCs w:val="21"/>
        </w:rPr>
        <w:t>0.</w:t>
      </w:r>
      <w:r>
        <w:rPr>
          <w:rFonts w:ascii="宋体" w:eastAsia="宋体" w:hAnsi="宋体" w:cs="宋体" w:hint="eastAsia"/>
          <w:bCs/>
          <w:sz w:val="21"/>
          <w:szCs w:val="21"/>
        </w:rPr>
        <w:t>75</w:t>
      </w:r>
      <w:r>
        <w:rPr>
          <w:rFonts w:ascii="宋体" w:eastAsia="宋体" w:hAnsi="宋体" w:cs="宋体" w:hint="eastAsia"/>
          <w:bCs/>
          <w:sz w:val="21"/>
          <w:szCs w:val="21"/>
        </w:rPr>
        <w:t>00</w:t>
      </w:r>
      <w:r>
        <w:rPr>
          <w:rFonts w:ascii="宋体" w:eastAsia="宋体" w:hAnsi="宋体" w:cs="宋体" w:hint="eastAsia"/>
          <w:bCs/>
          <w:sz w:val="21"/>
          <w:szCs w:val="21"/>
        </w:rPr>
        <w:t>】元的，管理人应于</w:t>
      </w:r>
      <w:r>
        <w:rPr>
          <w:rFonts w:ascii="宋体" w:eastAsia="宋体" w:hAnsi="宋体" w:cs="宋体" w:hint="eastAsia"/>
          <w:bCs/>
          <w:sz w:val="21"/>
          <w:szCs w:val="21"/>
        </w:rPr>
        <w:t>T+2</w:t>
      </w:r>
      <w:r>
        <w:rPr>
          <w:rFonts w:ascii="宋体" w:eastAsia="宋体" w:hAnsi="宋体" w:cs="宋体" w:hint="eastAsia"/>
          <w:bCs/>
          <w:sz w:val="21"/>
          <w:szCs w:val="21"/>
        </w:rPr>
        <w:t>日以电子邮件、电话或传真形式（以上任</w:t>
      </w:r>
      <w:proofErr w:type="gramStart"/>
      <w:r>
        <w:rPr>
          <w:rFonts w:ascii="宋体" w:eastAsia="宋体" w:hAnsi="宋体" w:cs="宋体" w:hint="eastAsia"/>
          <w:bCs/>
          <w:sz w:val="21"/>
          <w:szCs w:val="21"/>
        </w:rPr>
        <w:t>一</w:t>
      </w:r>
      <w:proofErr w:type="gramEnd"/>
      <w:r>
        <w:rPr>
          <w:rFonts w:ascii="宋体" w:eastAsia="宋体" w:hAnsi="宋体" w:cs="宋体" w:hint="eastAsia"/>
          <w:bCs/>
          <w:sz w:val="21"/>
          <w:szCs w:val="21"/>
        </w:rPr>
        <w:t>形式）向资产委托人提示投资风险。</w:t>
      </w:r>
    </w:p>
    <w:p w14:paraId="2AAA3FDA"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2</w:t>
      </w:r>
      <w:r>
        <w:rPr>
          <w:rFonts w:ascii="宋体" w:eastAsia="宋体" w:hAnsi="宋体" w:cs="宋体" w:hint="eastAsia"/>
          <w:b/>
          <w:sz w:val="21"/>
          <w:szCs w:val="21"/>
        </w:rPr>
        <w:t>、本计划</w:t>
      </w:r>
      <w:r>
        <w:rPr>
          <w:rFonts w:ascii="宋体" w:eastAsia="宋体" w:hAnsi="宋体" w:cs="宋体" w:hint="eastAsia"/>
          <w:b/>
          <w:sz w:val="21"/>
          <w:szCs w:val="21"/>
        </w:rPr>
        <w:t>不设止损线</w:t>
      </w:r>
      <w:r>
        <w:rPr>
          <w:rFonts w:ascii="宋体" w:eastAsia="宋体" w:hAnsi="宋体" w:cs="宋体" w:hint="eastAsia"/>
          <w:b/>
          <w:sz w:val="21"/>
          <w:szCs w:val="21"/>
        </w:rPr>
        <w:t>。</w:t>
      </w:r>
    </w:p>
    <w:p w14:paraId="60605719"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（十三）计提或预留风险准备金</w:t>
      </w:r>
    </w:p>
    <w:p w14:paraId="6AFA502B"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管理人应按照法律、行政法规以及中国证监会的规定计提或预留风险准备金，风险准备金计提比例不得低于管理费收入的</w:t>
      </w:r>
      <w:r>
        <w:rPr>
          <w:rFonts w:ascii="宋体" w:eastAsia="宋体" w:hAnsi="宋体" w:cs="宋体" w:hint="eastAsia"/>
          <w:bCs/>
          <w:sz w:val="21"/>
          <w:szCs w:val="21"/>
        </w:rPr>
        <w:t>10%</w:t>
      </w:r>
      <w:r>
        <w:rPr>
          <w:rFonts w:ascii="宋体" w:eastAsia="宋体" w:hAnsi="宋体" w:cs="宋体" w:hint="eastAsia"/>
          <w:bCs/>
          <w:sz w:val="21"/>
          <w:szCs w:val="21"/>
        </w:rPr>
        <w:t>，风险准备金余额达到上季末资产管理计划资产净值的</w:t>
      </w:r>
      <w:r>
        <w:rPr>
          <w:rFonts w:ascii="宋体" w:eastAsia="宋体" w:hAnsi="宋体" w:cs="宋体" w:hint="eastAsia"/>
          <w:bCs/>
          <w:sz w:val="21"/>
          <w:szCs w:val="21"/>
        </w:rPr>
        <w:t>1%</w:t>
      </w:r>
      <w:r>
        <w:rPr>
          <w:rFonts w:ascii="宋体" w:eastAsia="宋体" w:hAnsi="宋体" w:cs="宋体" w:hint="eastAsia"/>
          <w:bCs/>
          <w:sz w:val="21"/>
          <w:szCs w:val="21"/>
        </w:rPr>
        <w:t>时可以不再提取。管理人按照规定计量操作风险资本或相应风险资本准备，视为管理人已计提风险准备金。</w:t>
      </w:r>
      <w:proofErr w:type="gramStart"/>
      <w:r>
        <w:rPr>
          <w:rFonts w:ascii="宋体" w:eastAsia="宋体" w:hAnsi="宋体" w:cs="宋体" w:hint="eastAsia"/>
          <w:bCs/>
          <w:sz w:val="21"/>
          <w:szCs w:val="21"/>
        </w:rPr>
        <w:t>若资产</w:t>
      </w:r>
      <w:proofErr w:type="gramEnd"/>
      <w:r>
        <w:rPr>
          <w:rFonts w:ascii="宋体" w:eastAsia="宋体" w:hAnsi="宋体" w:cs="宋体" w:hint="eastAsia"/>
          <w:bCs/>
          <w:sz w:val="21"/>
          <w:szCs w:val="21"/>
        </w:rPr>
        <w:t>管理人未根据上述要求计提风险准备金的，资产委托人有权要求在支付管理费时扣除一定费用作为预留风险</w:t>
      </w:r>
      <w:r>
        <w:rPr>
          <w:rFonts w:ascii="宋体" w:eastAsia="宋体" w:hAnsi="宋体" w:cs="宋体" w:hint="eastAsia"/>
          <w:bCs/>
          <w:sz w:val="21"/>
          <w:szCs w:val="21"/>
        </w:rPr>
        <w:t>准备金。</w:t>
      </w:r>
    </w:p>
    <w:p w14:paraId="1FE265A7" w14:textId="77777777" w:rsidR="00694F14" w:rsidRDefault="00694F14">
      <w:pPr>
        <w:spacing w:line="360" w:lineRule="auto"/>
        <w:ind w:firstLine="480"/>
        <w:rPr>
          <w:rFonts w:ascii="宋体" w:eastAsia="宋体" w:hAnsi="宋体" w:cs="宋体"/>
          <w:bCs/>
          <w:sz w:val="21"/>
          <w:szCs w:val="21"/>
        </w:rPr>
      </w:pPr>
    </w:p>
    <w:p w14:paraId="4B627E06" w14:textId="77777777" w:rsidR="00694F14" w:rsidRDefault="00A463B7">
      <w:pPr>
        <w:pStyle w:val="1"/>
        <w:spacing w:before="0" w:after="0" w:line="360" w:lineRule="auto"/>
        <w:jc w:val="center"/>
        <w:rPr>
          <w:rFonts w:ascii="宋体" w:eastAsia="宋体" w:hAnsi="宋体" w:cs="宋体"/>
          <w:sz w:val="21"/>
          <w:szCs w:val="21"/>
        </w:rPr>
      </w:pPr>
      <w:bookmarkStart w:id="34" w:name="_Toc70622191"/>
      <w:r>
        <w:rPr>
          <w:rFonts w:ascii="宋体" w:eastAsia="宋体" w:hAnsi="宋体" w:cs="宋体" w:hint="eastAsia"/>
          <w:sz w:val="21"/>
          <w:szCs w:val="21"/>
        </w:rPr>
        <w:t>十二、投资顾问</w:t>
      </w:r>
      <w:bookmarkEnd w:id="34"/>
    </w:p>
    <w:p w14:paraId="1C899B87" w14:textId="77777777" w:rsidR="00694F14" w:rsidRDefault="00A463B7">
      <w:pPr>
        <w:pStyle w:val="15"/>
        <w:spacing w:line="360" w:lineRule="auto"/>
        <w:ind w:firstLine="480"/>
        <w:rPr>
          <w:rFonts w:ascii="宋体" w:eastAsia="宋体" w:hAnsi="宋体" w:cs="宋体"/>
          <w:sz w:val="21"/>
          <w:szCs w:val="21"/>
        </w:rPr>
      </w:pPr>
      <w:r>
        <w:rPr>
          <w:rFonts w:ascii="宋体" w:eastAsia="宋体" w:hAnsi="宋体" w:cs="宋体" w:hint="eastAsia"/>
          <w:sz w:val="21"/>
          <w:szCs w:val="21"/>
        </w:rPr>
        <w:t>本计划</w:t>
      </w:r>
      <w:r>
        <w:rPr>
          <w:rFonts w:ascii="宋体" w:eastAsia="宋体" w:hAnsi="宋体" w:cs="宋体" w:hint="eastAsia"/>
          <w:sz w:val="21"/>
          <w:szCs w:val="21"/>
        </w:rPr>
        <w:t>成立之时不</w:t>
      </w:r>
      <w:r>
        <w:rPr>
          <w:rFonts w:ascii="宋体" w:eastAsia="宋体" w:hAnsi="宋体" w:cs="宋体" w:hint="eastAsia"/>
          <w:sz w:val="21"/>
          <w:szCs w:val="21"/>
        </w:rPr>
        <w:t>聘请</w:t>
      </w:r>
      <w:r>
        <w:rPr>
          <w:rFonts w:ascii="宋体" w:eastAsia="宋体" w:hAnsi="宋体" w:cs="宋体" w:hint="eastAsia"/>
          <w:sz w:val="21"/>
          <w:szCs w:val="21"/>
        </w:rPr>
        <w:t>投资顾问。</w:t>
      </w:r>
    </w:p>
    <w:p w14:paraId="66203A5F" w14:textId="77777777" w:rsidR="00694F14" w:rsidRDefault="00694F14">
      <w:pPr>
        <w:pStyle w:val="15"/>
        <w:spacing w:line="360" w:lineRule="auto"/>
        <w:ind w:left="240" w:firstLine="180"/>
        <w:rPr>
          <w:rFonts w:ascii="宋体" w:eastAsia="宋体" w:hAnsi="宋体" w:cs="宋体"/>
          <w:sz w:val="21"/>
          <w:szCs w:val="21"/>
        </w:rPr>
      </w:pPr>
    </w:p>
    <w:p w14:paraId="7D6C2E6B" w14:textId="77777777" w:rsidR="00694F14" w:rsidRDefault="00A463B7">
      <w:pPr>
        <w:pStyle w:val="1"/>
        <w:spacing w:before="0" w:after="0" w:line="360" w:lineRule="auto"/>
        <w:jc w:val="center"/>
        <w:rPr>
          <w:rFonts w:ascii="宋体" w:eastAsia="宋体" w:hAnsi="宋体" w:cs="宋体"/>
          <w:sz w:val="21"/>
          <w:szCs w:val="21"/>
        </w:rPr>
      </w:pPr>
      <w:bookmarkStart w:id="35" w:name="_Toc70622192"/>
      <w:r>
        <w:rPr>
          <w:rFonts w:ascii="宋体" w:eastAsia="宋体" w:hAnsi="宋体" w:cs="宋体" w:hint="eastAsia"/>
          <w:sz w:val="21"/>
          <w:szCs w:val="21"/>
        </w:rPr>
        <w:t>十三、分级安排</w:t>
      </w:r>
      <w:bookmarkEnd w:id="35"/>
    </w:p>
    <w:p w14:paraId="3A3DABE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本计划不设分级安排。</w:t>
      </w:r>
    </w:p>
    <w:p w14:paraId="6AF82EC1" w14:textId="77777777" w:rsidR="00694F14" w:rsidRDefault="00694F14">
      <w:pPr>
        <w:spacing w:line="360" w:lineRule="auto"/>
        <w:ind w:firstLine="480"/>
        <w:rPr>
          <w:rFonts w:ascii="宋体" w:eastAsia="宋体" w:hAnsi="宋体" w:cs="宋体"/>
          <w:sz w:val="21"/>
          <w:szCs w:val="21"/>
        </w:rPr>
      </w:pPr>
    </w:p>
    <w:p w14:paraId="4E2695A7" w14:textId="77777777" w:rsidR="00694F14" w:rsidRDefault="00A463B7">
      <w:pPr>
        <w:pStyle w:val="1"/>
        <w:spacing w:before="0" w:after="0" w:line="360" w:lineRule="auto"/>
        <w:jc w:val="center"/>
        <w:rPr>
          <w:rFonts w:ascii="宋体" w:eastAsia="宋体" w:hAnsi="宋体" w:cs="宋体"/>
          <w:sz w:val="21"/>
          <w:szCs w:val="21"/>
        </w:rPr>
      </w:pPr>
      <w:bookmarkStart w:id="36" w:name="_Toc70622193"/>
      <w:r>
        <w:rPr>
          <w:rFonts w:ascii="宋体" w:eastAsia="宋体" w:hAnsi="宋体" w:cs="宋体" w:hint="eastAsia"/>
          <w:sz w:val="21"/>
          <w:szCs w:val="21"/>
        </w:rPr>
        <w:lastRenderedPageBreak/>
        <w:t>十四、利益冲突及关联交易</w:t>
      </w:r>
      <w:bookmarkEnd w:id="36"/>
    </w:p>
    <w:p w14:paraId="3948051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（一）关联交易及利益冲突情形</w:t>
      </w:r>
    </w:p>
    <w:p w14:paraId="1AF8A3B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投资者在此同意并授权管理人在本合同约定的投资范围内，将本计划资产投资于管理人、托管人及前述机构的控股股东、实际控制人或者其他关联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的证券或者承销期内承销的证券。资产管理人应当建立健全内部审批机制和评估机制，并应当遵循投资者利益优先原则，告知投资者和托管人，并采取切实有效措施，防范利益冲突，保护投资者合法权益。</w:t>
      </w:r>
      <w:r>
        <w:rPr>
          <w:rFonts w:ascii="宋体" w:eastAsia="宋体" w:hAnsi="宋体" w:cs="宋体" w:hint="eastAsia"/>
          <w:bCs/>
          <w:sz w:val="21"/>
          <w:szCs w:val="21"/>
        </w:rPr>
        <w:t>从事重大关联交易的，应向中国证监会相关派</w:t>
      </w:r>
      <w:r>
        <w:rPr>
          <w:rFonts w:ascii="宋体" w:eastAsia="宋体" w:hAnsi="宋体" w:cs="宋体" w:hint="eastAsia"/>
          <w:bCs/>
          <w:sz w:val="21"/>
          <w:szCs w:val="21"/>
        </w:rPr>
        <w:t>出机构和证券投资基金业协会报告，投资于证券期货的关联交易还应当向证券期货交易所报告。</w:t>
      </w:r>
    </w:p>
    <w:p w14:paraId="4FAC90B2"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管理计划根据合同约定可在符合投资范围的情况下投资资产管理人所管理的基金，</w:t>
      </w:r>
      <w:r>
        <w:rPr>
          <w:rFonts w:ascii="宋体" w:eastAsia="宋体" w:hAnsi="宋体" w:cs="宋体" w:hint="eastAsia"/>
          <w:b/>
          <w:sz w:val="21"/>
          <w:szCs w:val="21"/>
        </w:rPr>
        <w:t>资产委托人同意</w:t>
      </w:r>
      <w:r>
        <w:rPr>
          <w:rFonts w:ascii="宋体" w:eastAsia="宋体" w:hAnsi="宋体" w:cs="宋体" w:hint="eastAsia"/>
          <w:sz w:val="21"/>
          <w:szCs w:val="21"/>
        </w:rPr>
        <w:t>本计划从事该等关联交易。</w:t>
      </w:r>
    </w:p>
    <w:p w14:paraId="2A37DCE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不违反法律法规的强制性规定、不违反本合同约定的前提下，本计划可能投资于资产委托人、资产管理人、资产托管人及其关联方所发行、管理、保荐、托管、销售或存在其他法律关系或利益联系的金融产品，或者与该等金融产品以公平合理的价格进行交易。</w:t>
      </w:r>
    </w:p>
    <w:p w14:paraId="3C21398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管理人光大期货有限公司为光大证券股份有限公司的全资子公司。全体委托人知晓并同意本计划聘请光大证券股份有限公司担任</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服务商、注册登记机构。</w:t>
      </w:r>
    </w:p>
    <w:p w14:paraId="61A95DD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（二）关联交易及利益冲突的应对及处理</w:t>
      </w:r>
    </w:p>
    <w:p w14:paraId="3982D55B"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资产管理人应建立健全内部控制和风险合</w:t>
      </w:r>
      <w:proofErr w:type="gramStart"/>
      <w:r>
        <w:rPr>
          <w:rFonts w:ascii="宋体" w:eastAsia="宋体" w:hAnsi="宋体" w:cs="宋体" w:hint="eastAsia"/>
          <w:bCs/>
          <w:sz w:val="21"/>
          <w:szCs w:val="21"/>
        </w:rPr>
        <w:t>规</w:t>
      </w:r>
      <w:proofErr w:type="gramEnd"/>
      <w:r>
        <w:rPr>
          <w:rFonts w:ascii="宋体" w:eastAsia="宋体" w:hAnsi="宋体" w:cs="宋体" w:hint="eastAsia"/>
          <w:bCs/>
          <w:sz w:val="21"/>
          <w:szCs w:val="21"/>
        </w:rPr>
        <w:t>管理制度，采取有效措施，做好充分的信息隔离和利益冲突管理，遵</w:t>
      </w:r>
      <w:r>
        <w:rPr>
          <w:rFonts w:ascii="宋体" w:eastAsia="宋体" w:hAnsi="宋体" w:cs="宋体" w:hint="eastAsia"/>
          <w:bCs/>
          <w:sz w:val="21"/>
          <w:szCs w:val="21"/>
        </w:rPr>
        <w:t>循投资者利益优先的原则，防范、管</w:t>
      </w:r>
      <w:proofErr w:type="gramStart"/>
      <w:r>
        <w:rPr>
          <w:rFonts w:ascii="宋体" w:eastAsia="宋体" w:hAnsi="宋体" w:cs="宋体" w:hint="eastAsia"/>
          <w:bCs/>
          <w:sz w:val="21"/>
          <w:szCs w:val="21"/>
        </w:rPr>
        <w:t>控可能</w:t>
      </w:r>
      <w:proofErr w:type="gramEnd"/>
      <w:r>
        <w:rPr>
          <w:rFonts w:ascii="宋体" w:eastAsia="宋体" w:hAnsi="宋体" w:cs="宋体" w:hint="eastAsia"/>
          <w:bCs/>
          <w:sz w:val="21"/>
          <w:szCs w:val="21"/>
        </w:rPr>
        <w:t>的利益冲突。资产委托人签署本合同即视为已经充分理解并同意资产管理人从事前文已经明确列明的关联交易情形，资产管理人无需就前述具体关联交易再行分别取得资产委托人的授权，但该等关联交易投资应按照市场通行的方式和条件参与，公平对待委托财产，不得存在内幕交易、利用非公开信息交易、操纵市场、利益输送等任何违法违规行为，防止利益冲突，不得损害投资者利益。对于资产管理计划在投资运作过程中从事关联交易的，事后应当及时、全面、客观的向资产委托人和托管人进行披露，并通过定期报告及时、全面、客</w:t>
      </w:r>
      <w:r>
        <w:rPr>
          <w:rFonts w:ascii="宋体" w:eastAsia="宋体" w:hAnsi="宋体" w:cs="宋体" w:hint="eastAsia"/>
          <w:bCs/>
          <w:sz w:val="21"/>
          <w:szCs w:val="21"/>
        </w:rPr>
        <w:t>观的向资产委托人和资产托管人进行披露及按相关规定进行报告或备案。若该等关联交易构成重大关联交易的，管理人应严格遵守法律、行政法规和中国证监会的规定以及本合同的约定，且应当事先取得资产委托人的同意，并应当提供充分证据证明未损害资产委托人利益。在交易完成后及时书面通知托管人，通过电子邮件告知投资者，并按相关规定报告或备案。</w:t>
      </w:r>
    </w:p>
    <w:p w14:paraId="6B3FD760"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资产管理计划在投资运作过程中存在利益冲突情形的，资产管理人应当坚持资产委托人利益优先原则，从充分维护资产委托人利益角度积极处理该等利益冲突情形，防范利益输送等违法违规行为。在发生</w:t>
      </w:r>
      <w:r>
        <w:rPr>
          <w:rFonts w:ascii="宋体" w:eastAsia="宋体" w:hAnsi="宋体" w:cs="宋体" w:hint="eastAsia"/>
          <w:bCs/>
          <w:sz w:val="21"/>
          <w:szCs w:val="21"/>
        </w:rPr>
        <w:lastRenderedPageBreak/>
        <w:t>该等利益冲突</w:t>
      </w:r>
      <w:r>
        <w:rPr>
          <w:rFonts w:ascii="宋体" w:eastAsia="宋体" w:hAnsi="宋体" w:cs="宋体" w:hint="eastAsia"/>
          <w:bCs/>
          <w:sz w:val="21"/>
          <w:szCs w:val="21"/>
        </w:rPr>
        <w:t>时，资产管理人应当视具体利益冲突情形选择在向资产委托人提供的定期报告或临时报告中进行披露，具体披露内容包括利益冲突情形、处置方式、对资产委托人利益的影响等。</w:t>
      </w:r>
    </w:p>
    <w:p w14:paraId="0B367D7B"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（三）托管人应根据管理人的要求及时提供关联方名单。</w:t>
      </w:r>
    </w:p>
    <w:p w14:paraId="4478980C" w14:textId="77777777" w:rsidR="00694F14" w:rsidRDefault="00A463B7">
      <w:pPr>
        <w:spacing w:line="360" w:lineRule="auto"/>
        <w:ind w:firstLine="480"/>
        <w:rPr>
          <w:rFonts w:ascii="宋体" w:eastAsia="宋体" w:hAnsi="宋体" w:cs="宋体"/>
          <w:bCs/>
          <w:sz w:val="21"/>
          <w:szCs w:val="21"/>
        </w:rPr>
      </w:pPr>
      <w:r>
        <w:rPr>
          <w:rFonts w:ascii="宋体" w:eastAsia="宋体" w:hAnsi="宋体" w:cs="宋体" w:hint="eastAsia"/>
          <w:bCs/>
          <w:sz w:val="21"/>
          <w:szCs w:val="21"/>
        </w:rPr>
        <w:t>（四）</w:t>
      </w:r>
      <w:r>
        <w:rPr>
          <w:rFonts w:ascii="宋体" w:eastAsia="宋体" w:hAnsi="宋体" w:cs="宋体" w:hint="eastAsia"/>
          <w:b/>
          <w:sz w:val="21"/>
          <w:szCs w:val="21"/>
        </w:rPr>
        <w:t>资产委托人签署本合同即表明其已经知晓并同意本计划可进行上述关联交易。资产委托人不得因本计划投资收益劣于管理人及其关联方管理的其他类似投资产品，而向管理人或托管人提出任何损失或损害补偿的要求。</w:t>
      </w:r>
    </w:p>
    <w:p w14:paraId="616DDF52" w14:textId="77777777" w:rsidR="00694F14" w:rsidRDefault="00694F14">
      <w:pPr>
        <w:spacing w:line="360" w:lineRule="auto"/>
        <w:ind w:firstLine="480"/>
        <w:rPr>
          <w:rFonts w:ascii="宋体" w:eastAsia="宋体" w:hAnsi="宋体" w:cs="宋体"/>
          <w:bCs/>
          <w:sz w:val="21"/>
          <w:szCs w:val="21"/>
        </w:rPr>
      </w:pPr>
    </w:p>
    <w:p w14:paraId="4F1D3A42" w14:textId="77777777" w:rsidR="00694F14" w:rsidRDefault="00A463B7">
      <w:pPr>
        <w:pStyle w:val="1"/>
        <w:spacing w:before="0" w:after="0" w:line="360" w:lineRule="auto"/>
        <w:jc w:val="center"/>
        <w:rPr>
          <w:rFonts w:ascii="宋体" w:eastAsia="宋体" w:hAnsi="宋体" w:cs="宋体"/>
          <w:sz w:val="21"/>
          <w:szCs w:val="21"/>
        </w:rPr>
      </w:pPr>
      <w:bookmarkStart w:id="37" w:name="_Toc70622194"/>
      <w:bookmarkStart w:id="38" w:name="_Toc401668939"/>
      <w:r>
        <w:rPr>
          <w:rFonts w:ascii="宋体" w:eastAsia="宋体" w:hAnsi="宋体" w:cs="宋体" w:hint="eastAsia"/>
          <w:sz w:val="21"/>
          <w:szCs w:val="21"/>
        </w:rPr>
        <w:t>十五、投资经理的指定与变更</w:t>
      </w:r>
      <w:bookmarkEnd w:id="37"/>
      <w:bookmarkEnd w:id="38"/>
    </w:p>
    <w:p w14:paraId="2F50DE4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本计划投资经理由资产管理人负责指定。</w:t>
      </w:r>
    </w:p>
    <w:p w14:paraId="4C6C1DA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本计划投资经理基本信息如下：</w:t>
      </w:r>
    </w:p>
    <w:p w14:paraId="6AB9D9D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李宇霆</w:t>
      </w:r>
      <w:r>
        <w:rPr>
          <w:rFonts w:ascii="宋体" w:eastAsia="宋体" w:hAnsi="宋体" w:cs="宋体" w:hint="eastAsia"/>
          <w:sz w:val="21"/>
          <w:szCs w:val="21"/>
        </w:rPr>
        <w:t>先生，格拉斯哥大学金融学硕士，现任光大期货有限公司资产管理部投资经理，无兼职情况，具有</w:t>
      </w:r>
      <w:r>
        <w:rPr>
          <w:rFonts w:ascii="宋体" w:eastAsia="宋体" w:hAnsi="宋体" w:cs="宋体" w:hint="eastAsia"/>
          <w:sz w:val="21"/>
          <w:szCs w:val="21"/>
        </w:rPr>
        <w:t>6</w:t>
      </w:r>
      <w:r>
        <w:rPr>
          <w:rFonts w:ascii="宋体" w:eastAsia="宋体" w:hAnsi="宋体" w:cs="宋体" w:hint="eastAsia"/>
          <w:sz w:val="21"/>
          <w:szCs w:val="21"/>
        </w:rPr>
        <w:t>年宏观、债券领域等研究和投资管理等相关业务经验。曾供职</w:t>
      </w:r>
      <w:proofErr w:type="gramStart"/>
      <w:r>
        <w:rPr>
          <w:rFonts w:ascii="宋体" w:eastAsia="宋体" w:hAnsi="宋体" w:cs="宋体" w:hint="eastAsia"/>
          <w:sz w:val="21"/>
          <w:szCs w:val="21"/>
        </w:rPr>
        <w:t>于迈科期货</w:t>
      </w:r>
      <w:proofErr w:type="gramEnd"/>
      <w:r>
        <w:rPr>
          <w:rFonts w:ascii="宋体" w:eastAsia="宋体" w:hAnsi="宋体" w:cs="宋体" w:hint="eastAsia"/>
          <w:sz w:val="21"/>
          <w:szCs w:val="21"/>
        </w:rPr>
        <w:t>股份有限公司、上海迈科迪信投资管理有限公司、领</w:t>
      </w:r>
      <w:proofErr w:type="gramStart"/>
      <w:r>
        <w:rPr>
          <w:rFonts w:ascii="宋体" w:eastAsia="宋体" w:hAnsi="宋体" w:cs="宋体" w:hint="eastAsia"/>
          <w:sz w:val="21"/>
          <w:szCs w:val="21"/>
        </w:rPr>
        <w:t>睿</w:t>
      </w:r>
      <w:proofErr w:type="gramEnd"/>
      <w:r>
        <w:rPr>
          <w:rFonts w:ascii="宋体" w:eastAsia="宋体" w:hAnsi="宋体" w:cs="宋体" w:hint="eastAsia"/>
          <w:sz w:val="21"/>
          <w:szCs w:val="21"/>
        </w:rPr>
        <w:t>资产管理有限公司，历任宏观国债期货研究员、债券研究员、债券投资经理等职。</w:t>
      </w:r>
    </w:p>
    <w:p w14:paraId="76E809D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徐浩先生，上海交通大学工学硕士，现任光大期货有限公司资产管理部投资经理，无兼职情况，具有</w:t>
      </w:r>
      <w:r>
        <w:rPr>
          <w:rFonts w:ascii="宋体" w:eastAsia="宋体" w:hAnsi="宋体" w:cs="宋体" w:hint="eastAsia"/>
          <w:sz w:val="21"/>
          <w:szCs w:val="21"/>
        </w:rPr>
        <w:t>7</w:t>
      </w:r>
      <w:r>
        <w:rPr>
          <w:rFonts w:ascii="宋体" w:eastAsia="宋体" w:hAnsi="宋体" w:cs="宋体" w:hint="eastAsia"/>
          <w:sz w:val="21"/>
          <w:szCs w:val="21"/>
        </w:rPr>
        <w:t>年投资研究、投资管理等相关业务经验，熟悉量化策略研究。曾供职于中银国际期货有限责任公司、</w:t>
      </w:r>
      <w:proofErr w:type="gramStart"/>
      <w:r>
        <w:rPr>
          <w:rFonts w:ascii="宋体" w:eastAsia="宋体" w:hAnsi="宋体" w:cs="宋体" w:hint="eastAsia"/>
          <w:sz w:val="21"/>
          <w:szCs w:val="21"/>
        </w:rPr>
        <w:t>上海君耀投资</w:t>
      </w:r>
      <w:proofErr w:type="gramEnd"/>
      <w:r>
        <w:rPr>
          <w:rFonts w:ascii="宋体" w:eastAsia="宋体" w:hAnsi="宋体" w:cs="宋体" w:hint="eastAsia"/>
          <w:sz w:val="21"/>
          <w:szCs w:val="21"/>
        </w:rPr>
        <w:t>管理咨询合伙企业（有限合伙）、北京天演资本管理有</w:t>
      </w:r>
      <w:r>
        <w:rPr>
          <w:rFonts w:ascii="宋体" w:eastAsia="宋体" w:hAnsi="宋体" w:cs="宋体" w:hint="eastAsia"/>
          <w:sz w:val="21"/>
          <w:szCs w:val="21"/>
        </w:rPr>
        <w:t>限公司，从事投资研究、投资管理相关工作。</w:t>
      </w:r>
    </w:p>
    <w:p w14:paraId="3ECD6D8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14:paraId="69F046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需更换投资经理的情形包括但不限于：（</w:t>
      </w:r>
      <w:r>
        <w:rPr>
          <w:rFonts w:ascii="宋体" w:eastAsia="宋体" w:hAnsi="宋体" w:cs="宋体" w:hint="eastAsia"/>
          <w:sz w:val="21"/>
          <w:szCs w:val="21"/>
        </w:rPr>
        <w:t>1</w:t>
      </w:r>
      <w:r>
        <w:rPr>
          <w:rFonts w:ascii="宋体" w:eastAsia="宋体" w:hAnsi="宋体" w:cs="宋体" w:hint="eastAsia"/>
          <w:sz w:val="21"/>
          <w:szCs w:val="21"/>
        </w:rPr>
        <w:t>）投资经理辞职</w:t>
      </w:r>
      <w:r>
        <w:rPr>
          <w:rFonts w:ascii="宋体" w:eastAsia="宋体" w:hAnsi="宋体" w:cs="宋体" w:hint="eastAsia"/>
          <w:sz w:val="21"/>
          <w:szCs w:val="21"/>
        </w:rPr>
        <w:t>/</w:t>
      </w:r>
      <w:r>
        <w:rPr>
          <w:rFonts w:ascii="宋体" w:eastAsia="宋体" w:hAnsi="宋体" w:cs="宋体" w:hint="eastAsia"/>
          <w:sz w:val="21"/>
          <w:szCs w:val="21"/>
        </w:rPr>
        <w:t>离职；（</w:t>
      </w:r>
      <w:r>
        <w:rPr>
          <w:rFonts w:ascii="宋体" w:eastAsia="宋体" w:hAnsi="宋体" w:cs="宋体" w:hint="eastAsia"/>
          <w:sz w:val="21"/>
          <w:szCs w:val="21"/>
        </w:rPr>
        <w:t>2</w:t>
      </w:r>
      <w:r>
        <w:rPr>
          <w:rFonts w:ascii="宋体" w:eastAsia="宋体" w:hAnsi="宋体" w:cs="宋体" w:hint="eastAsia"/>
          <w:sz w:val="21"/>
          <w:szCs w:val="21"/>
        </w:rPr>
        <w:t>）投资经理内部调整；（</w:t>
      </w:r>
      <w:r>
        <w:rPr>
          <w:rFonts w:ascii="宋体" w:eastAsia="宋体" w:hAnsi="宋体" w:cs="宋体" w:hint="eastAsia"/>
          <w:sz w:val="21"/>
          <w:szCs w:val="21"/>
        </w:rPr>
        <w:t>3</w:t>
      </w:r>
      <w:r>
        <w:rPr>
          <w:rFonts w:ascii="宋体" w:eastAsia="宋体" w:hAnsi="宋体" w:cs="宋体" w:hint="eastAsia"/>
          <w:sz w:val="21"/>
          <w:szCs w:val="21"/>
        </w:rPr>
        <w:t>）其他原因需要更换投资经理。</w:t>
      </w:r>
    </w:p>
    <w:p w14:paraId="41CB017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若发生上述情形或其他原因变更投资经理，资产管理人需在变更后</w:t>
      </w:r>
      <w:r>
        <w:rPr>
          <w:rFonts w:ascii="宋体" w:eastAsia="宋体" w:hAnsi="宋体" w:cs="宋体" w:hint="eastAsia"/>
          <w:sz w:val="21"/>
          <w:szCs w:val="21"/>
        </w:rPr>
        <w:t>5</w:t>
      </w:r>
      <w:r>
        <w:rPr>
          <w:rFonts w:ascii="宋体" w:eastAsia="宋体" w:hAnsi="宋体" w:cs="宋体" w:hint="eastAsia"/>
          <w:sz w:val="21"/>
          <w:szCs w:val="21"/>
        </w:rPr>
        <w:t>个工作日内将新投资经理的姓名和简历以管理人网站公告或其他符合合同约定的方式告知资产委托人和资产托管人。</w:t>
      </w:r>
    </w:p>
    <w:p w14:paraId="240416B6" w14:textId="77777777" w:rsidR="00694F14" w:rsidRDefault="00694F14">
      <w:pPr>
        <w:spacing w:line="360" w:lineRule="auto"/>
        <w:ind w:firstLine="480"/>
        <w:rPr>
          <w:rFonts w:ascii="宋体" w:eastAsia="宋体" w:hAnsi="宋体" w:cs="宋体"/>
          <w:b/>
          <w:sz w:val="21"/>
          <w:szCs w:val="21"/>
        </w:rPr>
      </w:pPr>
    </w:p>
    <w:p w14:paraId="4BE80DD9" w14:textId="77777777" w:rsidR="00694F14" w:rsidRDefault="00A463B7">
      <w:pPr>
        <w:pStyle w:val="1"/>
        <w:spacing w:before="0" w:after="0" w:line="360" w:lineRule="auto"/>
        <w:jc w:val="center"/>
        <w:rPr>
          <w:rFonts w:ascii="宋体" w:eastAsia="宋体" w:hAnsi="宋体" w:cs="宋体"/>
          <w:sz w:val="21"/>
          <w:szCs w:val="21"/>
        </w:rPr>
      </w:pPr>
      <w:bookmarkStart w:id="39" w:name="_Toc70622195"/>
      <w:bookmarkStart w:id="40" w:name="_Toc401668940"/>
      <w:r>
        <w:rPr>
          <w:rFonts w:ascii="宋体" w:eastAsia="宋体" w:hAnsi="宋体" w:cs="宋体" w:hint="eastAsia"/>
          <w:sz w:val="21"/>
          <w:szCs w:val="21"/>
        </w:rPr>
        <w:t>十六</w:t>
      </w:r>
      <w:r>
        <w:rPr>
          <w:rFonts w:ascii="宋体" w:eastAsia="宋体" w:hAnsi="宋体" w:cs="宋体" w:hint="eastAsia"/>
          <w:sz w:val="21"/>
          <w:szCs w:val="21"/>
        </w:rPr>
        <w:t>、资产管理计划的财产</w:t>
      </w:r>
      <w:bookmarkEnd w:id="27"/>
      <w:bookmarkEnd w:id="39"/>
      <w:bookmarkEnd w:id="40"/>
    </w:p>
    <w:p w14:paraId="20680D7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（一）资产管理计划财产的保管与处分</w:t>
      </w:r>
    </w:p>
    <w:p w14:paraId="52DA04B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、资产管理计划财产的债务由资产管理计划财产本身承担责任，资产委托人以其出资为限对资产管</w:t>
      </w:r>
      <w:r>
        <w:rPr>
          <w:rFonts w:ascii="宋体" w:eastAsia="宋体" w:hAnsi="宋体" w:cs="宋体" w:hint="eastAsia"/>
          <w:sz w:val="21"/>
          <w:szCs w:val="21"/>
        </w:rPr>
        <w:lastRenderedPageBreak/>
        <w:t>理计划财产的债务承担责任。</w:t>
      </w:r>
    </w:p>
    <w:p w14:paraId="10F4DDC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、资产管理计划财产独立于资产管理人、资产托管人的固有财产，并独立于管理人管理的和托管人托管的其他财产。资产管理人、资产托管人不得将资产管理计划财产归入其固有财产。</w:t>
      </w:r>
    </w:p>
    <w:p w14:paraId="1CED766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、资产管理人、资产托管人因资产管理计划财产的管理、运用或者其他情形而取得的财产和收益，归入资产管理计划财产。</w:t>
      </w:r>
    </w:p>
    <w:p w14:paraId="5CE36BE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、资产管理人、资产托管人可以按照本合同的约定收取管理费、托</w:t>
      </w:r>
      <w:r>
        <w:rPr>
          <w:rFonts w:ascii="宋体" w:eastAsia="宋体" w:hAnsi="宋体" w:cs="宋体" w:hint="eastAsia"/>
          <w:sz w:val="21"/>
          <w:szCs w:val="21"/>
        </w:rPr>
        <w:t>管费以及本合同约定的其他费用。资产管理人、资产托管人以其固有财产承担法律责任，其债权人不得对资产管理计划财产行使请求冻结、扣押和其他权利。资产管理人、资产托管人因依法解散、被依法撤销或者被依法宣告破产等原因进行清算的，资产管理计划财产不属于其清算财产。</w:t>
      </w:r>
    </w:p>
    <w:p w14:paraId="1BB0A3F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、资产管理计划财产产生的债权不得与不属于资产管理计划财产本身的债务相互</w:t>
      </w:r>
      <w:proofErr w:type="gramStart"/>
      <w:r>
        <w:rPr>
          <w:rFonts w:ascii="宋体" w:eastAsia="宋体" w:hAnsi="宋体" w:cs="宋体" w:hint="eastAsia"/>
          <w:sz w:val="21"/>
          <w:szCs w:val="21"/>
        </w:rPr>
        <w:t>抵销</w:t>
      </w:r>
      <w:proofErr w:type="gramEnd"/>
      <w:r>
        <w:rPr>
          <w:rFonts w:ascii="宋体" w:eastAsia="宋体" w:hAnsi="宋体" w:cs="宋体" w:hint="eastAsia"/>
          <w:sz w:val="21"/>
          <w:szCs w:val="21"/>
        </w:rPr>
        <w:t>。非因资产管理计划财产本身承担的债务，资产管理人、资产托管人不得主张其债权人对资产管理计划财产强制执行。上述债权人对资产管理计划财产主张权利时，资产管理人、资产托管人应明确告知资产管</w:t>
      </w:r>
      <w:r>
        <w:rPr>
          <w:rFonts w:ascii="宋体" w:eastAsia="宋体" w:hAnsi="宋体" w:cs="宋体" w:hint="eastAsia"/>
          <w:sz w:val="21"/>
          <w:szCs w:val="21"/>
        </w:rPr>
        <w:t>理计划财产的独立性，采取合理措施并及时通知投资者。</w:t>
      </w:r>
    </w:p>
    <w:p w14:paraId="628F030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（二）资产管理计划财产相关账户的开立和管理</w:t>
      </w:r>
    </w:p>
    <w:p w14:paraId="237454F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资产托管人按照规定开立资产管理计划财产的资金账户、证券账户等投资所需账户，资产管理人应给予必要的配合，并提供所需资料。</w:t>
      </w:r>
    </w:p>
    <w:p w14:paraId="40ECB31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托管资金账户户名为：</w:t>
      </w:r>
      <w:r>
        <w:rPr>
          <w:rFonts w:ascii="宋体" w:eastAsia="宋体" w:hAnsi="宋体" w:cs="宋体" w:hint="eastAsia"/>
          <w:sz w:val="21"/>
          <w:szCs w:val="21"/>
        </w:rPr>
        <w:t>光大期货光大理财阳光</w:t>
      </w:r>
      <w:proofErr w:type="gramStart"/>
      <w:r>
        <w:rPr>
          <w:rFonts w:ascii="宋体" w:eastAsia="宋体" w:hAnsi="宋体" w:cs="宋体" w:hint="eastAsia"/>
          <w:sz w:val="21"/>
          <w:szCs w:val="21"/>
        </w:rPr>
        <w:t>橙</w:t>
      </w:r>
      <w:proofErr w:type="gramEnd"/>
      <w:r>
        <w:rPr>
          <w:rFonts w:ascii="宋体" w:eastAsia="宋体" w:hAnsi="宋体" w:cs="宋体" w:hint="eastAsia"/>
          <w:sz w:val="21"/>
          <w:szCs w:val="21"/>
        </w:rPr>
        <w:t>精选</w:t>
      </w:r>
      <w:r>
        <w:rPr>
          <w:rFonts w:ascii="宋体" w:eastAsia="宋体" w:hAnsi="宋体" w:cs="宋体" w:hint="eastAsia"/>
          <w:sz w:val="21"/>
          <w:szCs w:val="21"/>
        </w:rPr>
        <w:t>1</w:t>
      </w:r>
      <w:r>
        <w:rPr>
          <w:rFonts w:ascii="宋体" w:eastAsia="宋体" w:hAnsi="宋体" w:cs="宋体" w:hint="eastAsia"/>
          <w:sz w:val="21"/>
          <w:szCs w:val="21"/>
        </w:rPr>
        <w:t>号</w:t>
      </w:r>
      <w:r>
        <w:rPr>
          <w:rFonts w:ascii="宋体" w:eastAsia="宋体" w:hAnsi="宋体" w:cs="宋体" w:hint="eastAsia"/>
          <w:sz w:val="21"/>
          <w:szCs w:val="21"/>
        </w:rPr>
        <w:t>集合资产管理计划</w:t>
      </w:r>
    </w:p>
    <w:p w14:paraId="539F630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开户行：中国光大银行青岛分行营业部</w:t>
      </w:r>
    </w:p>
    <w:p w14:paraId="24A5FB8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银行托管账户由资产托管人负责管理和使用。计划财产的一切货币收支活动均通过该资金账户进行。</w:t>
      </w:r>
    </w:p>
    <w:p w14:paraId="0EB010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专户（明确户名、开户行、账号等），不得划入其他任何账户”。并依照本协议交接原则对存单交接流程予以明确。如定期存款协议中未</w:t>
      </w:r>
      <w:r>
        <w:rPr>
          <w:rFonts w:ascii="宋体" w:eastAsia="宋体" w:hAnsi="宋体" w:cs="宋体" w:hint="eastAsia"/>
          <w:sz w:val="21"/>
          <w:szCs w:val="21"/>
        </w:rPr>
        <w:t>体现前述条款，托管人有权拒绝定期存款投资的划款指令。对于跨行存款，管理人需提前与托管人就定期存款协议及存单交接流程进行沟通（托管人定期存款业务联系人：【王晶</w:t>
      </w:r>
      <w:r>
        <w:rPr>
          <w:rFonts w:ascii="宋体" w:eastAsia="宋体" w:hAnsi="宋体" w:cs="宋体" w:hint="eastAsia"/>
          <w:sz w:val="21"/>
          <w:szCs w:val="21"/>
        </w:rPr>
        <w:t>010-63639140</w:t>
      </w:r>
      <w:r>
        <w:rPr>
          <w:rFonts w:ascii="宋体" w:eastAsia="宋体" w:hAnsi="宋体" w:cs="宋体" w:hint="eastAsia"/>
          <w:sz w:val="21"/>
          <w:szCs w:val="21"/>
        </w:rPr>
        <w:t>；</w:t>
      </w:r>
      <w:r>
        <w:rPr>
          <w:rFonts w:ascii="宋体" w:eastAsia="宋体" w:hAnsi="宋体" w:cs="宋体" w:hint="eastAsia"/>
          <w:sz w:val="21"/>
          <w:szCs w:val="21"/>
        </w:rPr>
        <w:t>wangjing321@cebbank.com</w:t>
      </w:r>
      <w:r>
        <w:rPr>
          <w:rFonts w:ascii="宋体" w:eastAsia="宋体" w:hAnsi="宋体" w:cs="宋体" w:hint="eastAsia"/>
          <w:sz w:val="21"/>
          <w:szCs w:val="21"/>
        </w:rPr>
        <w:t>】）。除非存款协议中规定存款证实书由存款行保管或存款协议作为存款支取的依据，存单交接原则上采用存款行上门服务、资产管理</w:t>
      </w:r>
      <w:r>
        <w:rPr>
          <w:rFonts w:ascii="宋体" w:eastAsia="宋体" w:hAnsi="宋体" w:cs="宋体" w:hint="eastAsia"/>
          <w:sz w:val="21"/>
          <w:szCs w:val="21"/>
        </w:rPr>
        <w:lastRenderedPageBreak/>
        <w:t>人负责监交的方式。特殊情况下，采用资产管理人交接存单的方式。在取得存款证实书后，托管人保管证实书正本。管理人需对存款行的选择承担责任，并指定专人在核实存款行授权人员身</w:t>
      </w:r>
      <w:r>
        <w:rPr>
          <w:rFonts w:ascii="宋体" w:eastAsia="宋体" w:hAnsi="宋体" w:cs="宋体" w:hint="eastAsia"/>
          <w:sz w:val="21"/>
          <w:szCs w:val="21"/>
        </w:rPr>
        <w:t>份信息后，负责印鉴卡与存款证实书等凭证的监交或交接，以确保与托管人所交接凭证的真实性、准确性和完整性。对于托管人实际控制外的资产产生的风险，由过错方或侵权方承担责任。跨行定期存款账户的预留印鉴为托管人托管业务专用章与托管业务授权人名章。</w:t>
      </w:r>
    </w:p>
    <w:p w14:paraId="1365065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证券账户和期货账户的持有人名称应当符合证券、期货登记结算机构的有关规定。资金账户名称以实际开立账户名称为准，证券账户、期货账户名称应当是“证券期货经营机构名称－托管人名称－资产管理计划名称”，</w:t>
      </w:r>
      <w:r>
        <w:rPr>
          <w:rFonts w:ascii="宋体" w:eastAsia="宋体" w:hAnsi="宋体" w:cs="宋体" w:hint="eastAsia"/>
          <w:sz w:val="21"/>
          <w:szCs w:val="21"/>
        </w:rPr>
        <w:t xml:space="preserve"> </w:t>
      </w:r>
      <w:r>
        <w:rPr>
          <w:rFonts w:ascii="宋体" w:eastAsia="宋体" w:hAnsi="宋体" w:cs="宋体" w:hint="eastAsia"/>
          <w:sz w:val="21"/>
          <w:szCs w:val="21"/>
        </w:rPr>
        <w:t>具体以实际开立为准。</w:t>
      </w:r>
    </w:p>
    <w:p w14:paraId="25B1DB6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委托财产存放于资产托管人开立的资金账户中的存款利率适用托管</w:t>
      </w:r>
      <w:r>
        <w:rPr>
          <w:rFonts w:ascii="宋体" w:eastAsia="宋体" w:hAnsi="宋体" w:cs="宋体" w:hint="eastAsia"/>
          <w:sz w:val="21"/>
          <w:szCs w:val="21"/>
        </w:rPr>
        <w:t>人公布的存款利率。</w:t>
      </w:r>
    </w:p>
    <w:p w14:paraId="3339D7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（三）其他账户的开设和管理</w:t>
      </w:r>
    </w:p>
    <w:p w14:paraId="4D0F28B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业务发展而需要开立的其他账户，应由托管人或管理人根据有关法律法规的规定开立。新账户按有关规则管理并使用。因投资运作而需要开立的其他账户，由托管人或管理人根据有关法律法规或注册机构的规定开立。如该账户是以管理人名义开立，由管理人负责开立的，管理人应保证该账户专款专用，可聘请资金监管机构对该账户的资金划付进行监管。相应的投资回款及收益，也由管理人负责及时原路划回托管账户，已聘请资金监管机构的，管理人应配合资金监管机构完成投资回款的划付。管理人开立此类账户后需及时</w:t>
      </w:r>
      <w:r>
        <w:rPr>
          <w:rFonts w:ascii="宋体" w:eastAsia="宋体" w:hAnsi="宋体" w:cs="宋体" w:hint="eastAsia"/>
          <w:sz w:val="21"/>
          <w:szCs w:val="21"/>
        </w:rPr>
        <w:t>通知托管人。</w:t>
      </w:r>
    </w:p>
    <w:p w14:paraId="5999F548" w14:textId="77777777" w:rsidR="00694F14" w:rsidRDefault="00A463B7">
      <w:pPr>
        <w:pStyle w:val="1"/>
        <w:spacing w:before="0" w:after="0" w:line="360" w:lineRule="auto"/>
        <w:jc w:val="center"/>
        <w:rPr>
          <w:rFonts w:ascii="宋体" w:eastAsia="宋体" w:hAnsi="宋体" w:cs="宋体"/>
          <w:sz w:val="21"/>
          <w:szCs w:val="21"/>
        </w:rPr>
      </w:pPr>
      <w:bookmarkStart w:id="41" w:name="_Toc194741911"/>
      <w:bookmarkStart w:id="42" w:name="_Toc401668941"/>
      <w:bookmarkStart w:id="43" w:name="_Toc70622196"/>
      <w:r>
        <w:rPr>
          <w:rFonts w:ascii="宋体" w:eastAsia="宋体" w:hAnsi="宋体" w:cs="宋体" w:hint="eastAsia"/>
          <w:sz w:val="21"/>
          <w:szCs w:val="21"/>
        </w:rPr>
        <w:t>十七、投资指令的发送、确认与执行</w:t>
      </w:r>
      <w:bookmarkEnd w:id="41"/>
      <w:bookmarkEnd w:id="42"/>
      <w:bookmarkEnd w:id="43"/>
    </w:p>
    <w:p w14:paraId="0263AE37"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（一）交易清算授权</w:t>
      </w:r>
    </w:p>
    <w:p w14:paraId="451F2C67"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资产管理人应当事先向资产托管人发出</w:t>
      </w:r>
      <w:r>
        <w:rPr>
          <w:rFonts w:ascii="宋体" w:eastAsia="宋体" w:hAnsi="宋体" w:cs="宋体" w:hint="eastAsia"/>
          <w:sz w:val="21"/>
          <w:szCs w:val="21"/>
        </w:rPr>
        <w:t>《划款指令授权书》（附件</w:t>
      </w:r>
      <w:r>
        <w:rPr>
          <w:rFonts w:ascii="宋体" w:eastAsia="宋体" w:hAnsi="宋体" w:cs="宋体" w:hint="eastAsia"/>
          <w:sz w:val="21"/>
          <w:szCs w:val="21"/>
        </w:rPr>
        <w:t>4</w:t>
      </w:r>
      <w:r>
        <w:rPr>
          <w:rFonts w:ascii="宋体" w:eastAsia="宋体" w:hAnsi="宋体" w:cs="宋体" w:hint="eastAsia"/>
          <w:sz w:val="21"/>
          <w:szCs w:val="21"/>
        </w:rPr>
        <w:t>，以下简称“划款指令授权书”）</w:t>
      </w:r>
      <w:r>
        <w:rPr>
          <w:rFonts w:ascii="宋体" w:eastAsia="宋体" w:hAnsi="宋体" w:cs="宋体" w:hint="eastAsia"/>
          <w:sz w:val="21"/>
          <w:szCs w:val="21"/>
        </w:rPr>
        <w:t>，</w:t>
      </w:r>
      <w:r>
        <w:rPr>
          <w:rFonts w:ascii="宋体" w:eastAsia="宋体" w:hAnsi="宋体" w:cs="宋体" w:hint="eastAsia"/>
          <w:sz w:val="21"/>
          <w:szCs w:val="21"/>
        </w:rPr>
        <w:t>划款指令授权书</w:t>
      </w:r>
      <w:r>
        <w:rPr>
          <w:rFonts w:ascii="宋体" w:eastAsia="宋体" w:hAnsi="宋体" w:cs="宋体" w:hint="eastAsia"/>
          <w:sz w:val="21"/>
          <w:szCs w:val="21"/>
        </w:rPr>
        <w:t>中应包括被授权签发人的名单、权限、预留印鉴和签字样本，并注明相应的交易权限。划款指令授权书应由资产管理人加盖公章并由法定代表人或其授权签字人签署，若由授权签字人签署，还应附上法定代表人的授权书。资产管理人发出</w:t>
      </w:r>
      <w:r>
        <w:rPr>
          <w:rFonts w:ascii="宋体" w:eastAsia="宋体" w:hAnsi="宋体" w:cs="宋体" w:hint="eastAsia"/>
          <w:sz w:val="21"/>
          <w:szCs w:val="21"/>
        </w:rPr>
        <w:t>划款指令授权书</w:t>
      </w:r>
      <w:r>
        <w:rPr>
          <w:rFonts w:ascii="宋体" w:eastAsia="宋体" w:hAnsi="宋体" w:cs="宋体" w:hint="eastAsia"/>
          <w:sz w:val="21"/>
          <w:szCs w:val="21"/>
        </w:rPr>
        <w:t>后向托管人电话确认。</w:t>
      </w:r>
      <w:r>
        <w:rPr>
          <w:rFonts w:ascii="宋体" w:eastAsia="宋体" w:hAnsi="宋体" w:cs="宋体" w:hint="eastAsia"/>
          <w:sz w:val="21"/>
          <w:szCs w:val="21"/>
        </w:rPr>
        <w:t>划款指令授权书应以原件形式送达资产托管人，</w:t>
      </w:r>
      <w:r>
        <w:rPr>
          <w:rFonts w:ascii="宋体" w:eastAsia="宋体" w:hAnsi="宋体" w:cs="宋体" w:hint="eastAsia"/>
          <w:sz w:val="21"/>
          <w:szCs w:val="21"/>
        </w:rPr>
        <w:t>划款指令授权书</w:t>
      </w:r>
      <w:r>
        <w:rPr>
          <w:rFonts w:ascii="宋体" w:eastAsia="宋体" w:hAnsi="宋体" w:cs="宋体" w:hint="eastAsia"/>
          <w:sz w:val="21"/>
          <w:szCs w:val="21"/>
        </w:rPr>
        <w:t>于通知载明时间</w:t>
      </w:r>
      <w:r>
        <w:rPr>
          <w:rFonts w:ascii="宋体" w:eastAsia="宋体" w:hAnsi="宋体" w:cs="宋体" w:hint="eastAsia"/>
          <w:sz w:val="21"/>
          <w:szCs w:val="21"/>
        </w:rPr>
        <w:t>生效。若托管人收到划款指令</w:t>
      </w:r>
      <w:r>
        <w:rPr>
          <w:rFonts w:ascii="宋体" w:eastAsia="宋体" w:hAnsi="宋体" w:cs="宋体" w:hint="eastAsia"/>
          <w:sz w:val="21"/>
          <w:szCs w:val="21"/>
        </w:rPr>
        <w:t>授权书的日期晚于其中注明的生效日期，划款指令授权书自托管人收到的日期起开始生效。管理人应于之后的</w:t>
      </w:r>
      <w:r>
        <w:rPr>
          <w:rFonts w:ascii="宋体" w:eastAsia="宋体" w:hAnsi="宋体" w:cs="宋体" w:hint="eastAsia"/>
          <w:sz w:val="21"/>
          <w:szCs w:val="21"/>
        </w:rPr>
        <w:t>5</w:t>
      </w:r>
      <w:r>
        <w:rPr>
          <w:rFonts w:ascii="宋体" w:eastAsia="宋体" w:hAnsi="宋体" w:cs="宋体" w:hint="eastAsia"/>
          <w:sz w:val="21"/>
          <w:szCs w:val="21"/>
        </w:rPr>
        <w:t>个交易日内将授权文件原件送达托管人。传真件与原件记载不一致的，以传真件为准</w:t>
      </w:r>
      <w:r>
        <w:rPr>
          <w:rFonts w:ascii="宋体" w:eastAsia="宋体" w:hAnsi="宋体" w:cs="宋体" w:hint="eastAsia"/>
          <w:sz w:val="21"/>
          <w:szCs w:val="21"/>
        </w:rPr>
        <w:t>。</w:t>
      </w:r>
      <w:r>
        <w:rPr>
          <w:rFonts w:ascii="宋体" w:eastAsia="宋体" w:hAnsi="宋体" w:cs="宋体" w:hint="eastAsia"/>
          <w:sz w:val="21"/>
          <w:szCs w:val="21"/>
        </w:rPr>
        <w:t>管理人、委托人和托管人对划款指令授权书负有保密义务，其内容不得向授权人、被授权人及相关操作人员以外的任何人泄露</w:t>
      </w:r>
      <w:r>
        <w:rPr>
          <w:rFonts w:ascii="宋体" w:eastAsia="宋体" w:hAnsi="宋体" w:cs="宋体" w:hint="eastAsia"/>
          <w:sz w:val="21"/>
          <w:szCs w:val="21"/>
        </w:rPr>
        <w:t xml:space="preserve">, </w:t>
      </w:r>
      <w:r>
        <w:rPr>
          <w:rFonts w:ascii="宋体" w:eastAsia="宋体" w:hAnsi="宋体" w:cs="宋体" w:hint="eastAsia"/>
          <w:sz w:val="21"/>
          <w:szCs w:val="21"/>
        </w:rPr>
        <w:t>但法律法规或有权机关另有要求除外。</w:t>
      </w:r>
    </w:p>
    <w:p w14:paraId="57F73CA4" w14:textId="77777777" w:rsidR="00694F14" w:rsidRDefault="00A463B7">
      <w:pPr>
        <w:spacing w:line="360" w:lineRule="auto"/>
        <w:ind w:firstLine="435"/>
        <w:jc w:val="left"/>
        <w:rPr>
          <w:rFonts w:ascii="宋体" w:eastAsia="宋体" w:hAnsi="宋体" w:cs="宋体"/>
          <w:sz w:val="21"/>
          <w:szCs w:val="21"/>
        </w:rPr>
      </w:pPr>
      <w:r>
        <w:rPr>
          <w:rFonts w:ascii="宋体" w:eastAsia="宋体" w:hAnsi="宋体" w:cs="宋体" w:hint="eastAsia"/>
          <w:sz w:val="21"/>
          <w:szCs w:val="21"/>
        </w:rPr>
        <w:t>（二）投资指令的内容</w:t>
      </w:r>
    </w:p>
    <w:p w14:paraId="42DE4C86" w14:textId="77777777" w:rsidR="00694F14" w:rsidRDefault="00A463B7">
      <w:pPr>
        <w:spacing w:line="360" w:lineRule="auto"/>
        <w:ind w:firstLine="435"/>
        <w:jc w:val="left"/>
        <w:rPr>
          <w:rFonts w:ascii="宋体" w:eastAsia="宋体" w:hAnsi="宋体" w:cs="宋体"/>
          <w:sz w:val="21"/>
          <w:szCs w:val="21"/>
        </w:rPr>
      </w:pPr>
      <w:r>
        <w:rPr>
          <w:rFonts w:ascii="宋体" w:eastAsia="宋体" w:hAnsi="宋体" w:cs="宋体" w:hint="eastAsia"/>
          <w:sz w:val="21"/>
          <w:szCs w:val="21"/>
        </w:rPr>
        <w:lastRenderedPageBreak/>
        <w:t>1</w:t>
      </w:r>
      <w:r>
        <w:rPr>
          <w:rFonts w:ascii="宋体" w:eastAsia="宋体" w:hAnsi="宋体" w:cs="宋体" w:hint="eastAsia"/>
          <w:sz w:val="21"/>
          <w:szCs w:val="21"/>
        </w:rPr>
        <w:t>、指令包括资产管理人在运作计划资产时，向资产托管人发出的资金划拨指令，包括付款指令（含退出、收益分配付款指令）及其他资金划拨指令等。</w:t>
      </w:r>
    </w:p>
    <w:p w14:paraId="652A8E90" w14:textId="77777777" w:rsidR="00694F14" w:rsidRDefault="00A463B7">
      <w:pPr>
        <w:spacing w:line="360" w:lineRule="auto"/>
        <w:ind w:firstLine="42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、资产管理人发给计划托管人的</w:t>
      </w:r>
      <w:r>
        <w:rPr>
          <w:rFonts w:ascii="宋体" w:eastAsia="宋体" w:hAnsi="宋体" w:cs="宋体" w:hint="eastAsia"/>
          <w:sz w:val="21"/>
          <w:szCs w:val="21"/>
        </w:rPr>
        <w:t>指令应写明款项事由、支付时间、收付款人开户银行、金额、收付款人账户名称、账号等要素信息，加盖预留印鉴并由被授权签发人签字。</w:t>
      </w:r>
    </w:p>
    <w:p w14:paraId="2CAC1B0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（三）投资指令的发送、确认及执行的时间和程序</w:t>
      </w:r>
    </w:p>
    <w:p w14:paraId="6194D66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可选择电子、传真或邮件发送扫描等双方约定的方式向托管人方提交划款指令，并通过电话与托管人进行确认，因管理人未能及时与托管人行指令确认，致使资金未能及时清算所造成的损失，由管理人承担：</w:t>
      </w:r>
    </w:p>
    <w:p w14:paraId="25F1C3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）电子指令模式。管理人通过深证通、</w:t>
      </w:r>
      <w:proofErr w:type="gramStart"/>
      <w:r>
        <w:rPr>
          <w:rFonts w:ascii="宋体" w:eastAsia="宋体" w:hAnsi="宋体" w:cs="宋体" w:hint="eastAsia"/>
          <w:sz w:val="21"/>
          <w:szCs w:val="21"/>
        </w:rPr>
        <w:t>托管网银</w:t>
      </w:r>
      <w:proofErr w:type="gramEnd"/>
      <w:r>
        <w:rPr>
          <w:rFonts w:ascii="宋体" w:eastAsia="宋体" w:hAnsi="宋体" w:cs="宋体" w:hint="eastAsia"/>
          <w:sz w:val="21"/>
          <w:szCs w:val="21"/>
        </w:rPr>
        <w:t>或双方认可电子渠道提交电子指令给托管人，并通过电话与托管人进行确认。在</w:t>
      </w:r>
      <w:proofErr w:type="gramStart"/>
      <w:r>
        <w:rPr>
          <w:rFonts w:ascii="宋体" w:eastAsia="宋体" w:hAnsi="宋体" w:cs="宋体" w:hint="eastAsia"/>
          <w:sz w:val="21"/>
          <w:szCs w:val="21"/>
        </w:rPr>
        <w:t>使用网银划款</w:t>
      </w:r>
      <w:proofErr w:type="gramEnd"/>
      <w:r>
        <w:rPr>
          <w:rFonts w:ascii="宋体" w:eastAsia="宋体" w:hAnsi="宋体" w:cs="宋体" w:hint="eastAsia"/>
          <w:sz w:val="21"/>
          <w:szCs w:val="21"/>
        </w:rPr>
        <w:t>指令前，管理人需提前三个</w:t>
      </w:r>
      <w:r>
        <w:rPr>
          <w:rFonts w:ascii="宋体" w:eastAsia="宋体" w:hAnsi="宋体" w:cs="宋体" w:hint="eastAsia"/>
          <w:sz w:val="21"/>
          <w:szCs w:val="21"/>
        </w:rPr>
        <w:t>工作日向托管行申请</w:t>
      </w:r>
      <w:proofErr w:type="gramStart"/>
      <w:r>
        <w:rPr>
          <w:rFonts w:ascii="宋体" w:eastAsia="宋体" w:hAnsi="宋体" w:cs="宋体" w:hint="eastAsia"/>
          <w:sz w:val="21"/>
          <w:szCs w:val="21"/>
        </w:rPr>
        <w:t>托管网银</w:t>
      </w:r>
      <w:proofErr w:type="gramEnd"/>
      <w:r>
        <w:rPr>
          <w:rFonts w:ascii="宋体" w:eastAsia="宋体" w:hAnsi="宋体" w:cs="宋体" w:hint="eastAsia"/>
          <w:sz w:val="21"/>
          <w:szCs w:val="21"/>
        </w:rPr>
        <w:t>USBKEY</w:t>
      </w:r>
      <w:r>
        <w:rPr>
          <w:rFonts w:ascii="宋体" w:eastAsia="宋体" w:hAnsi="宋体" w:cs="宋体" w:hint="eastAsia"/>
          <w:sz w:val="21"/>
          <w:szCs w:val="21"/>
        </w:rPr>
        <w:t>。</w:t>
      </w:r>
    </w:p>
    <w:p w14:paraId="46D8563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）传真指令模式。管理人将有效划款指令及划款证明材料以传真或邮件发送扫描</w:t>
      </w:r>
      <w:proofErr w:type="gramStart"/>
      <w:r>
        <w:rPr>
          <w:rFonts w:ascii="宋体" w:eastAsia="宋体" w:hAnsi="宋体" w:cs="宋体" w:hint="eastAsia"/>
          <w:sz w:val="21"/>
          <w:szCs w:val="21"/>
        </w:rPr>
        <w:t>件形式</w:t>
      </w:r>
      <w:proofErr w:type="gramEnd"/>
      <w:r>
        <w:rPr>
          <w:rFonts w:ascii="宋体" w:eastAsia="宋体" w:hAnsi="宋体" w:cs="宋体" w:hint="eastAsia"/>
          <w:sz w:val="21"/>
          <w:szCs w:val="21"/>
        </w:rPr>
        <w:t>发送给托管人。划款指令应写明款项事由、支付时间、到账时间、支付金额、收付款账户信息等，并加盖划款指令授权书中预留的印章，并由指令签发人员签字。管理人有义务在发送指令后与托管人以电话的方式进行确认。托管人依照本合同规定的方法对指令进行验证确认指令有效并根据</w:t>
      </w:r>
      <w:proofErr w:type="gramStart"/>
      <w:r>
        <w:rPr>
          <w:rFonts w:ascii="宋体" w:eastAsia="宋体" w:hAnsi="宋体" w:cs="宋体" w:hint="eastAsia"/>
          <w:sz w:val="21"/>
          <w:szCs w:val="21"/>
        </w:rPr>
        <w:t>资管合同</w:t>
      </w:r>
      <w:proofErr w:type="gramEnd"/>
      <w:r>
        <w:rPr>
          <w:rFonts w:ascii="宋体" w:eastAsia="宋体" w:hAnsi="宋体" w:cs="宋体" w:hint="eastAsia"/>
          <w:sz w:val="21"/>
          <w:szCs w:val="21"/>
        </w:rPr>
        <w:t>进行审核后，方可执行指令。</w:t>
      </w:r>
    </w:p>
    <w:p w14:paraId="746FFB1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对于被授权人依照“</w:t>
      </w:r>
      <w:r>
        <w:rPr>
          <w:rFonts w:ascii="宋体" w:eastAsia="宋体" w:hAnsi="宋体" w:cs="宋体" w:hint="eastAsia"/>
          <w:sz w:val="21"/>
          <w:szCs w:val="21"/>
        </w:rPr>
        <w:t>划款指令授权书</w:t>
      </w:r>
      <w:r>
        <w:rPr>
          <w:rFonts w:ascii="宋体" w:eastAsia="宋体" w:hAnsi="宋体" w:cs="宋体" w:hint="eastAsia"/>
          <w:sz w:val="21"/>
          <w:szCs w:val="21"/>
        </w:rPr>
        <w:t>”发出的指令，资产管理人不得否认其效力。资产管理人应按照相关法律法规</w:t>
      </w:r>
      <w:r>
        <w:rPr>
          <w:rFonts w:ascii="宋体" w:eastAsia="宋体" w:hAnsi="宋体" w:cs="宋体" w:hint="eastAsia"/>
          <w:sz w:val="21"/>
          <w:szCs w:val="21"/>
        </w:rPr>
        <w:t>以及本合同的规定，在其合法的经营权限和交易权限内发送划款指令，发送人应按照其授权权限发送划款指令。资产管理人在发送指令时，应为资产托管人留出执行指令所必需的时间。资产管理人尽量于划款前</w:t>
      </w:r>
      <w:r>
        <w:rPr>
          <w:rFonts w:ascii="宋体" w:eastAsia="宋体" w:hAnsi="宋体" w:cs="宋体" w:hint="eastAsia"/>
          <w:sz w:val="21"/>
          <w:szCs w:val="21"/>
        </w:rPr>
        <w:t>1</w:t>
      </w:r>
      <w:r>
        <w:rPr>
          <w:rFonts w:ascii="宋体" w:eastAsia="宋体" w:hAnsi="宋体" w:cs="宋体" w:hint="eastAsia"/>
          <w:sz w:val="21"/>
          <w:szCs w:val="21"/>
        </w:rPr>
        <w:t>个工作日向资产托管人发送指令并确认。对于要求当天到账的指令，必须在当天</w:t>
      </w:r>
      <w:r>
        <w:rPr>
          <w:rFonts w:ascii="宋体" w:eastAsia="宋体" w:hAnsi="宋体" w:cs="宋体" w:hint="eastAsia"/>
          <w:sz w:val="21"/>
          <w:szCs w:val="21"/>
        </w:rPr>
        <w:t>15:00</w:t>
      </w:r>
      <w:r>
        <w:rPr>
          <w:rFonts w:ascii="宋体" w:eastAsia="宋体" w:hAnsi="宋体" w:cs="宋体" w:hint="eastAsia"/>
          <w:sz w:val="21"/>
          <w:szCs w:val="21"/>
        </w:rPr>
        <w:t>前向资产托管人发送，</w:t>
      </w:r>
      <w:r>
        <w:rPr>
          <w:rFonts w:ascii="宋体" w:eastAsia="宋体" w:hAnsi="宋体" w:cs="宋体" w:hint="eastAsia"/>
          <w:sz w:val="21"/>
          <w:szCs w:val="21"/>
        </w:rPr>
        <w:t>15:00</w:t>
      </w:r>
      <w:r>
        <w:rPr>
          <w:rFonts w:ascii="宋体" w:eastAsia="宋体" w:hAnsi="宋体" w:cs="宋体" w:hint="eastAsia"/>
          <w:sz w:val="21"/>
          <w:szCs w:val="21"/>
        </w:rPr>
        <w:t>之后发送的，资产托管人尽力执行，但不能保证划账成功</w:t>
      </w:r>
      <w:r>
        <w:rPr>
          <w:rFonts w:ascii="宋体" w:eastAsia="宋体" w:hAnsi="宋体" w:cs="宋体" w:hint="eastAsia"/>
          <w:sz w:val="21"/>
          <w:szCs w:val="21"/>
        </w:rPr>
        <w:t>，划款不成功</w:t>
      </w:r>
      <w:r>
        <w:rPr>
          <w:rFonts w:ascii="宋体" w:eastAsia="宋体" w:hAnsi="宋体" w:cs="宋体" w:hint="eastAsia"/>
          <w:sz w:val="21"/>
          <w:szCs w:val="21"/>
        </w:rPr>
        <w:t>的后果由资产管理计划</w:t>
      </w:r>
      <w:r>
        <w:rPr>
          <w:rFonts w:ascii="宋体" w:eastAsia="宋体" w:hAnsi="宋体" w:cs="宋体" w:hint="eastAsia"/>
          <w:sz w:val="21"/>
          <w:szCs w:val="21"/>
        </w:rPr>
        <w:t>承担</w:t>
      </w:r>
      <w:r>
        <w:rPr>
          <w:rFonts w:ascii="宋体" w:eastAsia="宋体" w:hAnsi="宋体" w:cs="宋体" w:hint="eastAsia"/>
          <w:sz w:val="21"/>
          <w:szCs w:val="21"/>
        </w:rPr>
        <w:t>。如果要求当天某一时点到账的指令，则指令需要至少提前</w:t>
      </w:r>
      <w:r>
        <w:rPr>
          <w:rFonts w:ascii="宋体" w:eastAsia="宋体" w:hAnsi="宋体" w:cs="宋体" w:hint="eastAsia"/>
          <w:sz w:val="21"/>
          <w:szCs w:val="21"/>
        </w:rPr>
        <w:t>2</w:t>
      </w:r>
      <w:r>
        <w:rPr>
          <w:rFonts w:ascii="宋体" w:eastAsia="宋体" w:hAnsi="宋体" w:cs="宋体" w:hint="eastAsia"/>
          <w:sz w:val="21"/>
          <w:szCs w:val="21"/>
        </w:rPr>
        <w:t>个工作小时发送，</w:t>
      </w:r>
      <w:proofErr w:type="gramStart"/>
      <w:r>
        <w:rPr>
          <w:rFonts w:ascii="宋体" w:eastAsia="宋体" w:hAnsi="宋体" w:cs="宋体" w:hint="eastAsia"/>
          <w:sz w:val="21"/>
          <w:szCs w:val="21"/>
        </w:rPr>
        <w:t>并相关</w:t>
      </w:r>
      <w:proofErr w:type="gramEnd"/>
      <w:r>
        <w:rPr>
          <w:rFonts w:ascii="宋体" w:eastAsia="宋体" w:hAnsi="宋体" w:cs="宋体" w:hint="eastAsia"/>
          <w:sz w:val="21"/>
          <w:szCs w:val="21"/>
        </w:rPr>
        <w:t>付款条件已经具备，资产托管人视付款条件具备时为指令送达</w:t>
      </w:r>
      <w:r>
        <w:rPr>
          <w:rFonts w:ascii="宋体" w:eastAsia="宋体" w:hAnsi="宋体" w:cs="宋体" w:hint="eastAsia"/>
          <w:sz w:val="21"/>
          <w:szCs w:val="21"/>
        </w:rPr>
        <w:t>时间。对新股申购网下发行业务，资产管理人应在网下申购缴款日（</w:t>
      </w:r>
      <w:r>
        <w:rPr>
          <w:rFonts w:ascii="宋体" w:eastAsia="宋体" w:hAnsi="宋体" w:cs="宋体" w:hint="eastAsia"/>
          <w:sz w:val="21"/>
          <w:szCs w:val="21"/>
        </w:rPr>
        <w:t>T</w:t>
      </w:r>
      <w:r>
        <w:rPr>
          <w:rFonts w:ascii="宋体" w:eastAsia="宋体" w:hAnsi="宋体" w:cs="宋体" w:hint="eastAsia"/>
          <w:sz w:val="21"/>
          <w:szCs w:val="21"/>
        </w:rPr>
        <w:t>日）的前一工作日下班前将指令发送给资产托管人，指令发送时间最迟不应晚于</w:t>
      </w:r>
      <w:r>
        <w:rPr>
          <w:rFonts w:ascii="宋体" w:eastAsia="宋体" w:hAnsi="宋体" w:cs="宋体" w:hint="eastAsia"/>
          <w:sz w:val="21"/>
          <w:szCs w:val="21"/>
        </w:rPr>
        <w:t>T</w:t>
      </w:r>
      <w:r>
        <w:rPr>
          <w:rFonts w:ascii="宋体" w:eastAsia="宋体" w:hAnsi="宋体" w:cs="宋体" w:hint="eastAsia"/>
          <w:sz w:val="21"/>
          <w:szCs w:val="21"/>
        </w:rPr>
        <w:t>日上午</w:t>
      </w:r>
      <w:r>
        <w:rPr>
          <w:rFonts w:ascii="宋体" w:eastAsia="宋体" w:hAnsi="宋体" w:cs="宋体" w:hint="eastAsia"/>
          <w:sz w:val="21"/>
          <w:szCs w:val="21"/>
        </w:rPr>
        <w:t>10:00</w:t>
      </w:r>
      <w:r>
        <w:rPr>
          <w:rFonts w:ascii="宋体" w:eastAsia="宋体" w:hAnsi="宋体" w:cs="宋体" w:hint="eastAsia"/>
          <w:sz w:val="21"/>
          <w:szCs w:val="21"/>
        </w:rPr>
        <w:t>。对于中证登记公司实行</w:t>
      </w:r>
      <w:r>
        <w:rPr>
          <w:rFonts w:ascii="宋体" w:eastAsia="宋体" w:hAnsi="宋体" w:cs="宋体" w:hint="eastAsia"/>
          <w:sz w:val="21"/>
          <w:szCs w:val="21"/>
        </w:rPr>
        <w:t>T+0</w:t>
      </w:r>
      <w:r>
        <w:rPr>
          <w:rFonts w:ascii="宋体" w:eastAsia="宋体" w:hAnsi="宋体" w:cs="宋体" w:hint="eastAsia"/>
          <w:sz w:val="21"/>
          <w:szCs w:val="21"/>
        </w:rPr>
        <w:t>非担保交收的业务，资产管理人应在交易日</w:t>
      </w:r>
      <w:r>
        <w:rPr>
          <w:rFonts w:ascii="宋体" w:eastAsia="宋体" w:hAnsi="宋体" w:cs="宋体" w:hint="eastAsia"/>
          <w:sz w:val="21"/>
          <w:szCs w:val="21"/>
        </w:rPr>
        <w:t>14:00</w:t>
      </w:r>
      <w:r>
        <w:rPr>
          <w:rFonts w:ascii="宋体" w:eastAsia="宋体" w:hAnsi="宋体" w:cs="宋体" w:hint="eastAsia"/>
          <w:sz w:val="21"/>
          <w:szCs w:val="21"/>
        </w:rPr>
        <w:t>前将划款指令发送</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托管人。因资产管理人指令传输不及时，致使资金未能及时划入中证登记公司指定交收账户所造成的损失由资产管理人承担。</w:t>
      </w:r>
    </w:p>
    <w:p w14:paraId="0700279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资产托管人收到划款指令后，应根据本协议约定，审核资产管理人的划款指令。</w:t>
      </w:r>
    </w:p>
    <w:p w14:paraId="2BFB0F3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资产托管人应对下列内容进行审核：</w:t>
      </w:r>
    </w:p>
    <w:p w14:paraId="5984730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一是划款指令要素、印鉴和签名是否正确完整；</w:t>
      </w:r>
    </w:p>
    <w:p w14:paraId="493D7B2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w:t>
      </w:r>
      <w:r>
        <w:rPr>
          <w:rFonts w:ascii="宋体" w:eastAsia="宋体" w:hAnsi="宋体" w:cs="宋体" w:hint="eastAsia"/>
          <w:sz w:val="21"/>
          <w:szCs w:val="21"/>
        </w:rPr>
        <w:t>是划款指令金额与指令附件投资协议等证明文件中约定的投资金额一致。</w:t>
      </w:r>
    </w:p>
    <w:p w14:paraId="56AB70E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三是划款指令中的收款账户信息与指令附件投资协议等证明文件中约定的收款账户信息一致（若有）。若指令附件投资协议未约定收款账户信息的，划款指令中的收款户名应与本协议约定的投资方向一致。</w:t>
      </w:r>
    </w:p>
    <w:p w14:paraId="0A17E61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资产管理人应保证以上所提供的作为划款依据的文件资料的真实、有效、完整、准确、合法，没有任何重大遗漏或误导。</w:t>
      </w:r>
    </w:p>
    <w:p w14:paraId="51E246A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复核无误后依据本合同约定在规定期限内及时执行，不得延误。若存在异议或不符，资产托管人立即与资产管理人指定人员进行电话联系和沟通，并要求资产管理人重新发送经修改的指令。资产托管人可以要求资产管理人传真提供相关交易凭证、合同或其他有效会计资料，以确保资产托管人有足够的资料来判断指令的有效性。</w:t>
      </w:r>
    </w:p>
    <w:p w14:paraId="70BDA07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资产管理人向资产托管人下达指令时，应确保本计划银行账户有足够的资金余额，对资产管理人在没有充足资金的情况下向资产托管人发出的指令，资产托管人有权拒绝执行，并立即通知资产管理人。</w:t>
      </w:r>
    </w:p>
    <w:p w14:paraId="35C2556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资产管理人应将银行间同业拆借中心的成交通知单</w:t>
      </w:r>
      <w:r>
        <w:rPr>
          <w:rFonts w:ascii="宋体" w:eastAsia="宋体" w:hAnsi="宋体" w:cs="宋体" w:hint="eastAsia"/>
          <w:sz w:val="21"/>
          <w:szCs w:val="21"/>
        </w:rPr>
        <w:t>传真或邮件给资产托管人。在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管理计划财产申购</w:t>
      </w:r>
      <w:r>
        <w:rPr>
          <w:rFonts w:ascii="宋体" w:eastAsia="宋体" w:hAnsi="宋体" w:cs="宋体" w:hint="eastAsia"/>
          <w:sz w:val="21"/>
          <w:szCs w:val="21"/>
        </w:rPr>
        <w:t>/</w:t>
      </w:r>
      <w:r>
        <w:rPr>
          <w:rFonts w:ascii="宋体" w:eastAsia="宋体" w:hAnsi="宋体" w:cs="宋体" w:hint="eastAsia"/>
          <w:sz w:val="21"/>
          <w:szCs w:val="21"/>
        </w:rPr>
        <w:t>认购开放式基金时，资产管理人应在向资产托管人提交划款指令的同时将经有效签章的基金申购</w:t>
      </w:r>
      <w:r>
        <w:rPr>
          <w:rFonts w:ascii="宋体" w:eastAsia="宋体" w:hAnsi="宋体" w:cs="宋体" w:hint="eastAsia"/>
          <w:sz w:val="21"/>
          <w:szCs w:val="21"/>
        </w:rPr>
        <w:t>/</w:t>
      </w:r>
      <w:r>
        <w:rPr>
          <w:rFonts w:ascii="宋体" w:eastAsia="宋体" w:hAnsi="宋体" w:cs="宋体" w:hint="eastAsia"/>
          <w:sz w:val="21"/>
          <w:szCs w:val="21"/>
        </w:rPr>
        <w:t>认购申请书以传真或邮件形式送达资产托管人。</w:t>
      </w:r>
    </w:p>
    <w:p w14:paraId="7B53AF5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由于通过上交所固定收益证券综合电子平台达成的私募债券转让，中国证券登记结算公司上海分公司根据证券交易所发送的转让成交结果办理实时逐笔全额结算（</w:t>
      </w:r>
      <w:r>
        <w:rPr>
          <w:rFonts w:ascii="宋体" w:eastAsia="宋体" w:hAnsi="宋体" w:cs="宋体" w:hint="eastAsia"/>
          <w:sz w:val="21"/>
          <w:szCs w:val="21"/>
        </w:rPr>
        <w:t>RTGS</w:t>
      </w:r>
      <w:r>
        <w:rPr>
          <w:rFonts w:ascii="宋体" w:eastAsia="宋体" w:hAnsi="宋体" w:cs="宋体" w:hint="eastAsia"/>
          <w:sz w:val="21"/>
          <w:szCs w:val="21"/>
        </w:rPr>
        <w:t>）。</w:t>
      </w:r>
      <w:r>
        <w:rPr>
          <w:rFonts w:ascii="宋体" w:eastAsia="宋体" w:hAnsi="宋体" w:cs="宋体" w:hint="eastAsia"/>
          <w:sz w:val="21"/>
          <w:szCs w:val="21"/>
        </w:rPr>
        <w:t>RTGS</w:t>
      </w:r>
      <w:r>
        <w:rPr>
          <w:rFonts w:ascii="宋体" w:eastAsia="宋体" w:hAnsi="宋体" w:cs="宋体" w:hint="eastAsia"/>
          <w:sz w:val="21"/>
          <w:szCs w:val="21"/>
        </w:rPr>
        <w:t>的最终交收时点为</w:t>
      </w:r>
      <w:r>
        <w:rPr>
          <w:rFonts w:ascii="宋体" w:eastAsia="宋体" w:hAnsi="宋体" w:cs="宋体" w:hint="eastAsia"/>
          <w:sz w:val="21"/>
          <w:szCs w:val="21"/>
        </w:rPr>
        <w:t>T</w:t>
      </w:r>
      <w:r>
        <w:rPr>
          <w:rFonts w:ascii="宋体" w:eastAsia="宋体" w:hAnsi="宋体" w:cs="宋体" w:hint="eastAsia"/>
          <w:sz w:val="21"/>
          <w:szCs w:val="21"/>
        </w:rPr>
        <w:t>日的</w:t>
      </w:r>
      <w:r>
        <w:rPr>
          <w:rFonts w:ascii="宋体" w:eastAsia="宋体" w:hAnsi="宋体" w:cs="宋体" w:hint="eastAsia"/>
          <w:sz w:val="21"/>
          <w:szCs w:val="21"/>
        </w:rPr>
        <w:t>15:30</w:t>
      </w:r>
      <w:r>
        <w:rPr>
          <w:rFonts w:ascii="宋体" w:eastAsia="宋体" w:hAnsi="宋体" w:cs="宋体" w:hint="eastAsia"/>
          <w:sz w:val="21"/>
          <w:szCs w:val="21"/>
        </w:rPr>
        <w:t>分，为保证</w:t>
      </w:r>
      <w:r>
        <w:rPr>
          <w:rFonts w:ascii="宋体" w:eastAsia="宋体" w:hAnsi="宋体" w:cs="宋体" w:hint="eastAsia"/>
          <w:sz w:val="21"/>
          <w:szCs w:val="21"/>
        </w:rPr>
        <w:t>RTGS</w:t>
      </w:r>
      <w:r>
        <w:rPr>
          <w:rFonts w:ascii="宋体" w:eastAsia="宋体" w:hAnsi="宋体" w:cs="宋体" w:hint="eastAsia"/>
          <w:sz w:val="21"/>
          <w:szCs w:val="21"/>
        </w:rPr>
        <w:t>交易成功，管理人应于交易</w:t>
      </w:r>
      <w:r>
        <w:rPr>
          <w:rFonts w:ascii="宋体" w:eastAsia="宋体" w:hAnsi="宋体" w:cs="宋体" w:hint="eastAsia"/>
          <w:sz w:val="21"/>
          <w:szCs w:val="21"/>
        </w:rPr>
        <w:t>T</w:t>
      </w:r>
      <w:r>
        <w:rPr>
          <w:rFonts w:ascii="宋体" w:eastAsia="宋体" w:hAnsi="宋体" w:cs="宋体" w:hint="eastAsia"/>
          <w:sz w:val="21"/>
          <w:szCs w:val="21"/>
        </w:rPr>
        <w:t>日的</w:t>
      </w:r>
      <w:r>
        <w:rPr>
          <w:rFonts w:ascii="宋体" w:eastAsia="宋体" w:hAnsi="宋体" w:cs="宋体" w:hint="eastAsia"/>
          <w:sz w:val="21"/>
          <w:szCs w:val="21"/>
        </w:rPr>
        <w:t>15:00</w:t>
      </w:r>
      <w:r>
        <w:rPr>
          <w:rFonts w:ascii="宋体" w:eastAsia="宋体" w:hAnsi="宋体" w:cs="宋体" w:hint="eastAsia"/>
          <w:sz w:val="21"/>
          <w:szCs w:val="21"/>
        </w:rPr>
        <w:t>之前，将买入私募债券的指令传真至托管人（非担保交收业务联系人：李国强</w:t>
      </w:r>
      <w:r>
        <w:rPr>
          <w:rFonts w:ascii="宋体" w:eastAsia="宋体" w:hAnsi="宋体" w:cs="宋体" w:hint="eastAsia"/>
          <w:sz w:val="21"/>
          <w:szCs w:val="21"/>
        </w:rPr>
        <w:t>010-63639184</w:t>
      </w:r>
      <w:r>
        <w:rPr>
          <w:rFonts w:ascii="宋体" w:eastAsia="宋体" w:hAnsi="宋体" w:cs="宋体" w:hint="eastAsia"/>
          <w:sz w:val="21"/>
          <w:szCs w:val="21"/>
        </w:rPr>
        <w:t>；</w:t>
      </w:r>
      <w:proofErr w:type="gramStart"/>
      <w:r>
        <w:rPr>
          <w:rFonts w:ascii="宋体" w:eastAsia="宋体" w:hAnsi="宋体" w:cs="宋体" w:hint="eastAsia"/>
          <w:sz w:val="21"/>
          <w:szCs w:val="21"/>
        </w:rPr>
        <w:t>周晓漫</w:t>
      </w:r>
      <w:proofErr w:type="gramEnd"/>
      <w:r>
        <w:rPr>
          <w:rFonts w:ascii="宋体" w:eastAsia="宋体" w:hAnsi="宋体" w:cs="宋体" w:hint="eastAsia"/>
          <w:sz w:val="21"/>
          <w:szCs w:val="21"/>
        </w:rPr>
        <w:t>010-63639155</w:t>
      </w:r>
      <w:r>
        <w:rPr>
          <w:rFonts w:ascii="宋体" w:eastAsia="宋体" w:hAnsi="宋体" w:cs="宋体" w:hint="eastAsia"/>
          <w:sz w:val="21"/>
          <w:szCs w:val="21"/>
        </w:rPr>
        <w:t>；传真</w:t>
      </w:r>
      <w:r>
        <w:rPr>
          <w:rFonts w:ascii="宋体" w:eastAsia="宋体" w:hAnsi="宋体" w:cs="宋体" w:hint="eastAsia"/>
          <w:sz w:val="21"/>
          <w:szCs w:val="21"/>
        </w:rPr>
        <w:t>01063639145</w:t>
      </w:r>
      <w:r>
        <w:rPr>
          <w:rFonts w:ascii="宋体" w:eastAsia="宋体" w:hAnsi="宋体" w:cs="宋体" w:hint="eastAsia"/>
          <w:sz w:val="21"/>
          <w:szCs w:val="21"/>
        </w:rPr>
        <w:t>、</w:t>
      </w:r>
      <w:r>
        <w:rPr>
          <w:rFonts w:ascii="宋体" w:eastAsia="宋体" w:hAnsi="宋体" w:cs="宋体" w:hint="eastAsia"/>
          <w:sz w:val="21"/>
          <w:szCs w:val="21"/>
        </w:rPr>
        <w:t>46</w:t>
      </w:r>
      <w:r>
        <w:rPr>
          <w:rFonts w:ascii="宋体" w:eastAsia="宋体" w:hAnsi="宋体" w:cs="宋体" w:hint="eastAsia"/>
          <w:sz w:val="21"/>
          <w:szCs w:val="21"/>
        </w:rPr>
        <w:t>、</w:t>
      </w:r>
      <w:r>
        <w:rPr>
          <w:rFonts w:ascii="宋体" w:eastAsia="宋体" w:hAnsi="宋体" w:cs="宋体" w:hint="eastAsia"/>
          <w:sz w:val="21"/>
          <w:szCs w:val="21"/>
        </w:rPr>
        <w:t>47</w:t>
      </w:r>
      <w:r>
        <w:rPr>
          <w:rFonts w:ascii="宋体" w:eastAsia="宋体" w:hAnsi="宋体" w:cs="宋体" w:hint="eastAsia"/>
          <w:sz w:val="21"/>
          <w:szCs w:val="21"/>
        </w:rPr>
        <w:t>）。</w:t>
      </w:r>
    </w:p>
    <w:p w14:paraId="547A11F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由于通过深圳综合协议平台的公司债、私募债，结算方式为逐笔</w:t>
      </w:r>
      <w:proofErr w:type="gramStart"/>
      <w:r>
        <w:rPr>
          <w:rFonts w:ascii="宋体" w:eastAsia="宋体" w:hAnsi="宋体" w:cs="宋体" w:hint="eastAsia"/>
          <w:sz w:val="21"/>
          <w:szCs w:val="21"/>
        </w:rPr>
        <w:t>全额非</w:t>
      </w:r>
      <w:proofErr w:type="gramEnd"/>
      <w:r>
        <w:rPr>
          <w:rFonts w:ascii="宋体" w:eastAsia="宋体" w:hAnsi="宋体" w:cs="宋体" w:hint="eastAsia"/>
          <w:sz w:val="21"/>
          <w:szCs w:val="21"/>
        </w:rPr>
        <w:t>担保交收，最终交收时点为</w:t>
      </w:r>
      <w:r>
        <w:rPr>
          <w:rFonts w:ascii="宋体" w:eastAsia="宋体" w:hAnsi="宋体" w:cs="宋体" w:hint="eastAsia"/>
          <w:sz w:val="21"/>
          <w:szCs w:val="21"/>
        </w:rPr>
        <w:t>T</w:t>
      </w:r>
      <w:r>
        <w:rPr>
          <w:rFonts w:ascii="宋体" w:eastAsia="宋体" w:hAnsi="宋体" w:cs="宋体" w:hint="eastAsia"/>
          <w:sz w:val="21"/>
          <w:szCs w:val="21"/>
        </w:rPr>
        <w:t>日</w:t>
      </w:r>
      <w:r>
        <w:rPr>
          <w:rFonts w:ascii="宋体" w:eastAsia="宋体" w:hAnsi="宋体" w:cs="宋体" w:hint="eastAsia"/>
          <w:sz w:val="21"/>
          <w:szCs w:val="21"/>
        </w:rPr>
        <w:t>16:00</w:t>
      </w:r>
      <w:r>
        <w:rPr>
          <w:rFonts w:ascii="宋体" w:eastAsia="宋体" w:hAnsi="宋体" w:cs="宋体" w:hint="eastAsia"/>
          <w:sz w:val="21"/>
          <w:szCs w:val="21"/>
        </w:rPr>
        <w:t>，因此管理人应于</w:t>
      </w:r>
      <w:r>
        <w:rPr>
          <w:rFonts w:ascii="宋体" w:eastAsia="宋体" w:hAnsi="宋体" w:cs="宋体" w:hint="eastAsia"/>
          <w:sz w:val="21"/>
          <w:szCs w:val="21"/>
        </w:rPr>
        <w:t>T</w:t>
      </w:r>
      <w:r>
        <w:rPr>
          <w:rFonts w:ascii="宋体" w:eastAsia="宋体" w:hAnsi="宋体" w:cs="宋体" w:hint="eastAsia"/>
          <w:sz w:val="21"/>
          <w:szCs w:val="21"/>
        </w:rPr>
        <w:t>日</w:t>
      </w:r>
      <w:r>
        <w:rPr>
          <w:rFonts w:ascii="宋体" w:eastAsia="宋体" w:hAnsi="宋体" w:cs="宋体" w:hint="eastAsia"/>
          <w:sz w:val="21"/>
          <w:szCs w:val="21"/>
        </w:rPr>
        <w:t>15:30</w:t>
      </w:r>
      <w:r>
        <w:rPr>
          <w:rFonts w:ascii="宋体" w:eastAsia="宋体" w:hAnsi="宋体" w:cs="宋体" w:hint="eastAsia"/>
          <w:sz w:val="21"/>
          <w:szCs w:val="21"/>
        </w:rPr>
        <w:t>分之前向托管人</w:t>
      </w:r>
      <w:proofErr w:type="gramStart"/>
      <w:r>
        <w:rPr>
          <w:rFonts w:ascii="宋体" w:eastAsia="宋体" w:hAnsi="宋体" w:cs="宋体" w:hint="eastAsia"/>
          <w:sz w:val="21"/>
          <w:szCs w:val="21"/>
        </w:rPr>
        <w:t>发送非</w:t>
      </w:r>
      <w:proofErr w:type="gramEnd"/>
      <w:r>
        <w:rPr>
          <w:rFonts w:ascii="宋体" w:eastAsia="宋体" w:hAnsi="宋体" w:cs="宋体" w:hint="eastAsia"/>
          <w:sz w:val="21"/>
          <w:szCs w:val="21"/>
        </w:rPr>
        <w:t>担保交收债券的买入指令。</w:t>
      </w:r>
    </w:p>
    <w:p w14:paraId="6A1012A9" w14:textId="77777777" w:rsidR="00694F14" w:rsidRDefault="00A463B7">
      <w:pPr>
        <w:tabs>
          <w:tab w:val="left" w:pos="600"/>
        </w:tabs>
        <w:spacing w:line="360" w:lineRule="auto"/>
        <w:ind w:firstLine="480"/>
        <w:rPr>
          <w:rFonts w:ascii="宋体" w:eastAsia="宋体" w:hAnsi="宋体" w:cs="宋体"/>
          <w:sz w:val="21"/>
          <w:szCs w:val="21"/>
        </w:rPr>
      </w:pPr>
      <w:r>
        <w:rPr>
          <w:rFonts w:ascii="宋体" w:eastAsia="宋体" w:hAnsi="宋体" w:cs="宋体" w:hint="eastAsia"/>
          <w:sz w:val="21"/>
          <w:szCs w:val="21"/>
        </w:rPr>
        <w:t>因资产托管人执行指令所需时间不足，致使资金未能及时划拨所造成的损失，由资产管理人承担责任。资产托管人有权对执行指令所需时间做出解释，执行指令所需时间以资产托管人的解释为准。</w:t>
      </w:r>
    </w:p>
    <w:p w14:paraId="05A8C6B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（四）资产托管人依法暂缓、拒绝执行指令的情形和处理程序</w:t>
      </w:r>
    </w:p>
    <w:p w14:paraId="36DD4FB3" w14:textId="77777777" w:rsidR="00694F14" w:rsidRDefault="00A463B7">
      <w:pPr>
        <w:pStyle w:val="a3"/>
        <w:ind w:firstLine="480"/>
        <w:rPr>
          <w:rFonts w:ascii="宋体" w:eastAsia="宋体" w:hAnsi="宋体" w:cs="宋体"/>
          <w:sz w:val="21"/>
        </w:rPr>
      </w:pPr>
      <w:r>
        <w:rPr>
          <w:rFonts w:ascii="宋体" w:eastAsia="宋体" w:hAnsi="宋体" w:cs="宋体" w:hint="eastAsia"/>
          <w:sz w:val="21"/>
        </w:rPr>
        <w:t>资产托管人发现资产管理人发送的指令违反《基金法》、本合同或其他有关法律法规的规定时，不予</w:t>
      </w:r>
      <w:r>
        <w:rPr>
          <w:rFonts w:ascii="宋体" w:eastAsia="宋体" w:hAnsi="宋体" w:cs="宋体" w:hint="eastAsia"/>
          <w:sz w:val="21"/>
        </w:rPr>
        <w:lastRenderedPageBreak/>
        <w:t>执行，并应及时通知资产管理人纠正，资产管理人收到通知后应及时核对，并以书面形式对资产托管人发出回函确认。</w:t>
      </w:r>
    </w:p>
    <w:p w14:paraId="63475659" w14:textId="77777777" w:rsidR="00694F14" w:rsidRDefault="00A463B7">
      <w:pPr>
        <w:tabs>
          <w:tab w:val="left" w:pos="600"/>
        </w:tabs>
        <w:spacing w:line="360" w:lineRule="auto"/>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 xml:space="preserve">   </w:t>
      </w:r>
      <w:r>
        <w:rPr>
          <w:rFonts w:ascii="宋体" w:eastAsia="宋体" w:hAnsi="宋体" w:cs="宋体" w:hint="eastAsia"/>
          <w:sz w:val="21"/>
          <w:szCs w:val="21"/>
        </w:rPr>
        <w:t>（五）资产管理人发送错误指令的情形和处理程序</w:t>
      </w:r>
    </w:p>
    <w:p w14:paraId="42C889BF" w14:textId="77777777" w:rsidR="00694F14" w:rsidRDefault="00A463B7">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资产管理人发送错误指令的情形包括指令发送人员无权或超越权限发送指令及交割信息错误，指令中重要信息模糊不清或不全等。资产托管人在履行监督职能时，发现资产管理人的指令错误时，有权拒绝执行，并及时通知资产管理人改正。</w:t>
      </w:r>
    </w:p>
    <w:p w14:paraId="22593011"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（六）更换投资指令被授权人的程序</w:t>
      </w:r>
    </w:p>
    <w:p w14:paraId="5295C12F" w14:textId="77777777" w:rsidR="00694F14" w:rsidRDefault="00A463B7">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管理人若变更</w:t>
      </w:r>
      <w:r>
        <w:rPr>
          <w:rFonts w:ascii="宋体" w:eastAsia="宋体" w:hAnsi="宋体" w:cs="宋体" w:hint="eastAsia"/>
          <w:sz w:val="21"/>
          <w:szCs w:val="21"/>
        </w:rPr>
        <w:t>划款指令授权书</w:t>
      </w:r>
      <w:r>
        <w:rPr>
          <w:rFonts w:ascii="宋体" w:eastAsia="宋体" w:hAnsi="宋体" w:cs="宋体" w:hint="eastAsia"/>
          <w:sz w:val="21"/>
          <w:szCs w:val="21"/>
        </w:rPr>
        <w:t>（包括但不限于变更指令发送人员、联系方式、预留印鉴、签字样本等），应当至少提前</w:t>
      </w:r>
      <w:r>
        <w:rPr>
          <w:rFonts w:ascii="宋体" w:eastAsia="宋体" w:hAnsi="宋体" w:cs="宋体" w:hint="eastAsia"/>
          <w:sz w:val="21"/>
          <w:szCs w:val="21"/>
        </w:rPr>
        <w:t>1</w:t>
      </w:r>
      <w:r>
        <w:rPr>
          <w:rFonts w:ascii="宋体" w:eastAsia="宋体" w:hAnsi="宋体" w:cs="宋体" w:hint="eastAsia"/>
          <w:sz w:val="21"/>
          <w:szCs w:val="21"/>
        </w:rPr>
        <w:t>个工作日通知托管人；变更</w:t>
      </w:r>
      <w:r>
        <w:rPr>
          <w:rFonts w:ascii="宋体" w:eastAsia="宋体" w:hAnsi="宋体" w:cs="宋体" w:hint="eastAsia"/>
          <w:sz w:val="21"/>
          <w:szCs w:val="21"/>
        </w:rPr>
        <w:t>划款指令授权书</w:t>
      </w:r>
      <w:r>
        <w:rPr>
          <w:rFonts w:ascii="宋体" w:eastAsia="宋体" w:hAnsi="宋体" w:cs="宋体" w:hint="eastAsia"/>
          <w:sz w:val="21"/>
          <w:szCs w:val="21"/>
        </w:rPr>
        <w:t>的文件应由管理人加盖公章并由法定代表人或其授权签字人签署，若由授权签字</w:t>
      </w:r>
      <w:r>
        <w:rPr>
          <w:rFonts w:ascii="宋体" w:eastAsia="宋体" w:hAnsi="宋体" w:cs="宋体" w:hint="eastAsia"/>
          <w:sz w:val="21"/>
          <w:szCs w:val="21"/>
        </w:rPr>
        <w:t>人签署，还应附上法定代表人的授权书。管理人对</w:t>
      </w:r>
      <w:r>
        <w:rPr>
          <w:rFonts w:ascii="宋体" w:eastAsia="宋体" w:hAnsi="宋体" w:cs="宋体" w:hint="eastAsia"/>
          <w:sz w:val="21"/>
          <w:szCs w:val="21"/>
        </w:rPr>
        <w:t>划款指令授权书</w:t>
      </w:r>
      <w:r>
        <w:rPr>
          <w:rFonts w:ascii="宋体" w:eastAsia="宋体" w:hAnsi="宋体" w:cs="宋体" w:hint="eastAsia"/>
          <w:sz w:val="21"/>
          <w:szCs w:val="21"/>
        </w:rPr>
        <w:t>的变更应当以原件的形式发送给托管人，同时电话通知托管人。新划款指令授权书自其中注明的生效日期起开始生效，原</w:t>
      </w:r>
      <w:r>
        <w:rPr>
          <w:rFonts w:ascii="宋体" w:eastAsia="宋体" w:hAnsi="宋体" w:cs="宋体" w:hint="eastAsia"/>
          <w:sz w:val="21"/>
          <w:szCs w:val="21"/>
        </w:rPr>
        <w:t>划款指令授权书</w:t>
      </w:r>
      <w:r>
        <w:rPr>
          <w:rFonts w:ascii="宋体" w:eastAsia="宋体" w:hAnsi="宋体" w:cs="宋体" w:hint="eastAsia"/>
          <w:sz w:val="21"/>
          <w:szCs w:val="21"/>
        </w:rPr>
        <w:t>失效。若托管人收到新</w:t>
      </w:r>
      <w:r>
        <w:rPr>
          <w:rFonts w:ascii="宋体" w:eastAsia="宋体" w:hAnsi="宋体" w:cs="宋体" w:hint="eastAsia"/>
          <w:sz w:val="21"/>
          <w:szCs w:val="21"/>
        </w:rPr>
        <w:t>划款指令授权书</w:t>
      </w:r>
      <w:r>
        <w:rPr>
          <w:rFonts w:ascii="宋体" w:eastAsia="宋体" w:hAnsi="宋体" w:cs="宋体" w:hint="eastAsia"/>
          <w:sz w:val="21"/>
          <w:szCs w:val="21"/>
        </w:rPr>
        <w:t>的日期晚于新</w:t>
      </w:r>
      <w:r>
        <w:rPr>
          <w:rFonts w:ascii="宋体" w:eastAsia="宋体" w:hAnsi="宋体" w:cs="宋体" w:hint="eastAsia"/>
          <w:sz w:val="21"/>
          <w:szCs w:val="21"/>
        </w:rPr>
        <w:t>划款指令授权书</w:t>
      </w:r>
      <w:r>
        <w:rPr>
          <w:rFonts w:ascii="宋体" w:eastAsia="宋体" w:hAnsi="宋体" w:cs="宋体" w:hint="eastAsia"/>
          <w:sz w:val="21"/>
          <w:szCs w:val="21"/>
        </w:rPr>
        <w:t>中注明的生效日期，新</w:t>
      </w:r>
      <w:r>
        <w:rPr>
          <w:rFonts w:ascii="宋体" w:eastAsia="宋体" w:hAnsi="宋体" w:cs="宋体" w:hint="eastAsia"/>
          <w:sz w:val="21"/>
          <w:szCs w:val="21"/>
        </w:rPr>
        <w:t>划款指令授权书</w:t>
      </w:r>
      <w:r>
        <w:rPr>
          <w:rFonts w:ascii="宋体" w:eastAsia="宋体" w:hAnsi="宋体" w:cs="宋体" w:hint="eastAsia"/>
          <w:sz w:val="21"/>
          <w:szCs w:val="21"/>
        </w:rPr>
        <w:t>自托管人收到的日期起开始生效，原</w:t>
      </w:r>
      <w:r>
        <w:rPr>
          <w:rFonts w:ascii="宋体" w:eastAsia="宋体" w:hAnsi="宋体" w:cs="宋体" w:hint="eastAsia"/>
          <w:sz w:val="21"/>
          <w:szCs w:val="21"/>
        </w:rPr>
        <w:t>划款指令授权</w:t>
      </w:r>
      <w:proofErr w:type="gramStart"/>
      <w:r>
        <w:rPr>
          <w:rFonts w:ascii="宋体" w:eastAsia="宋体" w:hAnsi="宋体" w:cs="宋体" w:hint="eastAsia"/>
          <w:sz w:val="21"/>
          <w:szCs w:val="21"/>
        </w:rPr>
        <w:t>书</w:t>
      </w:r>
      <w:r>
        <w:rPr>
          <w:rFonts w:ascii="宋体" w:eastAsia="宋体" w:hAnsi="宋体" w:cs="宋体" w:hint="eastAsia"/>
          <w:sz w:val="21"/>
          <w:szCs w:val="21"/>
        </w:rPr>
        <w:t>相应</w:t>
      </w:r>
      <w:proofErr w:type="gramEnd"/>
      <w:r>
        <w:rPr>
          <w:rFonts w:ascii="宋体" w:eastAsia="宋体" w:hAnsi="宋体" w:cs="宋体" w:hint="eastAsia"/>
          <w:sz w:val="21"/>
          <w:szCs w:val="21"/>
        </w:rPr>
        <w:t>失效。托管人收到该变更通知生效之前，原指令发送人员及其签字继续有效。被授权人变更通知生效后，对于已被撤换的人员无权发送的指令，或新被授权人员超权限发送的指令，资产托管人可不予执行，并立即通知</w:t>
      </w:r>
      <w:r>
        <w:rPr>
          <w:rFonts w:ascii="宋体" w:eastAsia="宋体" w:hAnsi="宋体" w:cs="宋体" w:hint="eastAsia"/>
          <w:sz w:val="21"/>
          <w:szCs w:val="21"/>
        </w:rPr>
        <w:t>管理人</w:t>
      </w:r>
      <w:r>
        <w:rPr>
          <w:rFonts w:ascii="宋体" w:eastAsia="宋体" w:hAnsi="宋体" w:cs="宋体" w:hint="eastAsia"/>
          <w:sz w:val="21"/>
          <w:szCs w:val="21"/>
        </w:rPr>
        <w:t>。</w:t>
      </w:r>
    </w:p>
    <w:p w14:paraId="56210D14"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（七）投资指令的保管</w:t>
      </w:r>
    </w:p>
    <w:p w14:paraId="4CFF8C69" w14:textId="77777777" w:rsidR="00694F14" w:rsidRDefault="00A463B7">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投资指令若以传真或邮件形式发出，则正本由资产管理人保管，资产托管人保管指令传真件或电子扫描件。当两者不一致时，以资产托管人收到的投资指令传真件或电子扫描件为准。</w:t>
      </w:r>
    </w:p>
    <w:p w14:paraId="02BA7150"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（八）其他相关责任</w:t>
      </w:r>
    </w:p>
    <w:p w14:paraId="4599C362" w14:textId="77777777" w:rsidR="00694F14" w:rsidRDefault="00A463B7">
      <w:pPr>
        <w:spacing w:line="360" w:lineRule="auto"/>
        <w:ind w:firstLine="420"/>
        <w:jc w:val="left"/>
        <w:rPr>
          <w:rFonts w:ascii="宋体" w:eastAsia="宋体" w:hAnsi="宋体" w:cs="宋体"/>
          <w:sz w:val="21"/>
          <w:szCs w:val="21"/>
        </w:rPr>
      </w:pPr>
      <w:r>
        <w:rPr>
          <w:rFonts w:ascii="宋体" w:eastAsia="宋体" w:hAnsi="宋体" w:cs="宋体" w:hint="eastAsia"/>
          <w:sz w:val="21"/>
          <w:szCs w:val="21"/>
        </w:rPr>
        <w:t>资产托管人已依据本合同的约定履行审核义务，并正确执行资产管理人符合本合同规定、合法合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的划款指令，因</w:t>
      </w:r>
      <w:proofErr w:type="gramStart"/>
      <w:r>
        <w:rPr>
          <w:rFonts w:ascii="宋体" w:eastAsia="宋体" w:hAnsi="宋体" w:cs="宋体" w:hint="eastAsia"/>
          <w:sz w:val="21"/>
          <w:szCs w:val="21"/>
        </w:rPr>
        <w:t>非资产托管人原因</w:t>
      </w:r>
      <w:proofErr w:type="gramEnd"/>
      <w:r>
        <w:rPr>
          <w:rFonts w:ascii="宋体" w:eastAsia="宋体" w:hAnsi="宋体" w:cs="宋体" w:hint="eastAsia"/>
          <w:sz w:val="21"/>
          <w:szCs w:val="21"/>
        </w:rPr>
        <w:t>造成资产管理计划财产发生损失的，相关责任由过错方承担。在正常业务受理渠道和指令规定的时间内，因资产托管</w:t>
      </w:r>
      <w:proofErr w:type="gramStart"/>
      <w:r>
        <w:rPr>
          <w:rFonts w:ascii="宋体" w:eastAsia="宋体" w:hAnsi="宋体" w:cs="宋体" w:hint="eastAsia"/>
          <w:sz w:val="21"/>
          <w:szCs w:val="21"/>
        </w:rPr>
        <w:t>人原因未依据</w:t>
      </w:r>
      <w:proofErr w:type="gramEnd"/>
      <w:r>
        <w:rPr>
          <w:rFonts w:ascii="宋体" w:eastAsia="宋体" w:hAnsi="宋体" w:cs="宋体" w:hint="eastAsia"/>
          <w:sz w:val="21"/>
          <w:szCs w:val="21"/>
        </w:rPr>
        <w:t>本合同的约定履行审核义务而执行划款指令，未能及时或正确执行符合本合同</w:t>
      </w:r>
      <w:r>
        <w:rPr>
          <w:rFonts w:ascii="宋体" w:eastAsia="宋体" w:hAnsi="宋体" w:cs="宋体" w:hint="eastAsia"/>
          <w:sz w:val="21"/>
          <w:szCs w:val="21"/>
        </w:rPr>
        <w:t>规定、合法合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的划款指令而导致资产管理计划财产受损的，资产托管人应承担相应的责任，但银行托管账户余额不足或资产托管人如遇到不可抗力的情况除外。</w:t>
      </w:r>
    </w:p>
    <w:p w14:paraId="36E95EB8" w14:textId="77777777" w:rsidR="00694F14" w:rsidRDefault="00A463B7">
      <w:pPr>
        <w:spacing w:line="360" w:lineRule="auto"/>
        <w:ind w:firstLine="480"/>
        <w:jc w:val="left"/>
        <w:rPr>
          <w:rFonts w:ascii="宋体" w:eastAsia="宋体" w:hAnsi="宋体" w:cs="宋体"/>
          <w:sz w:val="21"/>
          <w:szCs w:val="21"/>
        </w:rPr>
      </w:pPr>
      <w:r>
        <w:rPr>
          <w:rFonts w:ascii="宋体" w:eastAsia="宋体" w:hAnsi="宋体" w:cs="宋体" w:hint="eastAsia"/>
          <w:sz w:val="21"/>
          <w:szCs w:val="21"/>
        </w:rPr>
        <w:t>如果管理人的划款指令存在事实上未经授权、欺诈、伪造或未能按时提供划款指令人员的预留印鉴和签字样本等非托管</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造成的情形，只要托管人根据本合同相关约定验证有关印鉴与签名无误，因托管人正确执行有关指令而给管理人或资产管理计划财产或任何第三人带来的损失，全部责任由管理人承担。</w:t>
      </w:r>
    </w:p>
    <w:p w14:paraId="31E39AB4" w14:textId="77777777" w:rsidR="00694F14" w:rsidRDefault="00694F14">
      <w:pPr>
        <w:spacing w:line="360" w:lineRule="auto"/>
        <w:ind w:firstLine="420"/>
        <w:jc w:val="left"/>
        <w:rPr>
          <w:rFonts w:ascii="宋体" w:eastAsia="宋体" w:hAnsi="宋体" w:cs="宋体"/>
          <w:sz w:val="21"/>
          <w:szCs w:val="21"/>
        </w:rPr>
      </w:pPr>
    </w:p>
    <w:p w14:paraId="03B2A76A" w14:textId="77777777" w:rsidR="00694F14" w:rsidRDefault="00A463B7">
      <w:pPr>
        <w:pStyle w:val="1"/>
        <w:spacing w:before="0" w:after="0" w:line="360" w:lineRule="auto"/>
        <w:jc w:val="center"/>
        <w:rPr>
          <w:rFonts w:ascii="宋体" w:eastAsia="宋体" w:hAnsi="宋体" w:cs="宋体"/>
          <w:sz w:val="21"/>
          <w:szCs w:val="21"/>
        </w:rPr>
      </w:pPr>
      <w:bookmarkStart w:id="44" w:name="_Toc194741916"/>
      <w:bookmarkStart w:id="45" w:name="_Toc401668943"/>
      <w:bookmarkStart w:id="46" w:name="_Toc70622197"/>
      <w:r>
        <w:rPr>
          <w:rFonts w:ascii="宋体" w:eastAsia="宋体" w:hAnsi="宋体" w:cs="宋体" w:hint="eastAsia"/>
          <w:sz w:val="21"/>
          <w:szCs w:val="21"/>
        </w:rPr>
        <w:t>十八、越权交易</w:t>
      </w:r>
      <w:bookmarkEnd w:id="44"/>
      <w:bookmarkEnd w:id="45"/>
      <w:r>
        <w:rPr>
          <w:rFonts w:ascii="宋体" w:eastAsia="宋体" w:hAnsi="宋体" w:cs="宋体" w:hint="eastAsia"/>
          <w:sz w:val="21"/>
          <w:szCs w:val="21"/>
        </w:rPr>
        <w:t>的界定</w:t>
      </w:r>
      <w:bookmarkEnd w:id="46"/>
    </w:p>
    <w:p w14:paraId="77CD2D9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（一）越权交易的界定</w:t>
      </w:r>
    </w:p>
    <w:p w14:paraId="155A56B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越权交易是指资产管理人违反有关法律法规的规定以及违反或超出本合同项下资产委托人的授权而进行的投资交易行为，包括：</w:t>
      </w:r>
    </w:p>
    <w:p w14:paraId="45BD7D2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、违反有关法律法规和本合同附件《交易监控合规表》规定进行的投资交易行为。</w:t>
      </w:r>
    </w:p>
    <w:p w14:paraId="11761BE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、法律法规禁止的超买、超卖行为。</w:t>
      </w:r>
    </w:p>
    <w:p w14:paraId="7B1845C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资产管理人应在有关法律法规和本合同规定的权限内运用资产管理计划财产进行投资管理，不得违反有关法律法规和本合同的约定，超越权限管理、从事投资。</w:t>
      </w:r>
    </w:p>
    <w:p w14:paraId="6D38CDB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（二）越权交易的处理程序</w:t>
      </w:r>
    </w:p>
    <w:p w14:paraId="3739903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、违反有关法律法规和本合同规定进行的投资交易行为</w:t>
      </w:r>
    </w:p>
    <w:p w14:paraId="365E95F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托管人发现管理人的投资指令违反法律法规的规定，或者违反本合同附件《</w:t>
      </w:r>
      <w:r>
        <w:rPr>
          <w:rFonts w:ascii="宋体" w:eastAsia="宋体" w:hAnsi="宋体" w:cs="宋体" w:hint="eastAsia"/>
          <w:sz w:val="21"/>
          <w:szCs w:val="21"/>
        </w:rPr>
        <w:t>交易监控合规表》约定的，应当拒绝执行，立即通知管理人并有权报告中国证监会相关派出机构或中国证券投资基金业协会。</w:t>
      </w:r>
    </w:p>
    <w:p w14:paraId="65AC654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托管人发现管理人依据交易程序已经生效的投资指令违反法律法规的规定，或者违反本合同附件《交易监控合规表》约定的，应立即通知管理人并有权报告中国证监会相关派出机构或中国证券投资基金业协会。</w:t>
      </w:r>
    </w:p>
    <w:p w14:paraId="21B6E76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向资产委托人和资产托管人主动报告越权交易。在限期内，资产委托人和资产托管人有权随时对通知事项进行复查，督促资产管理人改正。资产管理人对资产委托人和资产托管人通知的越权事项未能在限期内纠正的，资产托管人有</w:t>
      </w:r>
      <w:r>
        <w:rPr>
          <w:rFonts w:ascii="宋体" w:eastAsia="宋体" w:hAnsi="宋体" w:cs="宋体" w:hint="eastAsia"/>
          <w:sz w:val="21"/>
          <w:szCs w:val="21"/>
        </w:rPr>
        <w:t>权报告中国证监会、基金业协会。</w:t>
      </w:r>
    </w:p>
    <w:p w14:paraId="00D84F9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、法律法规禁止的超买、超卖行为</w:t>
      </w:r>
    </w:p>
    <w:p w14:paraId="0572CA7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资产托管人在行使监督职能时，如果发现资产管理计划财产投资证券过程中出现超买或超卖现象，应立即提醒资产管理人，由管理人负责承担超买或超卖的后果。如果因管理</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T</w:t>
      </w:r>
      <w:r>
        <w:rPr>
          <w:rFonts w:ascii="宋体" w:eastAsia="宋体" w:hAnsi="宋体" w:cs="宋体" w:hint="eastAsia"/>
          <w:sz w:val="21"/>
          <w:szCs w:val="21"/>
        </w:rPr>
        <w:t>日发生交易所内超买行为，管理人必须于</w:t>
      </w:r>
      <w:r>
        <w:rPr>
          <w:rFonts w:ascii="宋体" w:eastAsia="宋体" w:hAnsi="宋体" w:cs="宋体" w:hint="eastAsia"/>
          <w:sz w:val="21"/>
          <w:szCs w:val="21"/>
        </w:rPr>
        <w:t>T+1</w:t>
      </w:r>
      <w:r>
        <w:rPr>
          <w:rFonts w:ascii="宋体" w:eastAsia="宋体" w:hAnsi="宋体" w:cs="宋体" w:hint="eastAsia"/>
          <w:sz w:val="21"/>
          <w:szCs w:val="21"/>
        </w:rPr>
        <w:t>日上午</w:t>
      </w:r>
      <w:r>
        <w:rPr>
          <w:rFonts w:ascii="宋体" w:eastAsia="宋体" w:hAnsi="宋体" w:cs="宋体" w:hint="eastAsia"/>
          <w:sz w:val="21"/>
          <w:szCs w:val="21"/>
        </w:rPr>
        <w:t>10</w:t>
      </w:r>
      <w:r>
        <w:rPr>
          <w:rFonts w:ascii="宋体" w:eastAsia="宋体" w:hAnsi="宋体" w:cs="宋体" w:hint="eastAsia"/>
          <w:sz w:val="21"/>
          <w:szCs w:val="21"/>
        </w:rPr>
        <w:t>：</w:t>
      </w:r>
      <w:r>
        <w:rPr>
          <w:rFonts w:ascii="宋体" w:eastAsia="宋体" w:hAnsi="宋体" w:cs="宋体" w:hint="eastAsia"/>
          <w:sz w:val="21"/>
          <w:szCs w:val="21"/>
        </w:rPr>
        <w:t>00</w:t>
      </w:r>
      <w:r>
        <w:rPr>
          <w:rFonts w:ascii="宋体" w:eastAsia="宋体" w:hAnsi="宋体" w:cs="宋体" w:hint="eastAsia"/>
          <w:sz w:val="21"/>
          <w:szCs w:val="21"/>
        </w:rPr>
        <w:t>前完成融资，保证完成清算交收。</w:t>
      </w:r>
    </w:p>
    <w:p w14:paraId="1FCD48C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、非因资产管理人主观因素导致本计划投资突破本合同投资范围中约定的投资比例的，资产管理人应当在流动性受限资产可出售、可转让或者恢复交易的</w:t>
      </w:r>
      <w:r>
        <w:rPr>
          <w:rFonts w:ascii="宋体" w:eastAsia="宋体" w:hAnsi="宋体" w:cs="宋体" w:hint="eastAsia"/>
          <w:sz w:val="21"/>
          <w:szCs w:val="21"/>
        </w:rPr>
        <w:t>15</w:t>
      </w:r>
      <w:r>
        <w:rPr>
          <w:rFonts w:ascii="宋体" w:eastAsia="宋体" w:hAnsi="宋体" w:cs="宋体" w:hint="eastAsia"/>
          <w:sz w:val="21"/>
          <w:szCs w:val="21"/>
        </w:rPr>
        <w:t>个交易日内调整完毕。法律法规、中国证监会等监管部门另有规</w:t>
      </w:r>
      <w:r>
        <w:rPr>
          <w:rFonts w:ascii="宋体" w:eastAsia="宋体" w:hAnsi="宋体" w:cs="宋体" w:hint="eastAsia"/>
          <w:sz w:val="21"/>
          <w:szCs w:val="21"/>
        </w:rPr>
        <w:t>定的从其规定。</w:t>
      </w:r>
    </w:p>
    <w:p w14:paraId="216E366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、越权交易所发生的直接损失及相关交易费用由资产管理人负担，所发生的收益归</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管理计划财产所有。</w:t>
      </w:r>
    </w:p>
    <w:p w14:paraId="1C29A66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（三）资产托管人对资产管理人投资运作的监督</w:t>
      </w:r>
    </w:p>
    <w:p w14:paraId="04E1C09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、资产托管人对资产管理人的投资行为行使监督权。资产托管人根据本合同附件《交易监控合规表》对有关资产管理计划投资范围、投资比例、投资限制的约定进行监督。</w:t>
      </w:r>
    </w:p>
    <w:p w14:paraId="63A5D95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、资产托管人对资产管理人的投资监督和检查自本计划建账估值核对一致之日起开始。</w:t>
      </w:r>
    </w:p>
    <w:p w14:paraId="6C8F286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、托管人越权交易监督的真实性、准确性、及时性和完整性受限于管理人、证券经纪商、期货经纪商及其他中介机构提供的数据和信息，合</w:t>
      </w:r>
      <w:proofErr w:type="gramStart"/>
      <w:r>
        <w:rPr>
          <w:rFonts w:ascii="宋体" w:eastAsia="宋体" w:hAnsi="宋体" w:cs="宋体" w:hint="eastAsia"/>
          <w:sz w:val="21"/>
          <w:szCs w:val="21"/>
        </w:rPr>
        <w:t>规</w:t>
      </w:r>
      <w:proofErr w:type="gramEnd"/>
      <w:r>
        <w:rPr>
          <w:rFonts w:ascii="宋体" w:eastAsia="宋体" w:hAnsi="宋体" w:cs="宋体" w:hint="eastAsia"/>
          <w:sz w:val="21"/>
          <w:szCs w:val="21"/>
        </w:rPr>
        <w:t>投资的责任在管理人。由对上述机构提供信息的错误、遗漏或延迟所引起的损失由过错方承担责任。</w:t>
      </w:r>
    </w:p>
    <w:p w14:paraId="4B0D87C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、资产管理人应提供监督所必需的交易材料等信息，并确保所提供的业务材料完整、准确、真实、有效，托管银行对提供材料是否与合同约定的监督事项相符进行一致性审查。</w:t>
      </w:r>
    </w:p>
    <w:p w14:paraId="611DC1A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（四）如因投资政策变更需调整上述监督职责的，资产管理人应提前以书面形式通知资产托管人，相关变更经资产托管人同意后调整《交易监控合规表》。相</w:t>
      </w:r>
      <w:r>
        <w:rPr>
          <w:rFonts w:ascii="宋体" w:eastAsia="宋体" w:hAnsi="宋体" w:cs="宋体" w:hint="eastAsia"/>
          <w:sz w:val="21"/>
          <w:szCs w:val="21"/>
        </w:rPr>
        <w:t>关变更应为投资监督业务系统开发和流程调整留出充足的时间。</w:t>
      </w:r>
    </w:p>
    <w:p w14:paraId="4D9B8CB2" w14:textId="77777777" w:rsidR="00694F14" w:rsidRDefault="00694F14">
      <w:pPr>
        <w:spacing w:line="360" w:lineRule="auto"/>
        <w:ind w:firstLine="480"/>
        <w:rPr>
          <w:rFonts w:ascii="宋体" w:eastAsia="宋体" w:hAnsi="宋体" w:cs="宋体"/>
          <w:sz w:val="21"/>
          <w:szCs w:val="21"/>
        </w:rPr>
      </w:pPr>
    </w:p>
    <w:p w14:paraId="63715EC1" w14:textId="77777777" w:rsidR="00694F14" w:rsidRDefault="00A463B7">
      <w:pPr>
        <w:pStyle w:val="1"/>
        <w:spacing w:before="0" w:after="0" w:line="360" w:lineRule="auto"/>
        <w:jc w:val="center"/>
        <w:rPr>
          <w:rFonts w:ascii="宋体" w:eastAsia="宋体" w:hAnsi="宋体" w:cs="宋体"/>
          <w:sz w:val="21"/>
          <w:szCs w:val="21"/>
        </w:rPr>
      </w:pPr>
      <w:bookmarkStart w:id="47" w:name="_Toc70622198"/>
      <w:bookmarkStart w:id="48" w:name="_Toc401668942"/>
      <w:bookmarkStart w:id="49" w:name="_Toc194741912"/>
      <w:r>
        <w:rPr>
          <w:rFonts w:ascii="宋体" w:eastAsia="宋体" w:hAnsi="宋体" w:cs="宋体" w:hint="eastAsia"/>
          <w:sz w:val="21"/>
          <w:szCs w:val="21"/>
        </w:rPr>
        <w:t>十九、交易及清算交收安排</w:t>
      </w:r>
      <w:bookmarkEnd w:id="47"/>
      <w:bookmarkEnd w:id="48"/>
      <w:bookmarkEnd w:id="49"/>
    </w:p>
    <w:p w14:paraId="0F4D0701" w14:textId="77777777" w:rsidR="00694F14" w:rsidRDefault="00A463B7">
      <w:pPr>
        <w:spacing w:line="360" w:lineRule="auto"/>
        <w:ind w:firstLine="480"/>
        <w:rPr>
          <w:rFonts w:ascii="宋体" w:eastAsia="宋体" w:hAnsi="宋体" w:cs="宋体"/>
          <w:sz w:val="21"/>
          <w:szCs w:val="21"/>
        </w:rPr>
      </w:pPr>
      <w:bookmarkStart w:id="50" w:name="_Toc22454452"/>
      <w:bookmarkStart w:id="51" w:name="_Toc48703904"/>
      <w:bookmarkStart w:id="52" w:name="_Toc194741913"/>
      <w:bookmarkStart w:id="53" w:name="_Toc194292255"/>
      <w:r>
        <w:rPr>
          <w:rFonts w:ascii="宋体" w:eastAsia="宋体" w:hAnsi="宋体" w:cs="宋体" w:hint="eastAsia"/>
          <w:sz w:val="21"/>
          <w:szCs w:val="21"/>
        </w:rPr>
        <w:t>（一）选择代理证券买卖的证券经营机构的程序</w:t>
      </w:r>
    </w:p>
    <w:p w14:paraId="191272A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资产管理人负责选择代理</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管理计划财产证券买卖的证券经营机构，并与其签订证券交易委托代理协议。本计划的交易数据传输具体操作及时间要求按照资产管理人、资产托管人及证券经纪商签订的证券投资操作备忘录的约定执行。</w:t>
      </w:r>
    </w:p>
    <w:p w14:paraId="73C445F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（二）场外交易的资金清算与交收</w:t>
      </w:r>
    </w:p>
    <w:p w14:paraId="4BBD909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开放式基金认购、申购、赎回的交易安排</w:t>
      </w:r>
    </w:p>
    <w:p w14:paraId="425FD12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管理人与托管人在办理开放式基金认购、申购、赎回中的权利、义务、职责遵照有关法律法规规定执行。</w:t>
      </w:r>
    </w:p>
    <w:p w14:paraId="70E8CEF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申购（认购）开放式基金时，应将划款指令连同基金申购（认购）申请单传真或其他双方一致认可的方式发送托管人。托管人审核无误后，应及时将划款指令交付执行，并对划款指令执行情况进行查询，将执行结果通知管理人。管理人应及时向基金销售机构索取开放式基金申购（认购）确认单并在收到后传真或其他双方一致认可的方式发送托管人，以作为双方进行会计核算的依据。</w:t>
      </w:r>
    </w:p>
    <w:p w14:paraId="2E59B4B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管理人赎回开放式基金时，应同时向基金管理公司或代销机构和托管人发出基金赎回申请书。托管人应及时查询到帐情况并反馈资产管理人。管理人应及时向基金销售机构索取开放式基金赎</w:t>
      </w:r>
      <w:r>
        <w:rPr>
          <w:rFonts w:ascii="宋体" w:eastAsia="宋体" w:hAnsi="宋体" w:cs="宋体" w:hint="eastAsia"/>
          <w:sz w:val="21"/>
          <w:szCs w:val="21"/>
        </w:rPr>
        <w:t>回确认单</w:t>
      </w:r>
      <w:r>
        <w:rPr>
          <w:rFonts w:ascii="宋体" w:eastAsia="宋体" w:hAnsi="宋体" w:cs="宋体" w:hint="eastAsia"/>
          <w:sz w:val="21"/>
          <w:szCs w:val="21"/>
        </w:rPr>
        <w:t>,</w:t>
      </w:r>
      <w:r>
        <w:rPr>
          <w:rFonts w:ascii="宋体" w:eastAsia="宋体" w:hAnsi="宋体" w:cs="宋体" w:hint="eastAsia"/>
          <w:sz w:val="21"/>
          <w:szCs w:val="21"/>
        </w:rPr>
        <w:t>并传</w:t>
      </w:r>
      <w:r>
        <w:rPr>
          <w:rFonts w:ascii="宋体" w:eastAsia="宋体" w:hAnsi="宋体" w:cs="宋体" w:hint="eastAsia"/>
          <w:sz w:val="21"/>
          <w:szCs w:val="21"/>
        </w:rPr>
        <w:lastRenderedPageBreak/>
        <w:t>真或其他双方一致认可的方式发送托管人，以作为双方进行会计核算的依据。</w:t>
      </w:r>
    </w:p>
    <w:p w14:paraId="4276FDF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场外资金汇划由资产托管人凭资产管理人有效指令和相关盖章</w:t>
      </w:r>
      <w:proofErr w:type="gramStart"/>
      <w:r>
        <w:rPr>
          <w:rFonts w:ascii="宋体" w:eastAsia="宋体" w:hAnsi="宋体" w:cs="宋体" w:hint="eastAsia"/>
          <w:sz w:val="21"/>
          <w:szCs w:val="21"/>
        </w:rPr>
        <w:t>版投资</w:t>
      </w:r>
      <w:proofErr w:type="gramEnd"/>
      <w:r>
        <w:rPr>
          <w:rFonts w:ascii="宋体" w:eastAsia="宋体" w:hAnsi="宋体" w:cs="宋体" w:hint="eastAsia"/>
          <w:sz w:val="21"/>
          <w:szCs w:val="21"/>
        </w:rPr>
        <w:t>合同进行资金划拨。</w:t>
      </w:r>
    </w:p>
    <w:p w14:paraId="69F8CD2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资金清算为支付税费的，资产托管人审核付款用途符合本合同约定后，凭资产管理人指令和相关税费单据（若有）进行资金划拨。</w:t>
      </w:r>
    </w:p>
    <w:p w14:paraId="08E26F3E" w14:textId="77777777" w:rsidR="00694F14" w:rsidRDefault="00A463B7">
      <w:pPr>
        <w:spacing w:line="360" w:lineRule="auto"/>
        <w:ind w:firstLine="480"/>
        <w:rPr>
          <w:rFonts w:ascii="宋体" w:eastAsia="宋体" w:hAnsi="宋体" w:cs="宋体"/>
          <w:sz w:val="21"/>
          <w:szCs w:val="21"/>
        </w:rPr>
      </w:pPr>
      <w:bookmarkStart w:id="54" w:name="_Toc194741915"/>
      <w:bookmarkStart w:id="55" w:name="_Toc48703906"/>
      <w:bookmarkStart w:id="56" w:name="_Toc194292257"/>
      <w:r>
        <w:rPr>
          <w:rFonts w:ascii="宋体" w:eastAsia="宋体" w:hAnsi="宋体" w:cs="宋体" w:hint="eastAsia"/>
          <w:sz w:val="21"/>
          <w:szCs w:val="21"/>
        </w:rPr>
        <w:t>（三）资金、证券账目及交易记录的核对</w:t>
      </w:r>
      <w:bookmarkEnd w:id="54"/>
      <w:bookmarkEnd w:id="55"/>
      <w:bookmarkEnd w:id="56"/>
    </w:p>
    <w:p w14:paraId="71D2417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对资产的交易记录，由资产管理人按日进行核对。对外披露资产份额净值之前，资产管理人必须保证当天所有实际交易记录与资产会计账簿上的交易记录完全一致。如果实际交易记录与会计账簿记录不一致，造成资产会计</w:t>
      </w:r>
      <w:r>
        <w:rPr>
          <w:rFonts w:ascii="宋体" w:eastAsia="宋体" w:hAnsi="宋体" w:cs="宋体" w:hint="eastAsia"/>
          <w:sz w:val="21"/>
          <w:szCs w:val="21"/>
        </w:rPr>
        <w:t>核算不完整或不真实，由此导致的损失由资产管理人承担。</w:t>
      </w:r>
    </w:p>
    <w:p w14:paraId="2A27397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对资产的资金账目，由相关各方每日对账一次，确保相关各方账</w:t>
      </w:r>
      <w:proofErr w:type="gramStart"/>
      <w:r>
        <w:rPr>
          <w:rFonts w:ascii="宋体" w:eastAsia="宋体" w:hAnsi="宋体" w:cs="宋体" w:hint="eastAsia"/>
          <w:sz w:val="21"/>
          <w:szCs w:val="21"/>
        </w:rPr>
        <w:t>账</w:t>
      </w:r>
      <w:proofErr w:type="gramEnd"/>
      <w:r>
        <w:rPr>
          <w:rFonts w:ascii="宋体" w:eastAsia="宋体" w:hAnsi="宋体" w:cs="宋体" w:hint="eastAsia"/>
          <w:sz w:val="21"/>
          <w:szCs w:val="21"/>
        </w:rPr>
        <w:t>相符。</w:t>
      </w:r>
    </w:p>
    <w:p w14:paraId="3DD3869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对资产证券账目，由每</w:t>
      </w:r>
      <w:proofErr w:type="gramStart"/>
      <w:r>
        <w:rPr>
          <w:rFonts w:ascii="宋体" w:eastAsia="宋体" w:hAnsi="宋体" w:cs="宋体" w:hint="eastAsia"/>
          <w:sz w:val="21"/>
          <w:szCs w:val="21"/>
        </w:rPr>
        <w:t>周最后</w:t>
      </w:r>
      <w:proofErr w:type="gramEnd"/>
      <w:r>
        <w:rPr>
          <w:rFonts w:ascii="宋体" w:eastAsia="宋体" w:hAnsi="宋体" w:cs="宋体" w:hint="eastAsia"/>
          <w:sz w:val="21"/>
          <w:szCs w:val="21"/>
        </w:rPr>
        <w:t>一个交易日终了</w:t>
      </w:r>
      <w:proofErr w:type="gramStart"/>
      <w:r>
        <w:rPr>
          <w:rFonts w:ascii="宋体" w:eastAsia="宋体" w:hAnsi="宋体" w:cs="宋体" w:hint="eastAsia"/>
          <w:sz w:val="21"/>
          <w:szCs w:val="21"/>
        </w:rPr>
        <w:t>时相关</w:t>
      </w:r>
      <w:proofErr w:type="gramEnd"/>
      <w:r>
        <w:rPr>
          <w:rFonts w:ascii="宋体" w:eastAsia="宋体" w:hAnsi="宋体" w:cs="宋体" w:hint="eastAsia"/>
          <w:sz w:val="21"/>
          <w:szCs w:val="21"/>
        </w:rPr>
        <w:t>各方进行对账。</w:t>
      </w:r>
    </w:p>
    <w:p w14:paraId="76DED67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对实物</w:t>
      </w:r>
      <w:proofErr w:type="gramStart"/>
      <w:r>
        <w:rPr>
          <w:rFonts w:ascii="宋体" w:eastAsia="宋体" w:hAnsi="宋体" w:cs="宋体" w:hint="eastAsia"/>
          <w:sz w:val="21"/>
          <w:szCs w:val="21"/>
        </w:rPr>
        <w:t>券</w:t>
      </w:r>
      <w:proofErr w:type="gramEnd"/>
      <w:r>
        <w:rPr>
          <w:rFonts w:ascii="宋体" w:eastAsia="宋体" w:hAnsi="宋体" w:cs="宋体" w:hint="eastAsia"/>
          <w:sz w:val="21"/>
          <w:szCs w:val="21"/>
        </w:rPr>
        <w:t>账目，每月月</w:t>
      </w:r>
      <w:proofErr w:type="gramStart"/>
      <w:r>
        <w:rPr>
          <w:rFonts w:ascii="宋体" w:eastAsia="宋体" w:hAnsi="宋体" w:cs="宋体" w:hint="eastAsia"/>
          <w:sz w:val="21"/>
          <w:szCs w:val="21"/>
        </w:rPr>
        <w:t>末相关</w:t>
      </w:r>
      <w:proofErr w:type="gramEnd"/>
      <w:r>
        <w:rPr>
          <w:rFonts w:ascii="宋体" w:eastAsia="宋体" w:hAnsi="宋体" w:cs="宋体" w:hint="eastAsia"/>
          <w:sz w:val="21"/>
          <w:szCs w:val="21"/>
        </w:rPr>
        <w:t>各方进行账实核对。</w:t>
      </w:r>
    </w:p>
    <w:p w14:paraId="5DD7B43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（四）参与或退出的资金清算（如需）</w:t>
      </w:r>
    </w:p>
    <w:p w14:paraId="372928A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、本计划份额参与、退出的确认及清算由管理人或其指定的份额登记机构负责。</w:t>
      </w:r>
    </w:p>
    <w:p w14:paraId="4109488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、管理人或其委托的份额登记机构应将每个开放日的参与、退出数据传送给托管人。管理人应对传递的参与、退出数据的真实性、准确性、完整性负责。托管人应及时查收参与资金的到账情况并根</w:t>
      </w:r>
      <w:r>
        <w:rPr>
          <w:rFonts w:ascii="宋体" w:eastAsia="宋体" w:hAnsi="宋体" w:cs="宋体" w:hint="eastAsia"/>
          <w:sz w:val="21"/>
          <w:szCs w:val="21"/>
        </w:rPr>
        <w:t>据管理人指令及时划付退出及转换款项。</w:t>
      </w:r>
    </w:p>
    <w:p w14:paraId="1C2FAC2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、管理人应在</w:t>
      </w:r>
      <w:r>
        <w:rPr>
          <w:rFonts w:ascii="宋体" w:eastAsia="宋体" w:hAnsi="宋体" w:cs="宋体" w:hint="eastAsia"/>
          <w:sz w:val="21"/>
          <w:szCs w:val="21"/>
        </w:rPr>
        <w:t>T</w:t>
      </w: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日前将参与净额（不包含参与费）划至托管账户。如参与净额未能如期到账，托管人应及时通知管理人采取措施进行催收，由此给计划造成损失的，由责任方承担。管理人负责向责任方追偿计划的损失。</w:t>
      </w:r>
    </w:p>
    <w:p w14:paraId="6BEAF5A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、管理人应在退出确认日后</w:t>
      </w:r>
      <w:r>
        <w:rPr>
          <w:rFonts w:ascii="宋体" w:eastAsia="宋体" w:hAnsi="宋体" w:cs="宋体" w:hint="eastAsia"/>
          <w:sz w:val="21"/>
          <w:szCs w:val="21"/>
        </w:rPr>
        <w:t>6</w:t>
      </w:r>
      <w:r>
        <w:rPr>
          <w:rFonts w:ascii="宋体" w:eastAsia="宋体" w:hAnsi="宋体" w:cs="宋体" w:hint="eastAsia"/>
          <w:sz w:val="21"/>
          <w:szCs w:val="21"/>
        </w:rPr>
        <w:t>个交易日内向托管人发送退出的划拨指令并保证托管账户预留足额资金，托管人依据划款指令在退出确认日后</w:t>
      </w:r>
      <w:r>
        <w:rPr>
          <w:rFonts w:ascii="宋体" w:eastAsia="宋体" w:hAnsi="宋体" w:cs="宋体" w:hint="eastAsia"/>
          <w:sz w:val="21"/>
          <w:szCs w:val="21"/>
        </w:rPr>
        <w:t>7</w:t>
      </w:r>
      <w:r>
        <w:rPr>
          <w:rFonts w:ascii="宋体" w:eastAsia="宋体" w:hAnsi="宋体" w:cs="宋体" w:hint="eastAsia"/>
          <w:sz w:val="21"/>
          <w:szCs w:val="21"/>
        </w:rPr>
        <w:t>个交易日（包含退出产生的应付费用）内划至管理人指定账户。涉及代销机构退出资金的交收，管理人应在与代销机构约定的退出资金</w:t>
      </w:r>
      <w:proofErr w:type="gramStart"/>
      <w:r>
        <w:rPr>
          <w:rFonts w:ascii="宋体" w:eastAsia="宋体" w:hAnsi="宋体" w:cs="宋体" w:hint="eastAsia"/>
          <w:sz w:val="21"/>
          <w:szCs w:val="21"/>
        </w:rPr>
        <w:t>交收日之前</w:t>
      </w:r>
      <w:proofErr w:type="gramEnd"/>
      <w:r>
        <w:rPr>
          <w:rFonts w:ascii="宋体" w:eastAsia="宋体" w:hAnsi="宋体" w:cs="宋体" w:hint="eastAsia"/>
          <w:sz w:val="21"/>
          <w:szCs w:val="21"/>
        </w:rPr>
        <w:t>向托管人发送退出的划</w:t>
      </w:r>
      <w:r>
        <w:rPr>
          <w:rFonts w:ascii="宋体" w:eastAsia="宋体" w:hAnsi="宋体" w:cs="宋体" w:hint="eastAsia"/>
          <w:sz w:val="21"/>
          <w:szCs w:val="21"/>
        </w:rPr>
        <w:t>拨指令并保证托管账户预留足额资金，若管理人无法在与代销机构约定的退出资金</w:t>
      </w:r>
      <w:proofErr w:type="gramStart"/>
      <w:r>
        <w:rPr>
          <w:rFonts w:ascii="宋体" w:eastAsia="宋体" w:hAnsi="宋体" w:cs="宋体" w:hint="eastAsia"/>
          <w:sz w:val="21"/>
          <w:szCs w:val="21"/>
        </w:rPr>
        <w:t>交收日完成</w:t>
      </w:r>
      <w:proofErr w:type="gramEnd"/>
      <w:r>
        <w:rPr>
          <w:rFonts w:ascii="宋体" w:eastAsia="宋体" w:hAnsi="宋体" w:cs="宋体" w:hint="eastAsia"/>
          <w:sz w:val="21"/>
          <w:szCs w:val="21"/>
        </w:rPr>
        <w:t>资金交收而引起代销机构相关损失，由管理人承担。若退出金额未能如期划拨，由此造成的损失，由责任方承担，管理人负责向责任方追偿计划的损失。</w:t>
      </w:r>
    </w:p>
    <w:p w14:paraId="2FDE0F8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（五）选择期货经纪机构及期货投资资金清算安排（如有）</w:t>
      </w:r>
    </w:p>
    <w:p w14:paraId="7507B457"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管理计划投资于期货前，资产管理人负责选择为</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管理计划提供期货交易服务的期货经纪公司，并与其签订期货经纪合同。资产管理人、资产托管人和期货公司等可就资产管理计划参与股指期货</w:t>
      </w:r>
      <w:r>
        <w:rPr>
          <w:rFonts w:ascii="宋体" w:eastAsia="宋体" w:hAnsi="宋体" w:cs="宋体" w:hint="eastAsia"/>
          <w:sz w:val="21"/>
          <w:szCs w:val="21"/>
        </w:rPr>
        <w:lastRenderedPageBreak/>
        <w:t>交易的具体事项另行签订协议。</w:t>
      </w:r>
    </w:p>
    <w:p w14:paraId="439E742D"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管理计划投资于期货发生的</w:t>
      </w:r>
      <w:r>
        <w:rPr>
          <w:rFonts w:ascii="宋体" w:eastAsia="宋体" w:hAnsi="宋体" w:cs="宋体" w:hint="eastAsia"/>
          <w:sz w:val="21"/>
          <w:szCs w:val="21"/>
        </w:rPr>
        <w:t>资金交割清算由资产管理人选定的期货经纪公司负责办理，对由于期货交易所期货保证金制度和清算交割的需要而存放在期货经纪公司的资金保管职责由期货经纪公司承担，资产管理人应在期货经纪协议或其他协议中约定由选定的期货经纪公司承担资金安全保管责任。</w:t>
      </w:r>
      <w:bookmarkEnd w:id="50"/>
      <w:bookmarkEnd w:id="51"/>
      <w:bookmarkEnd w:id="52"/>
      <w:bookmarkEnd w:id="53"/>
    </w:p>
    <w:p w14:paraId="30DBC4E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（六）交易数据发送和接收</w:t>
      </w:r>
    </w:p>
    <w:p w14:paraId="7A1CC01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、管理人按与托管人协商确定的方式（</w:t>
      </w:r>
      <w:proofErr w:type="gramStart"/>
      <w:r>
        <w:rPr>
          <w:rFonts w:ascii="宋体" w:eastAsia="宋体" w:hAnsi="宋体" w:cs="宋体" w:hint="eastAsia"/>
          <w:sz w:val="21"/>
          <w:szCs w:val="21"/>
        </w:rPr>
        <w:t>深证通或</w:t>
      </w:r>
      <w:proofErr w:type="gramEnd"/>
      <w:r>
        <w:rPr>
          <w:rFonts w:ascii="宋体" w:eastAsia="宋体" w:hAnsi="宋体" w:cs="宋体" w:hint="eastAsia"/>
          <w:sz w:val="21"/>
          <w:szCs w:val="21"/>
        </w:rPr>
        <w:t>FTP</w:t>
      </w:r>
      <w:r>
        <w:rPr>
          <w:rFonts w:ascii="宋体" w:eastAsia="宋体" w:hAnsi="宋体" w:cs="宋体" w:hint="eastAsia"/>
          <w:sz w:val="21"/>
          <w:szCs w:val="21"/>
        </w:rPr>
        <w:t>，或其他双方认可的方式）向托管人传送中登的登记及结算数据、交易所的交易清算数据，管理人保证提供给托管人的委托资产交易单元上的交易数据的准确性、完整性、真实性，如数据不准确或不完整或不真实，由管理人承</w:t>
      </w:r>
      <w:r>
        <w:rPr>
          <w:rFonts w:ascii="宋体" w:eastAsia="宋体" w:hAnsi="宋体" w:cs="宋体" w:hint="eastAsia"/>
          <w:sz w:val="21"/>
          <w:szCs w:val="21"/>
        </w:rPr>
        <w:t>担全部责任，但因证券交易所、中登及管理人无法控制的其他原因造成数据传输错误或不及时的除外。</w:t>
      </w:r>
    </w:p>
    <w:p w14:paraId="3C02B9E1"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若数据</w:t>
      </w:r>
      <w:proofErr w:type="gramEnd"/>
      <w:r>
        <w:rPr>
          <w:rFonts w:ascii="宋体" w:eastAsia="宋体" w:hAnsi="宋体" w:cs="宋体" w:hint="eastAsia"/>
          <w:sz w:val="21"/>
          <w:szCs w:val="21"/>
        </w:rPr>
        <w:t>传送不成功，管理人应重复或以其它应急方式传送，直到托管人成功接收到数据，因管理人提供的数据错误或不及时等过失造成的委托资产损失由管理人承担责任。</w:t>
      </w:r>
    </w:p>
    <w:p w14:paraId="4FA1C02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、管理人应保证提供交易数据完整、准确和及时，所提供的数据均需按中登和交易所发布的最新数据接口规范进行填写，使托管人能够完成会计核算、估算、清算、监督职能。其中</w:t>
      </w:r>
      <w:r>
        <w:rPr>
          <w:rFonts w:ascii="宋体" w:eastAsia="宋体" w:hAnsi="宋体" w:cs="宋体" w:hint="eastAsia"/>
          <w:sz w:val="21"/>
          <w:szCs w:val="21"/>
        </w:rPr>
        <w:t>T</w:t>
      </w:r>
      <w:r>
        <w:rPr>
          <w:rFonts w:ascii="宋体" w:eastAsia="宋体" w:hAnsi="宋体" w:cs="宋体" w:hint="eastAsia"/>
          <w:sz w:val="21"/>
          <w:szCs w:val="21"/>
        </w:rPr>
        <w:t>日转发的交易数据包必须包括以下文件：</w:t>
      </w:r>
    </w:p>
    <w:p w14:paraId="0B54B89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上海数据：</w:t>
      </w:r>
      <w:proofErr w:type="spellStart"/>
      <w:r>
        <w:rPr>
          <w:rFonts w:ascii="宋体" w:eastAsia="宋体" w:hAnsi="宋体" w:cs="宋体" w:hint="eastAsia"/>
          <w:sz w:val="21"/>
          <w:szCs w:val="21"/>
        </w:rPr>
        <w:t>Gh.dbf</w:t>
      </w:r>
      <w:proofErr w:type="spellEnd"/>
      <w:r>
        <w:rPr>
          <w:rFonts w:ascii="宋体" w:eastAsia="宋体" w:hAnsi="宋体" w:cs="宋体" w:hint="eastAsia"/>
          <w:sz w:val="21"/>
          <w:szCs w:val="21"/>
        </w:rPr>
        <w:t>（过户库），</w:t>
      </w:r>
      <w:r>
        <w:rPr>
          <w:rFonts w:ascii="宋体" w:eastAsia="宋体" w:hAnsi="宋体" w:cs="宋体" w:hint="eastAsia"/>
          <w:sz w:val="21"/>
          <w:szCs w:val="21"/>
        </w:rPr>
        <w:t>Show2003.dbf</w:t>
      </w:r>
      <w:r>
        <w:rPr>
          <w:rFonts w:ascii="宋体" w:eastAsia="宋体" w:hAnsi="宋体" w:cs="宋体" w:hint="eastAsia"/>
          <w:sz w:val="21"/>
          <w:szCs w:val="21"/>
        </w:rPr>
        <w:t>（行情库）</w:t>
      </w:r>
      <w:r>
        <w:rPr>
          <w:rFonts w:ascii="宋体" w:eastAsia="宋体" w:hAnsi="宋体" w:cs="宋体" w:hint="eastAsia"/>
          <w:sz w:val="21"/>
          <w:szCs w:val="21"/>
        </w:rPr>
        <w:t>，</w:t>
      </w:r>
      <w:r>
        <w:rPr>
          <w:rFonts w:ascii="宋体" w:eastAsia="宋体" w:hAnsi="宋体" w:cs="宋体" w:hint="eastAsia"/>
          <w:sz w:val="21"/>
          <w:szCs w:val="21"/>
        </w:rPr>
        <w:t>mktdt00.txt</w:t>
      </w:r>
      <w:r>
        <w:rPr>
          <w:rFonts w:ascii="宋体" w:eastAsia="宋体" w:hAnsi="宋体" w:cs="宋体" w:hint="eastAsia"/>
          <w:sz w:val="21"/>
          <w:szCs w:val="21"/>
        </w:rPr>
        <w:t>（行情库）</w:t>
      </w:r>
      <w:r>
        <w:rPr>
          <w:rFonts w:ascii="宋体" w:eastAsia="宋体" w:hAnsi="宋体" w:cs="宋体" w:hint="eastAsia"/>
          <w:sz w:val="21"/>
          <w:szCs w:val="21"/>
        </w:rPr>
        <w:t>,</w:t>
      </w:r>
      <w:proofErr w:type="spellStart"/>
      <w:r>
        <w:rPr>
          <w:rFonts w:ascii="宋体" w:eastAsia="宋体" w:hAnsi="宋体" w:cs="宋体" w:hint="eastAsia"/>
          <w:sz w:val="21"/>
          <w:szCs w:val="21"/>
        </w:rPr>
        <w:t>ZQYE.dbf</w:t>
      </w:r>
      <w:proofErr w:type="spellEnd"/>
      <w:r>
        <w:rPr>
          <w:rFonts w:ascii="宋体" w:eastAsia="宋体" w:hAnsi="宋体" w:cs="宋体" w:hint="eastAsia"/>
          <w:sz w:val="21"/>
          <w:szCs w:val="21"/>
        </w:rPr>
        <w:t>（证券余额），</w:t>
      </w:r>
      <w:proofErr w:type="spellStart"/>
      <w:r>
        <w:rPr>
          <w:rFonts w:ascii="宋体" w:eastAsia="宋体" w:hAnsi="宋体" w:cs="宋体" w:hint="eastAsia"/>
          <w:sz w:val="21"/>
          <w:szCs w:val="21"/>
        </w:rPr>
        <w:t>tzxx.dbf</w:t>
      </w:r>
      <w:proofErr w:type="spellEnd"/>
      <w:r>
        <w:rPr>
          <w:rFonts w:ascii="宋体" w:eastAsia="宋体" w:hAnsi="宋体" w:cs="宋体" w:hint="eastAsia"/>
          <w:sz w:val="21"/>
          <w:szCs w:val="21"/>
        </w:rPr>
        <w:t>（通知信息），</w:t>
      </w:r>
      <w:proofErr w:type="spellStart"/>
      <w:r>
        <w:rPr>
          <w:rFonts w:ascii="宋体" w:eastAsia="宋体" w:hAnsi="宋体" w:cs="宋体" w:hint="eastAsia"/>
          <w:sz w:val="21"/>
          <w:szCs w:val="21"/>
        </w:rPr>
        <w:t>bjgdyh.dbf</w:t>
      </w:r>
      <w:proofErr w:type="spellEnd"/>
      <w:r>
        <w:rPr>
          <w:rFonts w:ascii="宋体" w:eastAsia="宋体" w:hAnsi="宋体" w:cs="宋体" w:hint="eastAsia"/>
          <w:sz w:val="21"/>
          <w:szCs w:val="21"/>
        </w:rPr>
        <w:t>(</w:t>
      </w:r>
      <w:r>
        <w:rPr>
          <w:rFonts w:ascii="宋体" w:eastAsia="宋体" w:hAnsi="宋体" w:cs="宋体" w:hint="eastAsia"/>
          <w:sz w:val="21"/>
          <w:szCs w:val="21"/>
        </w:rPr>
        <w:t>上海固定收益平台数据</w:t>
      </w:r>
      <w:r>
        <w:rPr>
          <w:rFonts w:ascii="宋体" w:eastAsia="宋体" w:hAnsi="宋体" w:cs="宋体" w:hint="eastAsia"/>
          <w:sz w:val="21"/>
          <w:szCs w:val="21"/>
        </w:rPr>
        <w:t>)</w:t>
      </w:r>
      <w:r>
        <w:rPr>
          <w:rFonts w:ascii="宋体" w:eastAsia="宋体" w:hAnsi="宋体" w:cs="宋体" w:hint="eastAsia"/>
          <w:sz w:val="21"/>
          <w:szCs w:val="21"/>
        </w:rPr>
        <w:t>，</w:t>
      </w:r>
      <w:proofErr w:type="spellStart"/>
      <w:r>
        <w:rPr>
          <w:rFonts w:ascii="宋体" w:eastAsia="宋体" w:hAnsi="宋体" w:cs="宋体" w:hint="eastAsia"/>
          <w:sz w:val="21"/>
          <w:szCs w:val="21"/>
        </w:rPr>
        <w:t>dgh.dbf</w:t>
      </w:r>
      <w:proofErr w:type="spellEnd"/>
      <w:r>
        <w:rPr>
          <w:rFonts w:ascii="宋体" w:eastAsia="宋体" w:hAnsi="宋体" w:cs="宋体" w:hint="eastAsia"/>
          <w:sz w:val="21"/>
          <w:szCs w:val="21"/>
        </w:rPr>
        <w:t>(</w:t>
      </w:r>
      <w:r>
        <w:rPr>
          <w:rFonts w:ascii="宋体" w:eastAsia="宋体" w:hAnsi="宋体" w:cs="宋体" w:hint="eastAsia"/>
          <w:sz w:val="21"/>
          <w:szCs w:val="21"/>
        </w:rPr>
        <w:t>如发生大宗交易时</w:t>
      </w:r>
      <w:r>
        <w:rPr>
          <w:rFonts w:ascii="宋体" w:eastAsia="宋体" w:hAnsi="宋体" w:cs="宋体" w:hint="eastAsia"/>
          <w:sz w:val="21"/>
          <w:szCs w:val="21"/>
        </w:rPr>
        <w:t>)</w:t>
      </w:r>
    </w:p>
    <w:p w14:paraId="4C39287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中登数据：</w:t>
      </w:r>
      <w:proofErr w:type="spellStart"/>
      <w:r>
        <w:rPr>
          <w:rFonts w:ascii="宋体" w:eastAsia="宋体" w:hAnsi="宋体" w:cs="宋体" w:hint="eastAsia"/>
          <w:sz w:val="21"/>
          <w:szCs w:val="21"/>
        </w:rPr>
        <w:t>zqbd.dbf</w:t>
      </w:r>
      <w:proofErr w:type="spellEnd"/>
      <w:r>
        <w:rPr>
          <w:rFonts w:ascii="宋体" w:eastAsia="宋体" w:hAnsi="宋体" w:cs="宋体" w:hint="eastAsia"/>
          <w:sz w:val="21"/>
          <w:szCs w:val="21"/>
        </w:rPr>
        <w:t>（证券变动库），</w:t>
      </w:r>
      <w:proofErr w:type="spellStart"/>
      <w:r>
        <w:rPr>
          <w:rFonts w:ascii="宋体" w:eastAsia="宋体" w:hAnsi="宋体" w:cs="宋体" w:hint="eastAsia"/>
          <w:sz w:val="21"/>
          <w:szCs w:val="21"/>
        </w:rPr>
        <w:t>jsmx.dbf</w:t>
      </w:r>
      <w:proofErr w:type="spellEnd"/>
      <w:r>
        <w:rPr>
          <w:rFonts w:ascii="宋体" w:eastAsia="宋体" w:hAnsi="宋体" w:cs="宋体" w:hint="eastAsia"/>
          <w:sz w:val="21"/>
          <w:szCs w:val="21"/>
        </w:rPr>
        <w:t>（结算明细库），</w:t>
      </w:r>
      <w:proofErr w:type="spellStart"/>
      <w:r>
        <w:rPr>
          <w:rFonts w:ascii="宋体" w:eastAsia="宋体" w:hAnsi="宋体" w:cs="宋体" w:hint="eastAsia"/>
          <w:sz w:val="21"/>
          <w:szCs w:val="21"/>
        </w:rPr>
        <w:t>zqjsxx.dbf</w:t>
      </w:r>
      <w:proofErr w:type="spellEnd"/>
      <w:r>
        <w:rPr>
          <w:rFonts w:ascii="宋体" w:eastAsia="宋体" w:hAnsi="宋体" w:cs="宋体" w:hint="eastAsia"/>
          <w:sz w:val="21"/>
          <w:szCs w:val="21"/>
        </w:rPr>
        <w:t>（证券结算信息）。</w:t>
      </w:r>
    </w:p>
    <w:p w14:paraId="47D2CB0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深圳数据：</w:t>
      </w:r>
      <w:r>
        <w:rPr>
          <w:rFonts w:ascii="宋体" w:eastAsia="宋体" w:hAnsi="宋体" w:cs="宋体" w:hint="eastAsia"/>
          <w:sz w:val="21"/>
          <w:szCs w:val="21"/>
        </w:rPr>
        <w:t>SJSMX1(</w:t>
      </w:r>
      <w:r>
        <w:rPr>
          <w:rFonts w:ascii="宋体" w:eastAsia="宋体" w:hAnsi="宋体" w:cs="宋体" w:hint="eastAsia"/>
          <w:sz w:val="21"/>
          <w:szCs w:val="21"/>
        </w:rPr>
        <w:t>深交所明细库</w:t>
      </w:r>
      <w:r>
        <w:rPr>
          <w:rFonts w:ascii="宋体" w:eastAsia="宋体" w:hAnsi="宋体" w:cs="宋体" w:hint="eastAsia"/>
          <w:sz w:val="21"/>
          <w:szCs w:val="21"/>
        </w:rPr>
        <w:t>1)</w:t>
      </w:r>
      <w:r>
        <w:rPr>
          <w:rFonts w:ascii="宋体" w:eastAsia="宋体" w:hAnsi="宋体" w:cs="宋体" w:hint="eastAsia"/>
          <w:sz w:val="21"/>
          <w:szCs w:val="21"/>
        </w:rPr>
        <w:t>，</w:t>
      </w:r>
      <w:r>
        <w:rPr>
          <w:rFonts w:ascii="宋体" w:eastAsia="宋体" w:hAnsi="宋体" w:cs="宋体" w:hint="eastAsia"/>
          <w:sz w:val="21"/>
          <w:szCs w:val="21"/>
        </w:rPr>
        <w:t>SJSMX2</w:t>
      </w:r>
      <w:r>
        <w:rPr>
          <w:rFonts w:ascii="宋体" w:eastAsia="宋体" w:hAnsi="宋体" w:cs="宋体" w:hint="eastAsia"/>
          <w:sz w:val="21"/>
          <w:szCs w:val="21"/>
        </w:rPr>
        <w:t>（深交所明细库</w:t>
      </w:r>
      <w:r>
        <w:rPr>
          <w:rFonts w:ascii="宋体" w:eastAsia="宋体" w:hAnsi="宋体" w:cs="宋体" w:hint="eastAsia"/>
          <w:sz w:val="21"/>
          <w:szCs w:val="21"/>
        </w:rPr>
        <w:t>2</w:t>
      </w:r>
      <w:r>
        <w:rPr>
          <w:rFonts w:ascii="宋体" w:eastAsia="宋体" w:hAnsi="宋体" w:cs="宋体" w:hint="eastAsia"/>
          <w:sz w:val="21"/>
          <w:szCs w:val="21"/>
        </w:rPr>
        <w:t>），</w:t>
      </w:r>
      <w:r>
        <w:rPr>
          <w:rFonts w:ascii="宋体" w:eastAsia="宋体" w:hAnsi="宋体" w:cs="宋体" w:hint="eastAsia"/>
          <w:sz w:val="21"/>
          <w:szCs w:val="21"/>
        </w:rPr>
        <w:t>SJSQS</w:t>
      </w:r>
      <w:r>
        <w:rPr>
          <w:rFonts w:ascii="宋体" w:eastAsia="宋体" w:hAnsi="宋体" w:cs="宋体" w:hint="eastAsia"/>
          <w:sz w:val="21"/>
          <w:szCs w:val="21"/>
        </w:rPr>
        <w:t>（深交所清算库），</w:t>
      </w:r>
      <w:r>
        <w:rPr>
          <w:rFonts w:ascii="宋体" w:eastAsia="宋体" w:hAnsi="宋体" w:cs="宋体" w:hint="eastAsia"/>
          <w:sz w:val="21"/>
          <w:szCs w:val="21"/>
        </w:rPr>
        <w:t>SJSGB</w:t>
      </w:r>
      <w:r>
        <w:rPr>
          <w:rFonts w:ascii="宋体" w:eastAsia="宋体" w:hAnsi="宋体" w:cs="宋体" w:hint="eastAsia"/>
          <w:sz w:val="21"/>
          <w:szCs w:val="21"/>
        </w:rPr>
        <w:t>（深交所广播库）</w:t>
      </w:r>
      <w:r>
        <w:rPr>
          <w:rFonts w:ascii="宋体" w:eastAsia="宋体" w:hAnsi="宋体" w:cs="宋体" w:hint="eastAsia"/>
          <w:sz w:val="21"/>
          <w:szCs w:val="21"/>
        </w:rPr>
        <w:t>,SJSJG</w:t>
      </w:r>
      <w:r>
        <w:rPr>
          <w:rFonts w:ascii="宋体" w:eastAsia="宋体" w:hAnsi="宋体" w:cs="宋体" w:hint="eastAsia"/>
          <w:sz w:val="21"/>
          <w:szCs w:val="21"/>
        </w:rPr>
        <w:t>（深交所结果库），</w:t>
      </w:r>
      <w:proofErr w:type="spellStart"/>
      <w:r>
        <w:rPr>
          <w:rFonts w:ascii="宋体" w:eastAsia="宋体" w:hAnsi="宋体" w:cs="宋体" w:hint="eastAsia"/>
          <w:sz w:val="21"/>
          <w:szCs w:val="21"/>
        </w:rPr>
        <w:t>cashsecurityclosemd</w:t>
      </w:r>
      <w:proofErr w:type="spellEnd"/>
      <w:r>
        <w:rPr>
          <w:rFonts w:ascii="宋体" w:eastAsia="宋体" w:hAnsi="宋体" w:cs="宋体" w:hint="eastAsia"/>
          <w:sz w:val="21"/>
          <w:szCs w:val="21"/>
        </w:rPr>
        <w:t>（行情库），</w:t>
      </w:r>
      <w:proofErr w:type="spellStart"/>
      <w:r>
        <w:rPr>
          <w:rFonts w:ascii="宋体" w:eastAsia="宋体" w:hAnsi="宋体" w:cs="宋体" w:hint="eastAsia"/>
          <w:sz w:val="21"/>
          <w:szCs w:val="21"/>
        </w:rPr>
        <w:t>Sjsdz.</w:t>
      </w:r>
      <w:r>
        <w:rPr>
          <w:rFonts w:ascii="宋体" w:eastAsia="宋体" w:hAnsi="宋体" w:cs="宋体" w:hint="eastAsia"/>
          <w:sz w:val="21"/>
          <w:szCs w:val="21"/>
        </w:rPr>
        <w:t>dbf</w:t>
      </w:r>
      <w:proofErr w:type="spellEnd"/>
      <w:r>
        <w:rPr>
          <w:rFonts w:ascii="宋体" w:eastAsia="宋体" w:hAnsi="宋体" w:cs="宋体" w:hint="eastAsia"/>
          <w:sz w:val="21"/>
          <w:szCs w:val="21"/>
        </w:rPr>
        <w:t>（深交所对账库），</w:t>
      </w:r>
      <w:proofErr w:type="spellStart"/>
      <w:r>
        <w:rPr>
          <w:rFonts w:ascii="宋体" w:eastAsia="宋体" w:hAnsi="宋体" w:cs="宋体" w:hint="eastAsia"/>
          <w:sz w:val="21"/>
          <w:szCs w:val="21"/>
        </w:rPr>
        <w:t>Sjsxx.dbf</w:t>
      </w:r>
      <w:proofErr w:type="spellEnd"/>
      <w:r>
        <w:rPr>
          <w:rFonts w:ascii="宋体" w:eastAsia="宋体" w:hAnsi="宋体" w:cs="宋体" w:hint="eastAsia"/>
          <w:sz w:val="21"/>
          <w:szCs w:val="21"/>
        </w:rPr>
        <w:t>（深交所信息），</w:t>
      </w:r>
      <w:proofErr w:type="spellStart"/>
      <w:r>
        <w:rPr>
          <w:rFonts w:ascii="宋体" w:eastAsia="宋体" w:hAnsi="宋体" w:cs="宋体" w:hint="eastAsia"/>
          <w:sz w:val="21"/>
          <w:szCs w:val="21"/>
        </w:rPr>
        <w:t>Sjsfx.dbf</w:t>
      </w:r>
      <w:proofErr w:type="spellEnd"/>
      <w:r>
        <w:rPr>
          <w:rFonts w:ascii="宋体" w:eastAsia="宋体" w:hAnsi="宋体" w:cs="宋体" w:hint="eastAsia"/>
          <w:sz w:val="21"/>
          <w:szCs w:val="21"/>
        </w:rPr>
        <w:t>（深交所发行）</w:t>
      </w:r>
      <w:r>
        <w:rPr>
          <w:rFonts w:ascii="宋体" w:eastAsia="宋体" w:hAnsi="宋体" w:cs="宋体" w:hint="eastAsia"/>
          <w:sz w:val="21"/>
          <w:szCs w:val="21"/>
        </w:rPr>
        <w:t xml:space="preserve">, </w:t>
      </w:r>
      <w:proofErr w:type="spellStart"/>
      <w:r>
        <w:rPr>
          <w:rFonts w:ascii="宋体" w:eastAsia="宋体" w:hAnsi="宋体" w:cs="宋体" w:hint="eastAsia"/>
          <w:sz w:val="21"/>
          <w:szCs w:val="21"/>
        </w:rPr>
        <w:t>sjsfw.dbf</w:t>
      </w:r>
      <w:proofErr w:type="spellEnd"/>
      <w:r>
        <w:rPr>
          <w:rFonts w:ascii="宋体" w:eastAsia="宋体" w:hAnsi="宋体" w:cs="宋体" w:hint="eastAsia"/>
          <w:sz w:val="21"/>
          <w:szCs w:val="21"/>
        </w:rPr>
        <w:t>（深圳综合数据服务库）。</w:t>
      </w:r>
    </w:p>
    <w:p w14:paraId="7CC49FC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以上数据仅限于与委托资产证券</w:t>
      </w:r>
      <w:proofErr w:type="gramStart"/>
      <w:r>
        <w:rPr>
          <w:rFonts w:ascii="宋体" w:eastAsia="宋体" w:hAnsi="宋体" w:cs="宋体" w:hint="eastAsia"/>
          <w:sz w:val="21"/>
          <w:szCs w:val="21"/>
        </w:rPr>
        <w:t>资金台账所</w:t>
      </w:r>
      <w:proofErr w:type="gramEnd"/>
      <w:r>
        <w:rPr>
          <w:rFonts w:ascii="宋体" w:eastAsia="宋体" w:hAnsi="宋体" w:cs="宋体" w:hint="eastAsia"/>
          <w:sz w:val="21"/>
          <w:szCs w:val="21"/>
        </w:rPr>
        <w:t>对应的数据。</w:t>
      </w:r>
    </w:p>
    <w:p w14:paraId="1E33021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因本委托资产业务需要，管理人应相应增加相关数据文件。</w:t>
      </w:r>
    </w:p>
    <w:p w14:paraId="25E31F6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、管理人应于</w:t>
      </w:r>
      <w:r>
        <w:rPr>
          <w:rFonts w:ascii="宋体" w:eastAsia="宋体" w:hAnsi="宋体" w:cs="宋体" w:hint="eastAsia"/>
          <w:sz w:val="21"/>
          <w:szCs w:val="21"/>
        </w:rPr>
        <w:t>T+1</w:t>
      </w:r>
      <w:r>
        <w:rPr>
          <w:rFonts w:ascii="宋体" w:eastAsia="宋体" w:hAnsi="宋体" w:cs="宋体" w:hint="eastAsia"/>
          <w:sz w:val="21"/>
          <w:szCs w:val="21"/>
        </w:rPr>
        <w:t>日上午</w:t>
      </w:r>
      <w:r>
        <w:rPr>
          <w:rFonts w:ascii="宋体" w:eastAsia="宋体" w:hAnsi="宋体" w:cs="宋体" w:hint="eastAsia"/>
          <w:sz w:val="21"/>
          <w:szCs w:val="21"/>
        </w:rPr>
        <w:t>9:30</w:t>
      </w:r>
      <w:r>
        <w:rPr>
          <w:rFonts w:ascii="宋体" w:eastAsia="宋体" w:hAnsi="宋体" w:cs="宋体" w:hint="eastAsia"/>
          <w:sz w:val="21"/>
          <w:szCs w:val="21"/>
        </w:rPr>
        <w:t>前将</w:t>
      </w:r>
      <w:r>
        <w:rPr>
          <w:rFonts w:ascii="宋体" w:eastAsia="宋体" w:hAnsi="宋体" w:cs="宋体" w:hint="eastAsia"/>
          <w:sz w:val="21"/>
          <w:szCs w:val="21"/>
        </w:rPr>
        <w:t>T</w:t>
      </w:r>
      <w:r>
        <w:rPr>
          <w:rFonts w:ascii="宋体" w:eastAsia="宋体" w:hAnsi="宋体" w:cs="宋体" w:hint="eastAsia"/>
          <w:sz w:val="21"/>
          <w:szCs w:val="21"/>
        </w:rPr>
        <w:t>日清算后的证券</w:t>
      </w:r>
      <w:proofErr w:type="gramStart"/>
      <w:r>
        <w:rPr>
          <w:rFonts w:ascii="宋体" w:eastAsia="宋体" w:hAnsi="宋体" w:cs="宋体" w:hint="eastAsia"/>
          <w:sz w:val="21"/>
          <w:szCs w:val="21"/>
        </w:rPr>
        <w:t>资金台</w:t>
      </w:r>
      <w:proofErr w:type="gramEnd"/>
      <w:r>
        <w:rPr>
          <w:rFonts w:ascii="宋体" w:eastAsia="宋体" w:hAnsi="宋体" w:cs="宋体" w:hint="eastAsia"/>
          <w:sz w:val="21"/>
          <w:szCs w:val="21"/>
        </w:rPr>
        <w:t>账电子对账单通过传真或电子邮件发送给托管人，以便托管人进行对账。对账单内容包括委托资产</w:t>
      </w:r>
      <w:r>
        <w:rPr>
          <w:rFonts w:ascii="宋体" w:eastAsia="宋体" w:hAnsi="宋体" w:cs="宋体" w:hint="eastAsia"/>
          <w:sz w:val="21"/>
          <w:szCs w:val="21"/>
        </w:rPr>
        <w:t>T</w:t>
      </w:r>
      <w:proofErr w:type="gramStart"/>
      <w:r>
        <w:rPr>
          <w:rFonts w:ascii="宋体" w:eastAsia="宋体" w:hAnsi="宋体" w:cs="宋体" w:hint="eastAsia"/>
          <w:sz w:val="21"/>
          <w:szCs w:val="21"/>
        </w:rPr>
        <w:t>日证券</w:t>
      </w:r>
      <w:proofErr w:type="gramEnd"/>
      <w:r>
        <w:rPr>
          <w:rFonts w:ascii="宋体" w:eastAsia="宋体" w:hAnsi="宋体" w:cs="宋体" w:hint="eastAsia"/>
          <w:sz w:val="21"/>
          <w:szCs w:val="21"/>
        </w:rPr>
        <w:t>余额、资金余额、资金明细等内容。管理人应于每月结束后第一个交易日向托管人传真加盖预留印章的上月末委托资产资金余额及</w:t>
      </w:r>
      <w:r>
        <w:rPr>
          <w:rFonts w:ascii="宋体" w:eastAsia="宋体" w:hAnsi="宋体" w:cs="宋体" w:hint="eastAsia"/>
          <w:sz w:val="21"/>
          <w:szCs w:val="21"/>
        </w:rPr>
        <w:t>证券余额。</w:t>
      </w:r>
    </w:p>
    <w:p w14:paraId="15390C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、管理人应于</w:t>
      </w:r>
      <w:r>
        <w:rPr>
          <w:rFonts w:ascii="宋体" w:eastAsia="宋体" w:hAnsi="宋体" w:cs="宋体" w:hint="eastAsia"/>
          <w:sz w:val="21"/>
          <w:szCs w:val="21"/>
        </w:rPr>
        <w:t>T+1</w:t>
      </w:r>
      <w:r>
        <w:rPr>
          <w:rFonts w:ascii="宋体" w:eastAsia="宋体" w:hAnsi="宋体" w:cs="宋体" w:hint="eastAsia"/>
          <w:sz w:val="21"/>
          <w:szCs w:val="21"/>
        </w:rPr>
        <w:t>日</w:t>
      </w:r>
      <w:r>
        <w:rPr>
          <w:rFonts w:ascii="宋体" w:eastAsia="宋体" w:hAnsi="宋体" w:cs="宋体" w:hint="eastAsia"/>
          <w:sz w:val="21"/>
          <w:szCs w:val="21"/>
        </w:rPr>
        <w:t>9</w:t>
      </w:r>
      <w:r>
        <w:rPr>
          <w:rFonts w:ascii="宋体" w:eastAsia="宋体" w:hAnsi="宋体" w:cs="宋体" w:hint="eastAsia"/>
          <w:sz w:val="21"/>
          <w:szCs w:val="21"/>
        </w:rPr>
        <w:t>：</w:t>
      </w:r>
      <w:r>
        <w:rPr>
          <w:rFonts w:ascii="宋体" w:eastAsia="宋体" w:hAnsi="宋体" w:cs="宋体" w:hint="eastAsia"/>
          <w:sz w:val="21"/>
          <w:szCs w:val="21"/>
        </w:rPr>
        <w:t>15</w:t>
      </w:r>
      <w:r>
        <w:rPr>
          <w:rFonts w:ascii="宋体" w:eastAsia="宋体" w:hAnsi="宋体" w:cs="宋体" w:hint="eastAsia"/>
          <w:sz w:val="21"/>
          <w:szCs w:val="21"/>
        </w:rPr>
        <w:t>前将委托资产的</w:t>
      </w:r>
      <w:r>
        <w:rPr>
          <w:rFonts w:ascii="宋体" w:eastAsia="宋体" w:hAnsi="宋体" w:cs="宋体" w:hint="eastAsia"/>
          <w:sz w:val="21"/>
          <w:szCs w:val="21"/>
        </w:rPr>
        <w:t>T</w:t>
      </w:r>
      <w:r>
        <w:rPr>
          <w:rFonts w:ascii="宋体" w:eastAsia="宋体" w:hAnsi="宋体" w:cs="宋体" w:hint="eastAsia"/>
          <w:sz w:val="21"/>
          <w:szCs w:val="21"/>
        </w:rPr>
        <w:t>日场内交易数据发送至托管人（但因证券交易所或中登及管理人无法控制的其他原因而造成数据延迟发送的情况除外），并电话确认托管人已接收数据，如遇到特殊情况出现数据发送延迟等情况应及时通知托管人。</w:t>
      </w:r>
    </w:p>
    <w:p w14:paraId="489454E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5</w:t>
      </w:r>
      <w:r>
        <w:rPr>
          <w:rFonts w:ascii="宋体" w:eastAsia="宋体" w:hAnsi="宋体" w:cs="宋体" w:hint="eastAsia"/>
          <w:sz w:val="21"/>
          <w:szCs w:val="21"/>
        </w:rPr>
        <w:t>、管理人在</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管理合同生效后三个工作日内以书面形式向托管人、委托人告知管理人在上交所和深交所的交易单元号、交易品种的费率表、佣金收取标准等（样本见附件）。</w:t>
      </w:r>
      <w:proofErr w:type="gramStart"/>
      <w:r>
        <w:rPr>
          <w:rFonts w:ascii="宋体" w:eastAsia="宋体" w:hAnsi="宋体" w:cs="宋体" w:hint="eastAsia"/>
          <w:sz w:val="21"/>
          <w:szCs w:val="21"/>
        </w:rPr>
        <w:t>若协议</w:t>
      </w:r>
      <w:proofErr w:type="gramEnd"/>
      <w:r>
        <w:rPr>
          <w:rFonts w:ascii="宋体" w:eastAsia="宋体" w:hAnsi="宋体" w:cs="宋体" w:hint="eastAsia"/>
          <w:sz w:val="21"/>
          <w:szCs w:val="21"/>
        </w:rPr>
        <w:t>期间交易单元号变动或涉及费率变动，则管理人应在新交易单元或费率变动生效前一个工作日书面告知托管人、委托人。</w:t>
      </w:r>
    </w:p>
    <w:p w14:paraId="7D897A0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应向委托人充分揭示相关风险，委托人同意其证券账户将有可能与管理人其他客户的证券账户共同使用管理人指定的交易单元，管理人保证，委托财产不得与管理人的其他客户资产、自有资产相混同，且不被挪用。</w:t>
      </w:r>
    </w:p>
    <w:p w14:paraId="1E1C530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（七）证券交易的资金清算与交割</w:t>
      </w:r>
    </w:p>
    <w:p w14:paraId="3FA9718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、证券交易</w:t>
      </w:r>
      <w:r>
        <w:rPr>
          <w:rFonts w:ascii="宋体" w:eastAsia="宋体" w:hAnsi="宋体" w:cs="宋体" w:hint="eastAsia"/>
          <w:sz w:val="21"/>
          <w:szCs w:val="21"/>
        </w:rPr>
        <w:t>资金的清算</w:t>
      </w:r>
    </w:p>
    <w:p w14:paraId="6275474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资产管理人的划拨指令执行后，因本计划投资于证券发生的所有场内交易的清算交割，由资产管理人选择的证券营业部负责办理；场外划款由资产托管人负责办理，管理人不得对本计划证券资金账户设置每笔汇划资金上限和当日累计汇划资金上限。</w:t>
      </w:r>
    </w:p>
    <w:p w14:paraId="483C0C3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）本计划场内证券投资的清算交割，由资产管理人选择的证券营业部直接根据相关登记结算公司的结算规则办理。</w:t>
      </w:r>
    </w:p>
    <w:p w14:paraId="42AE68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、结算方式</w:t>
      </w:r>
    </w:p>
    <w:p w14:paraId="37F5CA3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支付</w:t>
      </w:r>
      <w:proofErr w:type="gramStart"/>
      <w:r>
        <w:rPr>
          <w:rFonts w:ascii="宋体" w:eastAsia="宋体" w:hAnsi="宋体" w:cs="宋体" w:hint="eastAsia"/>
          <w:sz w:val="21"/>
          <w:szCs w:val="21"/>
        </w:rPr>
        <w:t>结算按</w:t>
      </w:r>
      <w:proofErr w:type="gramEnd"/>
      <w:r>
        <w:rPr>
          <w:rFonts w:ascii="宋体" w:eastAsia="宋体" w:hAnsi="宋体" w:cs="宋体" w:hint="eastAsia"/>
          <w:sz w:val="21"/>
          <w:szCs w:val="21"/>
        </w:rPr>
        <w:t>中国人民银行、中国银保监会、中国证券登记结算有限公司的有关规定办理。</w:t>
      </w:r>
    </w:p>
    <w:p w14:paraId="6B5AB35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、资金划拨</w:t>
      </w:r>
    </w:p>
    <w:p w14:paraId="119EB58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的资金划拨指令，计划托管人在复核无误后应在规定期限内执行，不得延误。如资产管理人的资金划拨指令有违法、违规的，计划托管人应不予执行并立即书面通知资产管理人要求其变更或撤销相关指令，</w:t>
      </w:r>
      <w:proofErr w:type="gramStart"/>
      <w:r>
        <w:rPr>
          <w:rFonts w:ascii="宋体" w:eastAsia="宋体" w:hAnsi="宋体" w:cs="宋体" w:hint="eastAsia"/>
          <w:sz w:val="21"/>
          <w:szCs w:val="21"/>
        </w:rPr>
        <w:t>若资产</w:t>
      </w:r>
      <w:proofErr w:type="gramEnd"/>
      <w:r>
        <w:rPr>
          <w:rFonts w:ascii="宋体" w:eastAsia="宋体" w:hAnsi="宋体" w:cs="宋体" w:hint="eastAsia"/>
          <w:sz w:val="21"/>
          <w:szCs w:val="21"/>
        </w:rPr>
        <w:t>管理人在计划托管人发出上述通知后仍未变更或撤销相关指令，计划托管人应不予执行，并报告中国证监会。</w:t>
      </w:r>
    </w:p>
    <w:p w14:paraId="10A78478" w14:textId="77777777" w:rsidR="00694F14" w:rsidRDefault="00694F14">
      <w:pPr>
        <w:spacing w:line="360" w:lineRule="auto"/>
        <w:ind w:firstLine="480"/>
        <w:rPr>
          <w:rFonts w:ascii="宋体" w:eastAsia="宋体" w:hAnsi="宋体" w:cs="宋体"/>
          <w:sz w:val="21"/>
          <w:szCs w:val="21"/>
        </w:rPr>
      </w:pPr>
    </w:p>
    <w:p w14:paraId="0591A373" w14:textId="77777777" w:rsidR="00694F14" w:rsidRDefault="00A463B7">
      <w:pPr>
        <w:pStyle w:val="1"/>
        <w:spacing w:before="0" w:after="0" w:line="360" w:lineRule="auto"/>
        <w:jc w:val="center"/>
        <w:rPr>
          <w:rFonts w:ascii="宋体" w:eastAsia="宋体" w:hAnsi="宋体" w:cs="宋体"/>
          <w:sz w:val="21"/>
          <w:szCs w:val="21"/>
        </w:rPr>
      </w:pPr>
      <w:bookmarkStart w:id="57" w:name="_Toc70622199"/>
      <w:bookmarkStart w:id="58" w:name="_Toc194741917"/>
      <w:bookmarkStart w:id="59" w:name="_Toc401668944"/>
      <w:r>
        <w:rPr>
          <w:rFonts w:ascii="宋体" w:eastAsia="宋体" w:hAnsi="宋体" w:cs="宋体" w:hint="eastAsia"/>
          <w:sz w:val="21"/>
          <w:szCs w:val="21"/>
        </w:rPr>
        <w:t>二十、资产管理计划财产的估值和会计核算</w:t>
      </w:r>
      <w:bookmarkEnd w:id="57"/>
      <w:bookmarkEnd w:id="58"/>
      <w:bookmarkEnd w:id="59"/>
    </w:p>
    <w:p w14:paraId="3F381A9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（一）估值目的</w:t>
      </w:r>
    </w:p>
    <w:p w14:paraId="665FF17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资产管理计划财产估值目的是客观、准确地反映资产管理计划财产的价值。</w:t>
      </w:r>
    </w:p>
    <w:p w14:paraId="09BF0BF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（二）估值时间及估值程序</w:t>
      </w:r>
    </w:p>
    <w:p w14:paraId="013AE33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本计划的估值日为相关的证券交易场所的正常交易日，以及国家法律法规规定的需要进行估值的</w:t>
      </w:r>
      <w:proofErr w:type="gramStart"/>
      <w:r>
        <w:rPr>
          <w:rFonts w:ascii="宋体" w:eastAsia="宋体" w:hAnsi="宋体" w:cs="宋体" w:hint="eastAsia"/>
          <w:sz w:val="21"/>
          <w:szCs w:val="21"/>
        </w:rPr>
        <w:t>非交易</w:t>
      </w:r>
      <w:proofErr w:type="gramEnd"/>
      <w:r>
        <w:rPr>
          <w:rFonts w:ascii="宋体" w:eastAsia="宋体" w:hAnsi="宋体" w:cs="宋体" w:hint="eastAsia"/>
          <w:sz w:val="21"/>
          <w:szCs w:val="21"/>
        </w:rPr>
        <w:t>日。资产管理人与资产托管人对每个交易日的计划财产进行估值，</w:t>
      </w:r>
      <w:r>
        <w:rPr>
          <w:rFonts w:ascii="宋体" w:eastAsia="宋体" w:hAnsi="宋体" w:cs="宋体" w:hint="eastAsia"/>
          <w:sz w:val="21"/>
          <w:szCs w:val="21"/>
        </w:rPr>
        <w:t>T+1</w:t>
      </w:r>
      <w:r>
        <w:rPr>
          <w:rFonts w:ascii="宋体" w:eastAsia="宋体" w:hAnsi="宋体" w:cs="宋体" w:hint="eastAsia"/>
          <w:sz w:val="21"/>
          <w:szCs w:val="21"/>
        </w:rPr>
        <w:t>日完成</w:t>
      </w:r>
      <w:r>
        <w:rPr>
          <w:rFonts w:ascii="宋体" w:eastAsia="宋体" w:hAnsi="宋体" w:cs="宋体" w:hint="eastAsia"/>
          <w:sz w:val="21"/>
          <w:szCs w:val="21"/>
        </w:rPr>
        <w:t>T</w:t>
      </w:r>
      <w:r>
        <w:rPr>
          <w:rFonts w:ascii="宋体" w:eastAsia="宋体" w:hAnsi="宋体" w:cs="宋体" w:hint="eastAsia"/>
          <w:sz w:val="21"/>
          <w:szCs w:val="21"/>
        </w:rPr>
        <w:t>日的估值并核对。用于向资产委托人报告的资产管理计划份额净值，资产管理人应于约定的估值</w:t>
      </w:r>
      <w:proofErr w:type="gramStart"/>
      <w:r>
        <w:rPr>
          <w:rFonts w:ascii="宋体" w:eastAsia="宋体" w:hAnsi="宋体" w:cs="宋体" w:hint="eastAsia"/>
          <w:sz w:val="21"/>
          <w:szCs w:val="21"/>
        </w:rPr>
        <w:t>核对日</w:t>
      </w:r>
      <w:proofErr w:type="gramEnd"/>
      <w:r>
        <w:rPr>
          <w:rFonts w:ascii="宋体" w:eastAsia="宋体" w:hAnsi="宋体" w:cs="宋体" w:hint="eastAsia"/>
          <w:sz w:val="21"/>
          <w:szCs w:val="21"/>
        </w:rPr>
        <w:t>计算并传送给资产托管</w:t>
      </w:r>
      <w:r>
        <w:rPr>
          <w:rFonts w:ascii="宋体" w:eastAsia="宋体" w:hAnsi="宋体" w:cs="宋体" w:hint="eastAsia"/>
          <w:sz w:val="21"/>
          <w:szCs w:val="21"/>
        </w:rPr>
        <w:lastRenderedPageBreak/>
        <w:t>人。</w:t>
      </w:r>
    </w:p>
    <w:p w14:paraId="4B2C733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资产净值是指资产管理计划资产总值减去负债后的价值，资产管理计划份额净值等于计算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净值除以计算</w:t>
      </w:r>
      <w:proofErr w:type="gramStart"/>
      <w:r>
        <w:rPr>
          <w:rFonts w:ascii="宋体" w:eastAsia="宋体" w:hAnsi="宋体" w:cs="宋体" w:hint="eastAsia"/>
          <w:sz w:val="21"/>
          <w:szCs w:val="21"/>
        </w:rPr>
        <w:t>日资产</w:t>
      </w:r>
      <w:proofErr w:type="gramEnd"/>
      <w:r>
        <w:rPr>
          <w:rFonts w:ascii="宋体" w:eastAsia="宋体" w:hAnsi="宋体" w:cs="宋体" w:hint="eastAsia"/>
          <w:sz w:val="21"/>
          <w:szCs w:val="21"/>
        </w:rPr>
        <w:t>管理计划份额总额。资产管理计划份额净值的计算保留到小数点后</w:t>
      </w:r>
      <w:r>
        <w:rPr>
          <w:rFonts w:ascii="宋体" w:eastAsia="宋体" w:hAnsi="宋体" w:cs="宋体" w:hint="eastAsia"/>
          <w:sz w:val="21"/>
          <w:szCs w:val="21"/>
        </w:rPr>
        <w:t>4</w:t>
      </w:r>
      <w:r>
        <w:rPr>
          <w:rFonts w:ascii="宋体" w:eastAsia="宋体" w:hAnsi="宋体" w:cs="宋体" w:hint="eastAsia"/>
          <w:sz w:val="21"/>
          <w:szCs w:val="21"/>
        </w:rPr>
        <w:t>位，小数点后第</w:t>
      </w:r>
      <w:r>
        <w:rPr>
          <w:rFonts w:ascii="宋体" w:eastAsia="宋体" w:hAnsi="宋体" w:cs="宋体" w:hint="eastAsia"/>
          <w:sz w:val="21"/>
          <w:szCs w:val="21"/>
        </w:rPr>
        <w:t>5</w:t>
      </w:r>
      <w:r>
        <w:rPr>
          <w:rFonts w:ascii="宋体" w:eastAsia="宋体" w:hAnsi="宋体" w:cs="宋体" w:hint="eastAsia"/>
          <w:sz w:val="21"/>
          <w:szCs w:val="21"/>
        </w:rPr>
        <w:t>位四舍五入。</w:t>
      </w:r>
    </w:p>
    <w:p w14:paraId="034C55C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（三）估值依据</w:t>
      </w:r>
    </w:p>
    <w:p w14:paraId="228387F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估值应符合本合同、《证券投资基金会计核算业务指引》证监会计字</w:t>
      </w:r>
      <w:r>
        <w:rPr>
          <w:rFonts w:ascii="宋体" w:eastAsia="宋体" w:hAnsi="宋体" w:cs="宋体" w:hint="eastAsia"/>
          <w:sz w:val="21"/>
          <w:szCs w:val="21"/>
        </w:rPr>
        <w:t>[2007]21</w:t>
      </w:r>
      <w:r>
        <w:rPr>
          <w:rFonts w:ascii="宋体" w:eastAsia="宋体" w:hAnsi="宋体" w:cs="宋体" w:hint="eastAsia"/>
          <w:sz w:val="21"/>
          <w:szCs w:val="21"/>
        </w:rPr>
        <w:t>号《关于证券投资基金执行</w:t>
      </w:r>
      <w:r>
        <w:rPr>
          <w:rFonts w:ascii="宋体" w:eastAsia="宋体" w:hAnsi="宋体" w:cs="宋体" w:hint="eastAsia"/>
          <w:sz w:val="21"/>
          <w:szCs w:val="21"/>
        </w:rPr>
        <w:t>&lt;</w:t>
      </w:r>
      <w:r>
        <w:rPr>
          <w:rFonts w:ascii="宋体" w:eastAsia="宋体" w:hAnsi="宋体" w:cs="宋体" w:hint="eastAsia"/>
          <w:sz w:val="21"/>
          <w:szCs w:val="21"/>
        </w:rPr>
        <w:t>企业会计准则</w:t>
      </w:r>
      <w:r>
        <w:rPr>
          <w:rFonts w:ascii="宋体" w:eastAsia="宋体" w:hAnsi="宋体" w:cs="宋体" w:hint="eastAsia"/>
          <w:sz w:val="21"/>
          <w:szCs w:val="21"/>
        </w:rPr>
        <w:t>&gt;</w:t>
      </w:r>
      <w:r>
        <w:rPr>
          <w:rFonts w:ascii="宋体" w:eastAsia="宋体" w:hAnsi="宋体" w:cs="宋体" w:hint="eastAsia"/>
          <w:sz w:val="21"/>
          <w:szCs w:val="21"/>
        </w:rPr>
        <w:t>估值业务及份额净值计价有关事项的通知》、中国证监会</w:t>
      </w:r>
      <w:r>
        <w:rPr>
          <w:rFonts w:ascii="宋体" w:eastAsia="宋体" w:hAnsi="宋体" w:cs="宋体" w:hint="eastAsia"/>
          <w:sz w:val="21"/>
          <w:szCs w:val="21"/>
        </w:rPr>
        <w:t>[2008]38</w:t>
      </w:r>
      <w:r>
        <w:rPr>
          <w:rFonts w:ascii="宋体" w:eastAsia="宋体" w:hAnsi="宋体" w:cs="宋体" w:hint="eastAsia"/>
          <w:sz w:val="21"/>
          <w:szCs w:val="21"/>
        </w:rPr>
        <w:t>号公告《关于进一步规范证券投资基金估值业务的指导意见》及其他法律、法规的规定，如法律法规未做明确规定的，参照证券投资基金的行业通行做法处理。资产管理人、资产托管人的估值数据应依据合法的数据来源独立取得。对于固定收益类投资品种的估值应依据中国证券业协会基金估值工作小组的指导意见及指导价格估值。估值的基本原则：</w:t>
      </w:r>
    </w:p>
    <w:p w14:paraId="2B03CBF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）对存在活跃市</w:t>
      </w:r>
      <w:r>
        <w:rPr>
          <w:rFonts w:ascii="宋体" w:eastAsia="宋体" w:hAnsi="宋体" w:cs="宋体" w:hint="eastAsia"/>
          <w:sz w:val="21"/>
          <w:szCs w:val="21"/>
        </w:rPr>
        <w:t>场的投资品种，如估值日有市价的，应采用市价确定公允价值。估值日无市价，但最近交易日后经济环境未发生重大变化且证券发行机构未发生影响证券价格的重大事件的，应采用最近交易市价确定公允价值。如估值日无市价，且最近交易日后经济环境发生了重大变化且证券发行机构发生了影响证券价格的重大事件的，应参考类似投资品种的现行市价及重大变化因素，调整最近交易市价，确定公允价值。有充足证据表明最近交易市价不能真实反映公允价值的，应对最近交易的市价进行调整，确定公允价值。</w:t>
      </w:r>
    </w:p>
    <w:p w14:paraId="4BB4031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）对不存在活跃市场的投资品种，应采用市场参与者普遍认同，</w:t>
      </w:r>
      <w:r>
        <w:rPr>
          <w:rFonts w:ascii="宋体" w:eastAsia="宋体" w:hAnsi="宋体" w:cs="宋体" w:hint="eastAsia"/>
          <w:sz w:val="21"/>
          <w:szCs w:val="21"/>
        </w:rPr>
        <w:t>且被以往市场实际交易价格验证具有可靠性的估值技术确定公允价值。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14:paraId="53E8679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）有充足理由表明按以上估值原则仍不能客观反映相关投资品种的公允价值的，资产管理人应根据具体情况与托管人进行商定，按最能恰当反映公允价值的价格估值。</w:t>
      </w:r>
    </w:p>
    <w:p w14:paraId="15DA256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（四）估值对象</w:t>
      </w:r>
    </w:p>
    <w:p w14:paraId="6CDABB2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资产管理计划所拥有的金融资产及负债。</w:t>
      </w:r>
    </w:p>
    <w:p w14:paraId="1E4BEC3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（五）估值方法</w:t>
      </w:r>
    </w:p>
    <w:p w14:paraId="61B0DFD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本计划按以下方式进行估值：</w:t>
      </w:r>
    </w:p>
    <w:p w14:paraId="5988960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、证券交易所上市的有价证券的估值</w:t>
      </w:r>
    </w:p>
    <w:p w14:paraId="67F11AC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1</w:t>
      </w:r>
      <w:r>
        <w:rPr>
          <w:rFonts w:ascii="宋体" w:eastAsia="宋体" w:hAnsi="宋体" w:cs="宋体" w:hint="eastAsia"/>
          <w:sz w:val="21"/>
          <w:szCs w:val="21"/>
        </w:rPr>
        <w:t>）交易所上市的有价证券（包括股票等），以其估值日在证券交易所挂牌的市价（收盘价）估值；估值日无交易的，且最近交易日后经济环境未发生重大变化，以最近交易日的市价（收盘价）估值；如最近交易日后经济环境发生了重大变化的，可参考类似投资品种的现行市价及重大变化因素，调整最近交易市价，确定公允价格。</w:t>
      </w:r>
    </w:p>
    <w:p w14:paraId="279C5A7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）交易所上市交易或挂牌转让的固定收益品种（合同另有约定的除外），选取估值日第三方估值机构提供的相应品种对应的估值净价估值。</w:t>
      </w:r>
    </w:p>
    <w:p w14:paraId="344881B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）交易所上市可转换债券按估值日收盘价减去债券收盘价中所含的债券应收利息得到的净价进行</w:t>
      </w:r>
      <w:r>
        <w:rPr>
          <w:rFonts w:ascii="宋体" w:eastAsia="宋体" w:hAnsi="宋体" w:cs="宋体" w:hint="eastAsia"/>
          <w:sz w:val="21"/>
          <w:szCs w:val="21"/>
        </w:rPr>
        <w:t>估值；估值日没有交易的，且最近交易日后经济环境未发生重大变化，按最近交易日债券收盘价减去债券收盘价中所含截止最近交易日的债券应收利息得到的净价进行估值。如最近交易日后经济环境发生了重大变化的，可参考类似投资品种的现行市价及重大变化因素，调整最近交易市价，确定公允价格。</w:t>
      </w:r>
    </w:p>
    <w:p w14:paraId="5CA44F0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）交易所上市的资产支持证券、私募可交换债等非公开发行债券，采用估值技术确定公允价值。</w:t>
      </w:r>
    </w:p>
    <w:p w14:paraId="267960D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、处于未上市期间的有价证券应区分如下情况处理：</w:t>
      </w:r>
    </w:p>
    <w:p w14:paraId="1984FE0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）送股、转增股、配股和公开增发的新股（下列有明确锁定或在发行时明确限售期的股票除外），按估值日在证</w:t>
      </w:r>
      <w:r>
        <w:rPr>
          <w:rFonts w:ascii="宋体" w:eastAsia="宋体" w:hAnsi="宋体" w:cs="宋体" w:hint="eastAsia"/>
          <w:sz w:val="21"/>
          <w:szCs w:val="21"/>
        </w:rPr>
        <w:t>券交易所挂牌的同一股票的市价（收盘价）估值；该日无交易的，以最近一日的市价（收盘价）估值。</w:t>
      </w:r>
    </w:p>
    <w:p w14:paraId="1E116DC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）首次公开发行未上市的股票、债券，采用估值技术确定公允价值。</w:t>
      </w:r>
    </w:p>
    <w:p w14:paraId="1DACC64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）有明确锁定期或在发行时明确限售期的股票（不包括全国中小企业股份转让系统的股票），在获取确定的锁定期</w:t>
      </w:r>
      <w:r>
        <w:rPr>
          <w:rFonts w:ascii="宋体" w:eastAsia="宋体" w:hAnsi="宋体" w:cs="宋体" w:hint="eastAsia"/>
          <w:sz w:val="21"/>
          <w:szCs w:val="21"/>
        </w:rPr>
        <w:t>/</w:t>
      </w:r>
      <w:r>
        <w:rPr>
          <w:rFonts w:ascii="宋体" w:eastAsia="宋体" w:hAnsi="宋体" w:cs="宋体" w:hint="eastAsia"/>
          <w:sz w:val="21"/>
          <w:szCs w:val="21"/>
        </w:rPr>
        <w:t>限售期</w:t>
      </w:r>
      <w:proofErr w:type="gramStart"/>
      <w:r>
        <w:rPr>
          <w:rFonts w:ascii="宋体" w:eastAsia="宋体" w:hAnsi="宋体" w:cs="宋体" w:hint="eastAsia"/>
          <w:sz w:val="21"/>
          <w:szCs w:val="21"/>
        </w:rPr>
        <w:t>起始日前</w:t>
      </w:r>
      <w:proofErr w:type="gramEnd"/>
      <w:r>
        <w:rPr>
          <w:rFonts w:ascii="宋体" w:eastAsia="宋体" w:hAnsi="宋体" w:cs="宋体" w:hint="eastAsia"/>
          <w:sz w:val="21"/>
          <w:szCs w:val="21"/>
        </w:rPr>
        <w:t>以证券交易所挂牌的同一股票的市价（收盘价）估值；该日无交易的，以最近一日的市价（收盘价）估值，无市价（收盘价）的，采用估值技术确定公允价值；如股票发行公告等公开信息无法获取锁定期</w:t>
      </w:r>
      <w:r>
        <w:rPr>
          <w:rFonts w:ascii="宋体" w:eastAsia="宋体" w:hAnsi="宋体" w:cs="宋体" w:hint="eastAsia"/>
          <w:sz w:val="21"/>
          <w:szCs w:val="21"/>
        </w:rPr>
        <w:t>/</w:t>
      </w:r>
      <w:r>
        <w:rPr>
          <w:rFonts w:ascii="宋体" w:eastAsia="宋体" w:hAnsi="宋体" w:cs="宋体" w:hint="eastAsia"/>
          <w:sz w:val="21"/>
          <w:szCs w:val="21"/>
        </w:rPr>
        <w:t>限售期，管理人应当及时通知托管</w:t>
      </w:r>
      <w:proofErr w:type="gramStart"/>
      <w:r>
        <w:rPr>
          <w:rFonts w:ascii="宋体" w:eastAsia="宋体" w:hAnsi="宋体" w:cs="宋体" w:hint="eastAsia"/>
          <w:sz w:val="21"/>
          <w:szCs w:val="21"/>
        </w:rPr>
        <w:t>人上述</w:t>
      </w:r>
      <w:proofErr w:type="gramEnd"/>
      <w:r>
        <w:rPr>
          <w:rFonts w:ascii="宋体" w:eastAsia="宋体" w:hAnsi="宋体" w:cs="宋体" w:hint="eastAsia"/>
          <w:sz w:val="21"/>
          <w:szCs w:val="21"/>
        </w:rPr>
        <w:t>流通受限股票的锁定</w:t>
      </w:r>
      <w:r>
        <w:rPr>
          <w:rFonts w:ascii="宋体" w:eastAsia="宋体" w:hAnsi="宋体" w:cs="宋体" w:hint="eastAsia"/>
          <w:sz w:val="21"/>
          <w:szCs w:val="21"/>
        </w:rPr>
        <w:t>期</w:t>
      </w:r>
      <w:r>
        <w:rPr>
          <w:rFonts w:ascii="宋体" w:eastAsia="宋体" w:hAnsi="宋体" w:cs="宋体" w:hint="eastAsia"/>
          <w:sz w:val="21"/>
          <w:szCs w:val="21"/>
        </w:rPr>
        <w:t>/</w:t>
      </w:r>
      <w:r>
        <w:rPr>
          <w:rFonts w:ascii="宋体" w:eastAsia="宋体" w:hAnsi="宋体" w:cs="宋体" w:hint="eastAsia"/>
          <w:sz w:val="21"/>
          <w:szCs w:val="21"/>
        </w:rPr>
        <w:t>限售期，如因管理人未及时告知托管人锁定期</w:t>
      </w:r>
      <w:r>
        <w:rPr>
          <w:rFonts w:ascii="宋体" w:eastAsia="宋体" w:hAnsi="宋体" w:cs="宋体" w:hint="eastAsia"/>
          <w:sz w:val="21"/>
          <w:szCs w:val="21"/>
        </w:rPr>
        <w:t>/</w:t>
      </w:r>
      <w:r>
        <w:rPr>
          <w:rFonts w:ascii="宋体" w:eastAsia="宋体" w:hAnsi="宋体" w:cs="宋体" w:hint="eastAsia"/>
          <w:sz w:val="21"/>
          <w:szCs w:val="21"/>
        </w:rPr>
        <w:t>限售期，导致托管人无法获得锁定期</w:t>
      </w:r>
      <w:r>
        <w:rPr>
          <w:rFonts w:ascii="宋体" w:eastAsia="宋体" w:hAnsi="宋体" w:cs="宋体" w:hint="eastAsia"/>
          <w:sz w:val="21"/>
          <w:szCs w:val="21"/>
        </w:rPr>
        <w:t>/</w:t>
      </w:r>
      <w:r>
        <w:rPr>
          <w:rFonts w:ascii="宋体" w:eastAsia="宋体" w:hAnsi="宋体" w:cs="宋体" w:hint="eastAsia"/>
          <w:sz w:val="21"/>
          <w:szCs w:val="21"/>
        </w:rPr>
        <w:t>限售期，则托管人在锁定期</w:t>
      </w:r>
      <w:r>
        <w:rPr>
          <w:rFonts w:ascii="宋体" w:eastAsia="宋体" w:hAnsi="宋体" w:cs="宋体" w:hint="eastAsia"/>
          <w:sz w:val="21"/>
          <w:szCs w:val="21"/>
        </w:rPr>
        <w:t>/</w:t>
      </w:r>
      <w:r>
        <w:rPr>
          <w:rFonts w:ascii="宋体" w:eastAsia="宋体" w:hAnsi="宋体" w:cs="宋体" w:hint="eastAsia"/>
          <w:sz w:val="21"/>
          <w:szCs w:val="21"/>
        </w:rPr>
        <w:t>限售期内按照证券交易所挂牌的同一股票的市价（收盘价）估值，由此造成的后果由管理人自行承担。自获取确定的锁定期</w:t>
      </w:r>
      <w:r>
        <w:rPr>
          <w:rFonts w:ascii="宋体" w:eastAsia="宋体" w:hAnsi="宋体" w:cs="宋体" w:hint="eastAsia"/>
          <w:sz w:val="21"/>
          <w:szCs w:val="21"/>
        </w:rPr>
        <w:t>/</w:t>
      </w:r>
      <w:r>
        <w:rPr>
          <w:rFonts w:ascii="宋体" w:eastAsia="宋体" w:hAnsi="宋体" w:cs="宋体" w:hint="eastAsia"/>
          <w:sz w:val="21"/>
          <w:szCs w:val="21"/>
        </w:rPr>
        <w:t>限售期起始日起，按下列原则进行估值：</w:t>
      </w:r>
    </w:p>
    <w:p w14:paraId="083F75F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在发行时明确一定期限限售期的股票（不包括全国中小企业股份转让系统的股票），</w:t>
      </w:r>
      <w:r>
        <w:rPr>
          <w:rFonts w:ascii="宋体" w:eastAsia="宋体" w:hAnsi="宋体" w:cs="宋体" w:hint="eastAsia"/>
          <w:bCs/>
          <w:sz w:val="21"/>
          <w:szCs w:val="21"/>
        </w:rPr>
        <w:t>包括但不限于非公开发行股票、首次公开发行股票时公司股东公开发售股份、通过大宗交易取得的带限售期的股票等</w:t>
      </w:r>
      <w:r>
        <w:rPr>
          <w:rFonts w:ascii="宋体" w:eastAsia="宋体" w:hAnsi="宋体" w:cs="宋体" w:hint="eastAsia"/>
          <w:sz w:val="21"/>
          <w:szCs w:val="21"/>
        </w:rPr>
        <w:t>，按监管机构或行业协会的有关规定确定公允价值。对于基金业协会规定的流通受限股票估值</w:t>
      </w:r>
      <w:r>
        <w:rPr>
          <w:rFonts w:ascii="宋体" w:eastAsia="宋体" w:hAnsi="宋体" w:cs="宋体" w:hint="eastAsia"/>
          <w:sz w:val="21"/>
          <w:szCs w:val="21"/>
        </w:rPr>
        <w:t>取值中的“流通受限股票的流动性折扣”，当估值日第三方估值机构未提供该流动性折扣时，则优先采用距估值日最近交易日第三方估值机构提供的流动性折扣进行估值处理；若第三方估值机构无法提供</w:t>
      </w:r>
      <w:proofErr w:type="gramStart"/>
      <w:r>
        <w:rPr>
          <w:rFonts w:ascii="宋体" w:eastAsia="宋体" w:hAnsi="宋体" w:cs="宋体" w:hint="eastAsia"/>
          <w:sz w:val="21"/>
          <w:szCs w:val="21"/>
        </w:rPr>
        <w:t>该流通</w:t>
      </w:r>
      <w:proofErr w:type="gramEnd"/>
      <w:r>
        <w:rPr>
          <w:rFonts w:ascii="宋体" w:eastAsia="宋体" w:hAnsi="宋体" w:cs="宋体" w:hint="eastAsia"/>
          <w:sz w:val="21"/>
          <w:szCs w:val="21"/>
        </w:rPr>
        <w:t>受限股票的流动</w:t>
      </w:r>
      <w:r>
        <w:rPr>
          <w:rFonts w:ascii="宋体" w:eastAsia="宋体" w:hAnsi="宋体" w:cs="宋体" w:hint="eastAsia"/>
          <w:sz w:val="21"/>
          <w:szCs w:val="21"/>
        </w:rPr>
        <w:lastRenderedPageBreak/>
        <w:t>性折扣，则按估值日</w:t>
      </w:r>
      <w:proofErr w:type="gramStart"/>
      <w:r>
        <w:rPr>
          <w:rFonts w:ascii="宋体" w:eastAsia="宋体" w:hAnsi="宋体" w:cs="宋体" w:hint="eastAsia"/>
          <w:sz w:val="21"/>
          <w:szCs w:val="21"/>
        </w:rPr>
        <w:t>该流通</w:t>
      </w:r>
      <w:proofErr w:type="gramEnd"/>
      <w:r>
        <w:rPr>
          <w:rFonts w:ascii="宋体" w:eastAsia="宋体" w:hAnsi="宋体" w:cs="宋体" w:hint="eastAsia"/>
          <w:sz w:val="21"/>
          <w:szCs w:val="21"/>
        </w:rPr>
        <w:t>受限股票在证券交易所上市交易的同一股票的市价（收盘价）估值；该日无交易的，以最近一日的市价（收盘价）估值。</w:t>
      </w:r>
    </w:p>
    <w:p w14:paraId="059DA5A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）对在交易所市场首次公开发行未上市或未挂牌转让的固定收益品种，选取第三方估值机构提供的相应品种当日的估值净价进行估值。如第三方估值机构不发布估值价的，采用估值技术确定的公允价值进</w:t>
      </w:r>
      <w:r>
        <w:rPr>
          <w:rFonts w:ascii="宋体" w:eastAsia="宋体" w:hAnsi="宋体" w:cs="宋体" w:hint="eastAsia"/>
          <w:sz w:val="21"/>
          <w:szCs w:val="21"/>
        </w:rPr>
        <w:t>行估值。</w:t>
      </w:r>
    </w:p>
    <w:p w14:paraId="0BE9BDF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、全国银行间债券市场交易的债券、资产支持证券等固定收益品种，选取估值日第三方估值机构提供的相应品种对应的估值净价估值。</w:t>
      </w:r>
    </w:p>
    <w:p w14:paraId="212A21C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、同一债券同时在两个或两个以上市场交易的，按债券所处的市场分别估值。</w:t>
      </w:r>
    </w:p>
    <w:p w14:paraId="685D74E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、证券投资基金的估值</w:t>
      </w:r>
    </w:p>
    <w:p w14:paraId="6459A3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）上市证券投资基金的估值</w:t>
      </w:r>
    </w:p>
    <w:p w14:paraId="5DD1C06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）非货币市场基金按估值日其所在证券交易所的收盘价估值；</w:t>
      </w:r>
    </w:p>
    <w:p w14:paraId="52CE37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ii</w:t>
      </w:r>
      <w:r>
        <w:rPr>
          <w:rFonts w:ascii="宋体" w:eastAsia="宋体" w:hAnsi="宋体" w:cs="宋体" w:hint="eastAsia"/>
          <w:sz w:val="21"/>
          <w:szCs w:val="21"/>
        </w:rPr>
        <w:t>）无市价的场内货币市场基金按照实际增加的份额数量确认收益；有市价的场内货币市场基金按收盘价估值，并按照实际增加的份额数量确认收益；</w:t>
      </w:r>
    </w:p>
    <w:p w14:paraId="4C24056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iii</w:t>
      </w:r>
      <w:r>
        <w:rPr>
          <w:rFonts w:ascii="宋体" w:eastAsia="宋体" w:hAnsi="宋体" w:cs="宋体" w:hint="eastAsia"/>
          <w:sz w:val="21"/>
          <w:szCs w:val="21"/>
        </w:rPr>
        <w:t>）若估值日无交易，且最近交易日后市场环境未发生重</w:t>
      </w:r>
      <w:r>
        <w:rPr>
          <w:rFonts w:ascii="宋体" w:eastAsia="宋体" w:hAnsi="宋体" w:cs="宋体" w:hint="eastAsia"/>
          <w:sz w:val="21"/>
          <w:szCs w:val="21"/>
        </w:rPr>
        <w:t>大变化，按最近交易日的收盘价估值</w:t>
      </w:r>
      <w:r>
        <w:rPr>
          <w:rFonts w:ascii="宋体" w:eastAsia="宋体" w:hAnsi="宋体" w:cs="宋体" w:hint="eastAsia"/>
          <w:sz w:val="21"/>
          <w:szCs w:val="21"/>
        </w:rPr>
        <w:t>;</w:t>
      </w:r>
      <w:r>
        <w:rPr>
          <w:rFonts w:ascii="宋体" w:eastAsia="宋体" w:hAnsi="宋体" w:cs="宋体" w:hint="eastAsia"/>
          <w:sz w:val="21"/>
          <w:szCs w:val="21"/>
        </w:rPr>
        <w:t>如最近交易日后市场环境发生了重大变化的，可使用最新的基金份额净值为基础或参考类似投资品种的现行市价及重大变化因素调整最近交易市价，确定公允价值。</w:t>
      </w:r>
    </w:p>
    <w:p w14:paraId="1CF04C6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）非上市证券投资基金的估值</w:t>
      </w:r>
    </w:p>
    <w:p w14:paraId="49AF312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）非交易所上市的开放式基金（包括场外登记的</w:t>
      </w:r>
      <w:r>
        <w:rPr>
          <w:rFonts w:ascii="宋体" w:eastAsia="宋体" w:hAnsi="宋体" w:cs="宋体" w:hint="eastAsia"/>
          <w:sz w:val="21"/>
          <w:szCs w:val="21"/>
        </w:rPr>
        <w:t>LOF</w:t>
      </w:r>
      <w:r>
        <w:rPr>
          <w:rFonts w:ascii="宋体" w:eastAsia="宋体" w:hAnsi="宋体" w:cs="宋体" w:hint="eastAsia"/>
          <w:sz w:val="21"/>
          <w:szCs w:val="21"/>
        </w:rPr>
        <w:t>、</w:t>
      </w:r>
      <w:r>
        <w:rPr>
          <w:rFonts w:ascii="宋体" w:eastAsia="宋体" w:hAnsi="宋体" w:cs="宋体" w:hint="eastAsia"/>
          <w:sz w:val="21"/>
          <w:szCs w:val="21"/>
        </w:rPr>
        <w:t>ETF</w:t>
      </w:r>
      <w:r>
        <w:rPr>
          <w:rFonts w:ascii="宋体" w:eastAsia="宋体" w:hAnsi="宋体" w:cs="宋体" w:hint="eastAsia"/>
          <w:sz w:val="21"/>
          <w:szCs w:val="21"/>
        </w:rPr>
        <w:t>等），以估值日基金份额净值估值；</w:t>
      </w:r>
    </w:p>
    <w:p w14:paraId="60FC9D8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ii</w:t>
      </w:r>
      <w:r>
        <w:rPr>
          <w:rFonts w:ascii="宋体" w:eastAsia="宋体" w:hAnsi="宋体" w:cs="宋体" w:hint="eastAsia"/>
          <w:sz w:val="21"/>
          <w:szCs w:val="21"/>
        </w:rPr>
        <w:t>）货币市场基金和货币型理财基金，按前一估值日后至估值日期间（含节假日）的万份收益计提估值日基金收益；</w:t>
      </w:r>
    </w:p>
    <w:p w14:paraId="5634E6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iii</w:t>
      </w:r>
      <w:r>
        <w:rPr>
          <w:rFonts w:ascii="宋体" w:eastAsia="宋体" w:hAnsi="宋体" w:cs="宋体" w:hint="eastAsia"/>
          <w:sz w:val="21"/>
          <w:szCs w:val="21"/>
        </w:rPr>
        <w:t>）估值日不公布开放式基金份额净值的，以此前最近公布的基金份额净值估值；尚未公布过基金份额净值的，采用估值技术确定公允价值。</w:t>
      </w:r>
    </w:p>
    <w:p w14:paraId="467D1E7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）基金分红除权、拆分和折算等情况的估值</w:t>
      </w:r>
    </w:p>
    <w:p w14:paraId="4905948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如果所投资基金前一估值日至估值日期间发生分红除权、拆分或折算，管理人根据基金份额净值或收盘价、单位基金份额分红金额、折算拆分比例、持仓份额等因素合理确定公允价值。</w:t>
      </w:r>
    </w:p>
    <w:p w14:paraId="761F600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w:t>
      </w:r>
      <w:proofErr w:type="gramStart"/>
      <w:r>
        <w:rPr>
          <w:rFonts w:ascii="宋体" w:eastAsia="宋体" w:hAnsi="宋体" w:cs="宋体" w:hint="eastAsia"/>
          <w:sz w:val="21"/>
          <w:szCs w:val="21"/>
        </w:rPr>
        <w:t>若基金</w:t>
      </w:r>
      <w:proofErr w:type="gramEnd"/>
      <w:r>
        <w:rPr>
          <w:rFonts w:ascii="宋体" w:eastAsia="宋体" w:hAnsi="宋体" w:cs="宋体" w:hint="eastAsia"/>
          <w:sz w:val="21"/>
          <w:szCs w:val="21"/>
        </w:rPr>
        <w:t>价格无法通过公开信息取得，参照最近一个交易日可取得的</w:t>
      </w:r>
      <w:r>
        <w:rPr>
          <w:rFonts w:ascii="宋体" w:eastAsia="宋体" w:hAnsi="宋体" w:cs="宋体" w:hint="eastAsia"/>
          <w:sz w:val="21"/>
          <w:szCs w:val="21"/>
        </w:rPr>
        <w:t>主要做市商或其他权威价格提供机构的报价进行估值。托管人依据管理人提供的投资标的净值进行账务处理，不对其净值的公允性负责。</w:t>
      </w:r>
    </w:p>
    <w:p w14:paraId="2CB3986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6</w:t>
      </w:r>
      <w:r>
        <w:rPr>
          <w:rFonts w:ascii="宋体" w:eastAsia="宋体" w:hAnsi="宋体" w:cs="宋体" w:hint="eastAsia"/>
          <w:sz w:val="21"/>
          <w:szCs w:val="21"/>
        </w:rPr>
        <w:t>、银行存款、回购等固定收益工具按照约定利率在持有期内逐日计提应收利息，在利息到账日以实收利息入账。</w:t>
      </w:r>
    </w:p>
    <w:p w14:paraId="00E97EC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、期货合约估值方法</w:t>
      </w:r>
    </w:p>
    <w:p w14:paraId="18B090D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）期货合约一般以估值当日结算价格进行估值，估值当日无结算价的，且最近交易日后经济环境未发生重大变化的，采用最近交易日结算价估值；</w:t>
      </w:r>
    </w:p>
    <w:p w14:paraId="48B0B8E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）在任何情况下，资产管理人如采用本项第（</w:t>
      </w:r>
      <w:r>
        <w:rPr>
          <w:rFonts w:ascii="宋体" w:eastAsia="宋体" w:hAnsi="宋体" w:cs="宋体" w:hint="eastAsia"/>
          <w:sz w:val="21"/>
          <w:szCs w:val="21"/>
        </w:rPr>
        <w:t>1</w:t>
      </w:r>
      <w:r>
        <w:rPr>
          <w:rFonts w:ascii="宋体" w:eastAsia="宋体" w:hAnsi="宋体" w:cs="宋体" w:hint="eastAsia"/>
          <w:sz w:val="21"/>
          <w:szCs w:val="21"/>
        </w:rPr>
        <w:t>）小项规定的方法对计划资产进行估值，均应被认为采用了适当的估值方法。但是，如果资产管理</w:t>
      </w:r>
      <w:r>
        <w:rPr>
          <w:rFonts w:ascii="宋体" w:eastAsia="宋体" w:hAnsi="宋体" w:cs="宋体" w:hint="eastAsia"/>
          <w:sz w:val="21"/>
          <w:szCs w:val="21"/>
        </w:rPr>
        <w:t>人认为按本项第（</w:t>
      </w:r>
      <w:r>
        <w:rPr>
          <w:rFonts w:ascii="宋体" w:eastAsia="宋体" w:hAnsi="宋体" w:cs="宋体" w:hint="eastAsia"/>
          <w:sz w:val="21"/>
          <w:szCs w:val="21"/>
        </w:rPr>
        <w:t>1</w:t>
      </w:r>
      <w:r>
        <w:rPr>
          <w:rFonts w:ascii="宋体" w:eastAsia="宋体" w:hAnsi="宋体" w:cs="宋体" w:hint="eastAsia"/>
          <w:sz w:val="21"/>
          <w:szCs w:val="21"/>
        </w:rPr>
        <w:t>）小项规定的方法对计划资产进行估值不能客观反映其公允价值的，资产管理人可根据具体情况，并与资产托管人商定后，按最能反映公允价值的价格估值。</w:t>
      </w:r>
    </w:p>
    <w:p w14:paraId="3EB281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、管理人与托管人根据能够反映其公允价值的方法对其他投资品进行估值。</w:t>
      </w:r>
    </w:p>
    <w:p w14:paraId="612C30A8" w14:textId="77777777" w:rsidR="00694F14" w:rsidRDefault="00A463B7">
      <w:pPr>
        <w:spacing w:line="360" w:lineRule="auto"/>
        <w:ind w:firstLine="480"/>
        <w:rPr>
          <w:rStyle w:val="af9"/>
          <w:rFonts w:ascii="宋体" w:eastAsia="宋体" w:hAnsi="宋体" w:cs="宋体"/>
        </w:rPr>
      </w:pPr>
      <w:r>
        <w:rPr>
          <w:rFonts w:ascii="宋体" w:eastAsia="宋体" w:hAnsi="宋体" w:cs="宋体" w:hint="eastAsia"/>
          <w:sz w:val="21"/>
          <w:szCs w:val="21"/>
        </w:rPr>
        <w:t>9</w:t>
      </w:r>
      <w:r>
        <w:rPr>
          <w:rFonts w:ascii="宋体" w:eastAsia="宋体" w:hAnsi="宋体" w:cs="宋体" w:hint="eastAsia"/>
          <w:sz w:val="21"/>
          <w:szCs w:val="21"/>
        </w:rPr>
        <w:t>、估值计算中涉及港币或其他外币币种对人民币汇率的，可参考当日中国人民银行或其授权机构公布的人民币汇率中间价。</w:t>
      </w:r>
    </w:p>
    <w:p w14:paraId="77537A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10</w:t>
      </w:r>
      <w:r>
        <w:rPr>
          <w:rFonts w:ascii="宋体" w:eastAsia="宋体" w:hAnsi="宋体" w:cs="宋体" w:hint="eastAsia"/>
          <w:sz w:val="21"/>
          <w:szCs w:val="21"/>
        </w:rPr>
        <w:t>、在任何情况下，资产管理人如果采用本项</w:t>
      </w:r>
      <w:r>
        <w:rPr>
          <w:rFonts w:ascii="宋体" w:eastAsia="宋体" w:hAnsi="宋体" w:cs="宋体" w:hint="eastAsia"/>
          <w:sz w:val="21"/>
          <w:szCs w:val="21"/>
        </w:rPr>
        <w:t>1-9</w:t>
      </w:r>
      <w:r>
        <w:rPr>
          <w:rFonts w:ascii="宋体" w:eastAsia="宋体" w:hAnsi="宋体" w:cs="宋体" w:hint="eastAsia"/>
          <w:sz w:val="21"/>
          <w:szCs w:val="21"/>
        </w:rPr>
        <w:t>中规定的方法对委托财产进行估值，均应被认为采用了适当的估值方法。但是，如有确凿证据表明按上述方法进行估值不能客观反映其公允价值的，资产管理人可根据具体情况与资产托管人商定后，按最能反映公允价值的价格估值。</w:t>
      </w:r>
    </w:p>
    <w:p w14:paraId="588294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11</w:t>
      </w:r>
      <w:r>
        <w:rPr>
          <w:rFonts w:ascii="宋体" w:eastAsia="宋体" w:hAnsi="宋体" w:cs="宋体" w:hint="eastAsia"/>
          <w:sz w:val="21"/>
          <w:szCs w:val="21"/>
        </w:rPr>
        <w:t>、相关法律法规以及监管部门有强制规定的，从其规定。如有新增事项，按国家最新规定估值。</w:t>
      </w:r>
    </w:p>
    <w:p w14:paraId="249AB84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（六）估值错误的处理</w:t>
      </w:r>
    </w:p>
    <w:p w14:paraId="5E9D4E9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如资产管理人或资产托管人发现计划资产估值违反本合同订明的估值方法、程序及相关法律法规的规定或者未能充分维护资产委托人利益时，应立即通知对方，共同查</w:t>
      </w:r>
      <w:r>
        <w:rPr>
          <w:rFonts w:ascii="宋体" w:eastAsia="宋体" w:hAnsi="宋体" w:cs="宋体" w:hint="eastAsia"/>
          <w:sz w:val="21"/>
          <w:szCs w:val="21"/>
        </w:rPr>
        <w:t>明原因，协商解决。</w:t>
      </w:r>
    </w:p>
    <w:p w14:paraId="53DDEBC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当计划资产估值错误偏差达到计划财产净值的</w:t>
      </w:r>
      <w:r>
        <w:rPr>
          <w:rFonts w:ascii="宋体" w:eastAsia="宋体" w:hAnsi="宋体" w:cs="宋体" w:hint="eastAsia"/>
          <w:sz w:val="21"/>
          <w:szCs w:val="21"/>
        </w:rPr>
        <w:t>0.5%</w:t>
      </w:r>
      <w:r>
        <w:rPr>
          <w:rFonts w:ascii="宋体" w:eastAsia="宋体" w:hAnsi="宋体" w:cs="宋体" w:hint="eastAsia"/>
          <w:sz w:val="21"/>
          <w:szCs w:val="21"/>
        </w:rPr>
        <w:t>时，资产管理人应该立即更正并在定期报告中报告资产委托人。资产管理人计算的计划财产净值已由资产托管人复核确认、但因资产估值错误给资产委托人造成损失的，由资产管理人与资产托管人按照过错程度各自承担相应的责任。</w:t>
      </w:r>
    </w:p>
    <w:p w14:paraId="03AAE5B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由于一方当事人提供的信息错误，另一方当事人在采取了必要合理的措施后仍不能发现该错误，进而导致计划财产净值计算错误造成资产委托人的损失，以及由此造成以后交易日计划财产净值计算顺延错误而引起的资产委托人的损失，由提供错误信息的当事人一方负责赔</w:t>
      </w:r>
      <w:r>
        <w:rPr>
          <w:rFonts w:ascii="宋体" w:eastAsia="宋体" w:hAnsi="宋体" w:cs="宋体" w:hint="eastAsia"/>
          <w:sz w:val="21"/>
          <w:szCs w:val="21"/>
        </w:rPr>
        <w:t>偿。</w:t>
      </w:r>
    </w:p>
    <w:p w14:paraId="4E3C89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（七）估值调整的情形与处理：</w:t>
      </w:r>
    </w:p>
    <w:p w14:paraId="0375FD2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）对于存在活跃市场且能够获取相同资产或负债报价的投资品种，估值日无交易，且有充足证据表明估值日或最近交易日的报价不能真实反映公允价值的，资产管理人应与资产托管人协商一致后对估值</w:t>
      </w:r>
      <w:r>
        <w:rPr>
          <w:rFonts w:ascii="宋体" w:eastAsia="宋体" w:hAnsi="宋体" w:cs="宋体" w:hint="eastAsia"/>
          <w:sz w:val="21"/>
          <w:szCs w:val="21"/>
        </w:rPr>
        <w:lastRenderedPageBreak/>
        <w:t>价格进行调整，确定公允价值。此外，资产管理人估值不应考虑本计划大量持有相关资产或负债所产生的溢价或折价；</w:t>
      </w:r>
    </w:p>
    <w:p w14:paraId="607CAE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）对不存在活跃市场的投资品种，应优先使用可观察输入值，在无法获得相关资产或负债可观察输入值或取得不切实可行的情况下，可以使用不可观察输入值；</w:t>
      </w:r>
    </w:p>
    <w:p w14:paraId="2A2F465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）如经济环境发生重大变化或证券发行人发生</w:t>
      </w:r>
      <w:r>
        <w:rPr>
          <w:rFonts w:ascii="宋体" w:eastAsia="宋体" w:hAnsi="宋体" w:cs="宋体" w:hint="eastAsia"/>
          <w:sz w:val="21"/>
          <w:szCs w:val="21"/>
        </w:rPr>
        <w:t>影响证券价格的重大事件，使潜在估值调整对前一估值日的计划资产净值的影响在</w:t>
      </w:r>
      <w:r>
        <w:rPr>
          <w:rFonts w:ascii="宋体" w:eastAsia="宋体" w:hAnsi="宋体" w:cs="宋体" w:hint="eastAsia"/>
          <w:sz w:val="21"/>
          <w:szCs w:val="21"/>
        </w:rPr>
        <w:t>0.5%</w:t>
      </w:r>
      <w:r>
        <w:rPr>
          <w:rFonts w:ascii="宋体" w:eastAsia="宋体" w:hAnsi="宋体" w:cs="宋体" w:hint="eastAsia"/>
          <w:sz w:val="21"/>
          <w:szCs w:val="21"/>
        </w:rPr>
        <w:t>以上的，应对估值进行调整并确定公允价值。</w:t>
      </w:r>
    </w:p>
    <w:p w14:paraId="72A9D1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（八）暂停估值的情形</w:t>
      </w:r>
    </w:p>
    <w:p w14:paraId="77CA317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、计划投资所涉及的证券交易场所遇法定节假日或因其他原因暂停营业时；</w:t>
      </w:r>
    </w:p>
    <w:p w14:paraId="22D984B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、因不可抗力或其他情形致使资产管理人、资产托管人无法准确评估资产管理计划财产价值时；</w:t>
      </w:r>
    </w:p>
    <w:p w14:paraId="0DC5478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、占资产管理计划相当比例的投资品种的估值出现重大转变，而资产管理人为保障投资者的利益，决定延迟估值的情形；</w:t>
      </w:r>
    </w:p>
    <w:p w14:paraId="645516B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、中国证监会认定的其他情形。</w:t>
      </w:r>
    </w:p>
    <w:p w14:paraId="2F54AE0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（九）资产管理计划资产份额净值的确认</w:t>
      </w:r>
    </w:p>
    <w:p w14:paraId="5EA492E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资产管理计划的资产份额净值由资</w:t>
      </w:r>
      <w:r>
        <w:rPr>
          <w:rFonts w:ascii="宋体" w:eastAsia="宋体" w:hAnsi="宋体" w:cs="宋体" w:hint="eastAsia"/>
          <w:sz w:val="21"/>
          <w:szCs w:val="21"/>
        </w:rPr>
        <w:t>产管理人负责计算，资产托管人负责进行复核。如经在平等基础上充分讨论后，仍无法达成一致的意见，按照资产管理人对资产管理计划资产份额净值的计算结果为准。</w:t>
      </w:r>
    </w:p>
    <w:p w14:paraId="6AA3FA9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（十）特殊情况的处理</w:t>
      </w:r>
    </w:p>
    <w:p w14:paraId="2FD12A7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、资产管理人或资产托管人按上述“（五）估值方法”的第</w:t>
      </w:r>
      <w:r>
        <w:rPr>
          <w:rFonts w:ascii="宋体" w:eastAsia="宋体" w:hAnsi="宋体" w:cs="宋体" w:hint="eastAsia"/>
          <w:sz w:val="21"/>
          <w:szCs w:val="21"/>
        </w:rPr>
        <w:t>10</w:t>
      </w:r>
      <w:r>
        <w:rPr>
          <w:rFonts w:ascii="宋体" w:eastAsia="宋体" w:hAnsi="宋体" w:cs="宋体" w:hint="eastAsia"/>
          <w:sz w:val="21"/>
          <w:szCs w:val="21"/>
        </w:rPr>
        <w:t>项进行估值时，所造成的误差不作为估值错误处理。</w:t>
      </w:r>
    </w:p>
    <w:p w14:paraId="0656757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由于证券交易所及注册登记结算机构发送的数据错误或者由于其他不可抗力等，资产管理人和资产托管人虽然已经采取必要、适当、合理、专业的措施进行检查，但未能发现错误的，由此造成的估值错误，资产管理人和资产托管人免除赔偿责任。但资产管理人、</w:t>
      </w:r>
      <w:r>
        <w:rPr>
          <w:rFonts w:ascii="宋体" w:eastAsia="宋体" w:hAnsi="宋体" w:cs="宋体" w:hint="eastAsia"/>
          <w:sz w:val="21"/>
          <w:szCs w:val="21"/>
        </w:rPr>
        <w:t>资产托管人应当积极采取必要的措施减轻或消除由此造成的影响。</w:t>
      </w:r>
    </w:p>
    <w:p w14:paraId="3DE4269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（十一）资产管理计划的会计政策</w:t>
      </w:r>
    </w:p>
    <w:p w14:paraId="74A99E6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资产管理计划的会计政策比照证券投资基金现行政策执行：</w:t>
      </w:r>
    </w:p>
    <w:p w14:paraId="2A2F126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、资产管理人为本计划的主要会计责任方。</w:t>
      </w:r>
    </w:p>
    <w:p w14:paraId="6AE13DB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、本计划的会计年度为公历年度的</w:t>
      </w:r>
      <w:r>
        <w:rPr>
          <w:rFonts w:ascii="宋体" w:eastAsia="宋体" w:hAnsi="宋体" w:cs="宋体" w:hint="eastAsia"/>
          <w:sz w:val="21"/>
          <w:szCs w:val="21"/>
        </w:rPr>
        <w:t>1</w:t>
      </w:r>
      <w:r>
        <w:rPr>
          <w:rFonts w:ascii="宋体" w:eastAsia="宋体" w:hAnsi="宋体" w:cs="宋体" w:hint="eastAsia"/>
          <w:sz w:val="21"/>
          <w:szCs w:val="21"/>
        </w:rPr>
        <w:t>月</w:t>
      </w:r>
      <w:r>
        <w:rPr>
          <w:rFonts w:ascii="宋体" w:eastAsia="宋体" w:hAnsi="宋体" w:cs="宋体" w:hint="eastAsia"/>
          <w:sz w:val="21"/>
          <w:szCs w:val="21"/>
        </w:rPr>
        <w:t>1</w:t>
      </w:r>
      <w:r>
        <w:rPr>
          <w:rFonts w:ascii="宋体" w:eastAsia="宋体" w:hAnsi="宋体" w:cs="宋体" w:hint="eastAsia"/>
          <w:sz w:val="21"/>
          <w:szCs w:val="21"/>
        </w:rPr>
        <w:t>日至</w:t>
      </w:r>
      <w:r>
        <w:rPr>
          <w:rFonts w:ascii="宋体" w:eastAsia="宋体" w:hAnsi="宋体" w:cs="宋体" w:hint="eastAsia"/>
          <w:sz w:val="21"/>
          <w:szCs w:val="21"/>
        </w:rPr>
        <w:t>12</w:t>
      </w:r>
      <w:r>
        <w:rPr>
          <w:rFonts w:ascii="宋体" w:eastAsia="宋体" w:hAnsi="宋体" w:cs="宋体" w:hint="eastAsia"/>
          <w:sz w:val="21"/>
          <w:szCs w:val="21"/>
        </w:rPr>
        <w:t>月</w:t>
      </w:r>
      <w:r>
        <w:rPr>
          <w:rFonts w:ascii="宋体" w:eastAsia="宋体" w:hAnsi="宋体" w:cs="宋体" w:hint="eastAsia"/>
          <w:sz w:val="21"/>
          <w:szCs w:val="21"/>
        </w:rPr>
        <w:t>31</w:t>
      </w:r>
      <w:r>
        <w:rPr>
          <w:rFonts w:ascii="宋体" w:eastAsia="宋体" w:hAnsi="宋体" w:cs="宋体" w:hint="eastAsia"/>
          <w:sz w:val="21"/>
          <w:szCs w:val="21"/>
        </w:rPr>
        <w:t>日。</w:t>
      </w:r>
    </w:p>
    <w:p w14:paraId="5E08DEC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、计划核算以人民币为记账本位币，以人民币元为记账单位。</w:t>
      </w:r>
    </w:p>
    <w:p w14:paraId="155788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、会计制度执行国家有关会计制度。</w:t>
      </w:r>
    </w:p>
    <w:p w14:paraId="5A0C56E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5</w:t>
      </w:r>
      <w:r>
        <w:rPr>
          <w:rFonts w:ascii="宋体" w:eastAsia="宋体" w:hAnsi="宋体" w:cs="宋体" w:hint="eastAsia"/>
          <w:sz w:val="21"/>
          <w:szCs w:val="21"/>
        </w:rPr>
        <w:t>、本计划独立建账、独立核算。</w:t>
      </w:r>
    </w:p>
    <w:p w14:paraId="266EF4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、资产管理人及资产托管人各自保留完整的会计账目、凭证并进行日常的会计核算，按照本合同约定编制会计报表。</w:t>
      </w:r>
    </w:p>
    <w:p w14:paraId="09B3F84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、资产托管人定期与资产管理人就资产管理计划的会计核算、报表编制等进行核对并以书面方式确认。</w:t>
      </w:r>
    </w:p>
    <w:p w14:paraId="5847C422" w14:textId="77777777" w:rsidR="00694F14" w:rsidRDefault="00694F14">
      <w:pPr>
        <w:spacing w:line="360" w:lineRule="auto"/>
        <w:ind w:firstLine="480"/>
        <w:rPr>
          <w:rFonts w:ascii="宋体" w:eastAsia="宋体" w:hAnsi="宋体" w:cs="宋体"/>
          <w:sz w:val="21"/>
          <w:szCs w:val="21"/>
        </w:rPr>
      </w:pPr>
    </w:p>
    <w:p w14:paraId="543C231E" w14:textId="77777777" w:rsidR="00694F14" w:rsidRDefault="00A463B7">
      <w:pPr>
        <w:pStyle w:val="1"/>
        <w:spacing w:before="0" w:after="0" w:line="360" w:lineRule="auto"/>
        <w:jc w:val="center"/>
        <w:rPr>
          <w:rFonts w:ascii="宋体" w:eastAsia="宋体" w:hAnsi="宋体" w:cs="宋体"/>
          <w:sz w:val="21"/>
          <w:szCs w:val="21"/>
        </w:rPr>
      </w:pPr>
      <w:bookmarkStart w:id="60" w:name="_Toc194741918"/>
      <w:bookmarkStart w:id="61" w:name="_Toc401668945"/>
      <w:bookmarkStart w:id="62" w:name="_Toc70622200"/>
      <w:r>
        <w:rPr>
          <w:rFonts w:ascii="宋体" w:eastAsia="宋体" w:hAnsi="宋体" w:cs="宋体" w:hint="eastAsia"/>
          <w:sz w:val="21"/>
          <w:szCs w:val="21"/>
        </w:rPr>
        <w:t>二十一、资产管理计划的费用与税收</w:t>
      </w:r>
      <w:bookmarkEnd w:id="60"/>
      <w:bookmarkEnd w:id="61"/>
      <w:bookmarkEnd w:id="62"/>
    </w:p>
    <w:p w14:paraId="221C1C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w:t>
      </w:r>
      <w:r>
        <w:rPr>
          <w:rFonts w:ascii="宋体" w:eastAsia="宋体" w:hAnsi="宋体" w:cs="宋体" w:hint="eastAsia"/>
          <w:sz w:val="21"/>
          <w:szCs w:val="21"/>
        </w:rPr>
        <w:t>资产管理业务费用的种类</w:t>
      </w:r>
    </w:p>
    <w:p w14:paraId="2B88C0D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、资产管理人的管理费；</w:t>
      </w:r>
    </w:p>
    <w:p w14:paraId="385A6A3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、资产托管人的托管费；</w:t>
      </w:r>
    </w:p>
    <w:p w14:paraId="7FAAB59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、委托财产拨</w:t>
      </w:r>
      <w:proofErr w:type="gramStart"/>
      <w:r>
        <w:rPr>
          <w:rFonts w:ascii="宋体" w:eastAsia="宋体" w:hAnsi="宋体" w:cs="宋体" w:hint="eastAsia"/>
          <w:sz w:val="21"/>
          <w:szCs w:val="21"/>
        </w:rPr>
        <w:t>划支付</w:t>
      </w:r>
      <w:proofErr w:type="gramEnd"/>
      <w:r>
        <w:rPr>
          <w:rFonts w:ascii="宋体" w:eastAsia="宋体" w:hAnsi="宋体" w:cs="宋体" w:hint="eastAsia"/>
          <w:sz w:val="21"/>
          <w:szCs w:val="21"/>
        </w:rPr>
        <w:t>的银行费用；</w:t>
      </w:r>
    </w:p>
    <w:p w14:paraId="5304953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、委托财产的证券、期货等账户的开户费用以及证券、期货等投资交易费用；</w:t>
      </w:r>
    </w:p>
    <w:p w14:paraId="71DCCCC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、资产管理计划成立后的资产管理计划信息披露费用；</w:t>
      </w:r>
    </w:p>
    <w:p w14:paraId="3EA89C7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、资产管理计划成立后与资产管理计划有关的会计师费、审计费、律师费、仲裁费、诉讼费、保全费等；</w:t>
      </w:r>
    </w:p>
    <w:p w14:paraId="6586BD6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、按照法律法规及本合同的约定可以在委托财产中列支的其他费用。</w:t>
      </w:r>
    </w:p>
    <w:p w14:paraId="7D1DA34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二</w:t>
      </w:r>
      <w:r>
        <w:rPr>
          <w:rFonts w:ascii="宋体" w:eastAsia="宋体" w:hAnsi="宋体" w:cs="宋体" w:hint="eastAsia"/>
          <w:sz w:val="21"/>
          <w:szCs w:val="21"/>
        </w:rPr>
        <w:t>)</w:t>
      </w:r>
      <w:r>
        <w:rPr>
          <w:rFonts w:ascii="宋体" w:eastAsia="宋体" w:hAnsi="宋体" w:cs="宋体" w:hint="eastAsia"/>
          <w:sz w:val="21"/>
          <w:szCs w:val="21"/>
        </w:rPr>
        <w:t>费用计提方法、计提标准和支付方式</w:t>
      </w:r>
    </w:p>
    <w:p w14:paraId="750F0E0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、资产管理人的管理费</w:t>
      </w:r>
    </w:p>
    <w:p w14:paraId="5D9AE86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本委托财产的年管理费率为【</w:t>
      </w:r>
      <w:r>
        <w:rPr>
          <w:rFonts w:ascii="宋体" w:eastAsia="宋体" w:hAnsi="宋体" w:cs="宋体" w:hint="eastAsia"/>
          <w:sz w:val="21"/>
          <w:szCs w:val="21"/>
        </w:rPr>
        <w:t>0.0</w:t>
      </w:r>
      <w:r>
        <w:rPr>
          <w:rFonts w:ascii="宋体" w:eastAsia="宋体" w:hAnsi="宋体" w:cs="宋体" w:hint="eastAsia"/>
          <w:sz w:val="21"/>
          <w:szCs w:val="21"/>
        </w:rPr>
        <w:t>2</w:t>
      </w:r>
      <w:r>
        <w:rPr>
          <w:rFonts w:ascii="宋体" w:eastAsia="宋体" w:hAnsi="宋体" w:cs="宋体" w:hint="eastAsia"/>
          <w:sz w:val="21"/>
          <w:szCs w:val="21"/>
        </w:rPr>
        <w:t>】</w:t>
      </w:r>
      <w:r>
        <w:rPr>
          <w:rFonts w:ascii="宋体" w:eastAsia="宋体" w:hAnsi="宋体" w:cs="宋体" w:hint="eastAsia"/>
          <w:sz w:val="21"/>
          <w:szCs w:val="21"/>
        </w:rPr>
        <w:t>%</w:t>
      </w:r>
      <w:r>
        <w:rPr>
          <w:rFonts w:ascii="宋体" w:eastAsia="宋体" w:hAnsi="宋体" w:cs="宋体" w:hint="eastAsia"/>
          <w:sz w:val="21"/>
          <w:szCs w:val="21"/>
        </w:rPr>
        <w:t>。计算方法如下：</w:t>
      </w:r>
    </w:p>
    <w:p w14:paraId="1AD2B5F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H</w:t>
      </w:r>
      <w:r>
        <w:rPr>
          <w:rFonts w:ascii="宋体" w:eastAsia="宋体" w:hAnsi="宋体" w:cs="宋体" w:hint="eastAsia"/>
          <w:sz w:val="21"/>
          <w:szCs w:val="21"/>
        </w:rPr>
        <w:t>＝</w:t>
      </w:r>
      <w:r>
        <w:rPr>
          <w:rFonts w:ascii="宋体" w:eastAsia="宋体" w:hAnsi="宋体" w:cs="宋体" w:hint="eastAsia"/>
          <w:sz w:val="21"/>
          <w:szCs w:val="21"/>
        </w:rPr>
        <w:t>E</w:t>
      </w:r>
      <w:r>
        <w:rPr>
          <w:rFonts w:ascii="宋体" w:eastAsia="宋体" w:hAnsi="宋体" w:cs="宋体" w:hint="eastAsia"/>
          <w:sz w:val="21"/>
          <w:szCs w:val="21"/>
        </w:rPr>
        <w:t>×年管理费率÷</w:t>
      </w:r>
      <w:r>
        <w:rPr>
          <w:rFonts w:ascii="宋体" w:eastAsia="宋体" w:hAnsi="宋体" w:cs="宋体" w:hint="eastAsia"/>
          <w:sz w:val="21"/>
          <w:szCs w:val="21"/>
        </w:rPr>
        <w:t>365</w:t>
      </w:r>
    </w:p>
    <w:p w14:paraId="209BE34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H</w:t>
      </w:r>
      <w:r>
        <w:rPr>
          <w:rFonts w:ascii="宋体" w:eastAsia="宋体" w:hAnsi="宋体" w:cs="宋体" w:hint="eastAsia"/>
          <w:sz w:val="21"/>
          <w:szCs w:val="21"/>
        </w:rPr>
        <w:t>为每日应计提的委托财产管理费</w:t>
      </w:r>
    </w:p>
    <w:p w14:paraId="176B021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E</w:t>
      </w:r>
      <w:r>
        <w:rPr>
          <w:rFonts w:ascii="宋体" w:eastAsia="宋体" w:hAnsi="宋体" w:cs="宋体" w:hint="eastAsia"/>
          <w:sz w:val="21"/>
          <w:szCs w:val="21"/>
        </w:rPr>
        <w:t>为前一自然</w:t>
      </w:r>
      <w:proofErr w:type="gramStart"/>
      <w:r>
        <w:rPr>
          <w:rFonts w:ascii="宋体" w:eastAsia="宋体" w:hAnsi="宋体" w:cs="宋体" w:hint="eastAsia"/>
          <w:sz w:val="21"/>
          <w:szCs w:val="21"/>
        </w:rPr>
        <w:t>日委托</w:t>
      </w:r>
      <w:proofErr w:type="gramEnd"/>
      <w:r>
        <w:rPr>
          <w:rFonts w:ascii="宋体" w:eastAsia="宋体" w:hAnsi="宋体" w:cs="宋体" w:hint="eastAsia"/>
          <w:sz w:val="21"/>
          <w:szCs w:val="21"/>
        </w:rPr>
        <w:t>财产净值</w:t>
      </w:r>
    </w:p>
    <w:p w14:paraId="7F3D253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委托财产管理费</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计划成立日起，每日计提，按自然季度支付。由资产管理人向资产托管人发送划款指</w:t>
      </w:r>
      <w:r>
        <w:rPr>
          <w:rFonts w:ascii="宋体" w:eastAsia="宋体" w:hAnsi="宋体" w:cs="宋体" w:hint="eastAsia"/>
          <w:sz w:val="21"/>
          <w:szCs w:val="21"/>
        </w:rPr>
        <w:t>令，资产托管人复核后从资产管理计划财产中一次性支付给资产管理人。若因不可抗力或持有的委托财产无法及时变现致使无法按时支付的，则在不可抗力或无法变现的情形消除后支付。本计划终止（包括提前或延期）后，依据清算程序支付管理人尚未支付的管理费。</w:t>
      </w:r>
    </w:p>
    <w:p w14:paraId="67CAAE6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资产管理人管理费收费账户信息如下：</w:t>
      </w:r>
    </w:p>
    <w:p w14:paraId="6590F75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户</w:t>
      </w:r>
      <w:r>
        <w:rPr>
          <w:rFonts w:ascii="宋体" w:eastAsia="宋体" w:hAnsi="宋体" w:cs="宋体" w:hint="eastAsia"/>
          <w:sz w:val="21"/>
          <w:szCs w:val="21"/>
        </w:rPr>
        <w:t xml:space="preserve">    </w:t>
      </w:r>
      <w:r>
        <w:rPr>
          <w:rFonts w:ascii="宋体" w:eastAsia="宋体" w:hAnsi="宋体" w:cs="宋体" w:hint="eastAsia"/>
          <w:sz w:val="21"/>
          <w:szCs w:val="21"/>
        </w:rPr>
        <w:t>名</w:t>
      </w:r>
      <w:r>
        <w:rPr>
          <w:rFonts w:ascii="宋体" w:eastAsia="宋体" w:hAnsi="宋体" w:cs="宋体" w:hint="eastAsia"/>
          <w:sz w:val="21"/>
          <w:szCs w:val="21"/>
        </w:rPr>
        <w:t xml:space="preserve">: </w:t>
      </w:r>
      <w:r>
        <w:rPr>
          <w:rFonts w:ascii="宋体" w:eastAsia="宋体" w:hAnsi="宋体" w:cs="宋体" w:hint="eastAsia"/>
          <w:color w:val="000000"/>
          <w:sz w:val="21"/>
          <w:szCs w:val="21"/>
        </w:rPr>
        <w:t>光大期货有限公司</w:t>
      </w:r>
    </w:p>
    <w:p w14:paraId="056D834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开</w:t>
      </w:r>
      <w:r>
        <w:rPr>
          <w:rFonts w:ascii="宋体" w:eastAsia="宋体" w:hAnsi="宋体" w:cs="宋体" w:hint="eastAsia"/>
          <w:sz w:val="21"/>
          <w:szCs w:val="21"/>
        </w:rPr>
        <w:t xml:space="preserve"> </w:t>
      </w:r>
      <w:r>
        <w:rPr>
          <w:rFonts w:ascii="宋体" w:eastAsia="宋体" w:hAnsi="宋体" w:cs="宋体" w:hint="eastAsia"/>
          <w:sz w:val="21"/>
          <w:szCs w:val="21"/>
        </w:rPr>
        <w:t>户</w:t>
      </w:r>
      <w:r>
        <w:rPr>
          <w:rFonts w:ascii="宋体" w:eastAsia="宋体" w:hAnsi="宋体" w:cs="宋体" w:hint="eastAsia"/>
          <w:sz w:val="21"/>
          <w:szCs w:val="21"/>
        </w:rPr>
        <w:t xml:space="preserve"> </w:t>
      </w:r>
      <w:r>
        <w:rPr>
          <w:rFonts w:ascii="宋体" w:eastAsia="宋体" w:hAnsi="宋体" w:cs="宋体" w:hint="eastAsia"/>
          <w:sz w:val="21"/>
          <w:szCs w:val="21"/>
        </w:rPr>
        <w:t>行</w:t>
      </w:r>
      <w:r>
        <w:rPr>
          <w:rFonts w:ascii="宋体" w:eastAsia="宋体" w:hAnsi="宋体" w:cs="宋体" w:hint="eastAsia"/>
          <w:sz w:val="21"/>
          <w:szCs w:val="21"/>
        </w:rPr>
        <w:t xml:space="preserve">: </w:t>
      </w:r>
      <w:r>
        <w:rPr>
          <w:rFonts w:ascii="宋体" w:eastAsia="宋体" w:hAnsi="宋体" w:cs="宋体" w:hint="eastAsia"/>
          <w:color w:val="000000"/>
          <w:sz w:val="21"/>
          <w:szCs w:val="21"/>
        </w:rPr>
        <w:t>建设银行上海期货支行</w:t>
      </w:r>
    </w:p>
    <w:p w14:paraId="5550DC0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银行账号：</w:t>
      </w:r>
      <w:r>
        <w:rPr>
          <w:rFonts w:ascii="宋体" w:eastAsia="宋体" w:hAnsi="宋体" w:cs="宋体" w:hint="eastAsia"/>
          <w:color w:val="000000"/>
          <w:sz w:val="21"/>
          <w:szCs w:val="21"/>
        </w:rPr>
        <w:t>31001559100056990042</w:t>
      </w:r>
    </w:p>
    <w:p w14:paraId="1A15F81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、资产托管人的托管费</w:t>
      </w:r>
    </w:p>
    <w:p w14:paraId="57DAAA3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本委托财产年托管费率为【</w:t>
      </w:r>
      <w:r>
        <w:rPr>
          <w:rFonts w:ascii="宋体" w:eastAsia="宋体" w:hAnsi="宋体" w:cs="宋体" w:hint="eastAsia"/>
          <w:sz w:val="21"/>
          <w:szCs w:val="21"/>
        </w:rPr>
        <w:t>0.0</w:t>
      </w:r>
      <w:r>
        <w:rPr>
          <w:rFonts w:ascii="宋体" w:eastAsia="宋体" w:hAnsi="宋体" w:cs="宋体" w:hint="eastAsia"/>
          <w:sz w:val="21"/>
          <w:szCs w:val="21"/>
        </w:rPr>
        <w:t>1</w:t>
      </w:r>
      <w:r>
        <w:rPr>
          <w:rFonts w:ascii="宋体" w:eastAsia="宋体" w:hAnsi="宋体" w:cs="宋体" w:hint="eastAsia"/>
          <w:sz w:val="21"/>
          <w:szCs w:val="21"/>
        </w:rPr>
        <w:t>】</w:t>
      </w:r>
      <w:r>
        <w:rPr>
          <w:rFonts w:ascii="宋体" w:eastAsia="宋体" w:hAnsi="宋体" w:cs="宋体" w:hint="eastAsia"/>
          <w:sz w:val="21"/>
          <w:szCs w:val="21"/>
        </w:rPr>
        <w:t>%</w:t>
      </w:r>
      <w:r>
        <w:rPr>
          <w:rFonts w:ascii="宋体" w:eastAsia="宋体" w:hAnsi="宋体" w:cs="宋体" w:hint="eastAsia"/>
          <w:sz w:val="21"/>
          <w:szCs w:val="21"/>
        </w:rPr>
        <w:t>。计算方法如下：</w:t>
      </w:r>
    </w:p>
    <w:p w14:paraId="7AC124D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H</w:t>
      </w:r>
      <w:r>
        <w:rPr>
          <w:rFonts w:ascii="宋体" w:eastAsia="宋体" w:hAnsi="宋体" w:cs="宋体" w:hint="eastAsia"/>
          <w:sz w:val="21"/>
          <w:szCs w:val="21"/>
        </w:rPr>
        <w:t>＝</w:t>
      </w:r>
      <w:r>
        <w:rPr>
          <w:rFonts w:ascii="宋体" w:eastAsia="宋体" w:hAnsi="宋体" w:cs="宋体" w:hint="eastAsia"/>
          <w:sz w:val="21"/>
          <w:szCs w:val="21"/>
        </w:rPr>
        <w:t>E</w:t>
      </w:r>
      <w:r>
        <w:rPr>
          <w:rFonts w:ascii="宋体" w:eastAsia="宋体" w:hAnsi="宋体" w:cs="宋体" w:hint="eastAsia"/>
          <w:sz w:val="21"/>
          <w:szCs w:val="21"/>
        </w:rPr>
        <w:t>×年托管费率÷</w:t>
      </w:r>
      <w:r>
        <w:rPr>
          <w:rFonts w:ascii="宋体" w:eastAsia="宋体" w:hAnsi="宋体" w:cs="宋体" w:hint="eastAsia"/>
          <w:sz w:val="21"/>
          <w:szCs w:val="21"/>
        </w:rPr>
        <w:t>365</w:t>
      </w:r>
    </w:p>
    <w:p w14:paraId="5EAE7D8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H</w:t>
      </w:r>
      <w:r>
        <w:rPr>
          <w:rFonts w:ascii="宋体" w:eastAsia="宋体" w:hAnsi="宋体" w:cs="宋体" w:hint="eastAsia"/>
          <w:sz w:val="21"/>
          <w:szCs w:val="21"/>
        </w:rPr>
        <w:t>为每日应计提的委托财产托管费</w:t>
      </w:r>
    </w:p>
    <w:p w14:paraId="6711A96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E</w:t>
      </w:r>
      <w:r>
        <w:rPr>
          <w:rFonts w:ascii="宋体" w:eastAsia="宋体" w:hAnsi="宋体" w:cs="宋体" w:hint="eastAsia"/>
          <w:sz w:val="21"/>
          <w:szCs w:val="21"/>
        </w:rPr>
        <w:t>为前一自然</w:t>
      </w:r>
      <w:proofErr w:type="gramStart"/>
      <w:r>
        <w:rPr>
          <w:rFonts w:ascii="宋体" w:eastAsia="宋体" w:hAnsi="宋体" w:cs="宋体" w:hint="eastAsia"/>
          <w:sz w:val="21"/>
          <w:szCs w:val="21"/>
        </w:rPr>
        <w:t>日委托</w:t>
      </w:r>
      <w:proofErr w:type="gramEnd"/>
      <w:r>
        <w:rPr>
          <w:rFonts w:ascii="宋体" w:eastAsia="宋体" w:hAnsi="宋体" w:cs="宋体" w:hint="eastAsia"/>
          <w:sz w:val="21"/>
          <w:szCs w:val="21"/>
        </w:rPr>
        <w:t>财产净值</w:t>
      </w:r>
    </w:p>
    <w:p w14:paraId="2B9C078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委托财产托管</w:t>
      </w:r>
      <w:proofErr w:type="gramStart"/>
      <w:r>
        <w:rPr>
          <w:rFonts w:ascii="宋体" w:eastAsia="宋体" w:hAnsi="宋体" w:cs="宋体" w:hint="eastAsia"/>
          <w:sz w:val="21"/>
          <w:szCs w:val="21"/>
        </w:rPr>
        <w:t>费自资产</w:t>
      </w:r>
      <w:proofErr w:type="gramEnd"/>
      <w:r>
        <w:rPr>
          <w:rFonts w:ascii="宋体" w:eastAsia="宋体" w:hAnsi="宋体" w:cs="宋体" w:hint="eastAsia"/>
          <w:sz w:val="21"/>
          <w:szCs w:val="21"/>
        </w:rPr>
        <w:t>计划成立日起，每日计提，按自然季度支付。由资产管理人向资产托管人发送划款指令，资产托管人复核后从资产管理计划财产中一次性支付给资产托管人。若因不可抗力或持有的委托财产无法及时变现致使无法按时支付的，则在不可抗力或无法变现情形消除后支付。本计划终止（包括提前或延期）后，依据清算程序支付托管人尚未支付的托管费。</w:t>
      </w:r>
    </w:p>
    <w:p w14:paraId="1BDA2B6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资产托管人托管费收费账户信息如下：</w:t>
      </w:r>
    </w:p>
    <w:p w14:paraId="1BBFC1F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户</w:t>
      </w:r>
      <w:r>
        <w:rPr>
          <w:rFonts w:ascii="宋体" w:eastAsia="宋体" w:hAnsi="宋体" w:cs="宋体" w:hint="eastAsia"/>
          <w:sz w:val="21"/>
          <w:szCs w:val="21"/>
        </w:rPr>
        <w:t xml:space="preserve">  </w:t>
      </w:r>
      <w:r>
        <w:rPr>
          <w:rFonts w:ascii="宋体" w:eastAsia="宋体" w:hAnsi="宋体" w:cs="宋体" w:hint="eastAsia"/>
          <w:sz w:val="21"/>
          <w:szCs w:val="21"/>
        </w:rPr>
        <w:t>名：基金托管费收入</w:t>
      </w:r>
    </w:p>
    <w:p w14:paraId="26811FB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开户行：中国光大银行（系统支付号</w:t>
      </w:r>
      <w:r>
        <w:rPr>
          <w:rFonts w:ascii="宋体" w:eastAsia="宋体" w:hAnsi="宋体" w:cs="宋体" w:hint="eastAsia"/>
          <w:sz w:val="21"/>
          <w:szCs w:val="21"/>
        </w:rPr>
        <w:t>303100000006</w:t>
      </w:r>
      <w:r>
        <w:rPr>
          <w:rFonts w:ascii="宋体" w:eastAsia="宋体" w:hAnsi="宋体" w:cs="宋体" w:hint="eastAsia"/>
          <w:sz w:val="21"/>
          <w:szCs w:val="21"/>
        </w:rPr>
        <w:t>）</w:t>
      </w:r>
    </w:p>
    <w:p w14:paraId="42AB4491" w14:textId="77777777" w:rsidR="00694F14" w:rsidRDefault="00A463B7">
      <w:pPr>
        <w:spacing w:line="360" w:lineRule="auto"/>
        <w:ind w:firstLine="480"/>
        <w:rPr>
          <w:rFonts w:ascii="宋体" w:eastAsia="宋体" w:hAnsi="宋体" w:cs="宋体"/>
          <w:sz w:val="21"/>
          <w:szCs w:val="21"/>
        </w:rPr>
      </w:pPr>
      <w:proofErr w:type="gramStart"/>
      <w:r>
        <w:rPr>
          <w:rFonts w:ascii="宋体" w:eastAsia="宋体" w:hAnsi="宋体" w:cs="宋体" w:hint="eastAsia"/>
          <w:sz w:val="21"/>
          <w:szCs w:val="21"/>
        </w:rPr>
        <w:t>账</w:t>
      </w:r>
      <w:proofErr w:type="gramEnd"/>
      <w:r>
        <w:rPr>
          <w:rFonts w:ascii="宋体" w:eastAsia="宋体" w:hAnsi="宋体" w:cs="宋体" w:hint="eastAsia"/>
          <w:sz w:val="21"/>
          <w:szCs w:val="21"/>
        </w:rPr>
        <w:t xml:space="preserve">  </w:t>
      </w:r>
      <w:r>
        <w:rPr>
          <w:rFonts w:ascii="宋体" w:eastAsia="宋体" w:hAnsi="宋体" w:cs="宋体" w:hint="eastAsia"/>
          <w:sz w:val="21"/>
          <w:szCs w:val="21"/>
        </w:rPr>
        <w:t>号：</w:t>
      </w:r>
      <w:r>
        <w:rPr>
          <w:rFonts w:ascii="宋体" w:eastAsia="宋体" w:hAnsi="宋体" w:cs="宋体" w:hint="eastAsia"/>
          <w:sz w:val="21"/>
          <w:szCs w:val="21"/>
        </w:rPr>
        <w:t>10010117380000001</w:t>
      </w:r>
    </w:p>
    <w:p w14:paraId="3F723D4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、上述</w:t>
      </w:r>
      <w:r>
        <w:rPr>
          <w:rFonts w:ascii="宋体" w:eastAsia="宋体" w:hAnsi="宋体" w:cs="宋体" w:hint="eastAsia"/>
          <w:sz w:val="21"/>
          <w:szCs w:val="21"/>
        </w:rPr>
        <w:t>(</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w:t>
      </w:r>
      <w:r>
        <w:rPr>
          <w:rFonts w:ascii="宋体" w:eastAsia="宋体" w:hAnsi="宋体" w:cs="宋体" w:hint="eastAsia"/>
          <w:sz w:val="21"/>
          <w:szCs w:val="21"/>
        </w:rPr>
        <w:t>中其他项费用由资产托管人根据其他有关法规及相应协议的规定，按费用支出金额支付，列入或摊入当期委托财产运作费用。</w:t>
      </w:r>
    </w:p>
    <w:p w14:paraId="1CA5950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hint="eastAsia"/>
          <w:sz w:val="21"/>
          <w:szCs w:val="21"/>
        </w:rPr>
        <w:t>三</w:t>
      </w:r>
      <w:r>
        <w:rPr>
          <w:rFonts w:ascii="宋体" w:eastAsia="宋体" w:hAnsi="宋体" w:cs="宋体" w:hint="eastAsia"/>
          <w:sz w:val="21"/>
          <w:szCs w:val="21"/>
        </w:rPr>
        <w:t>)</w:t>
      </w:r>
      <w:r>
        <w:rPr>
          <w:rFonts w:ascii="宋体" w:eastAsia="宋体" w:hAnsi="宋体" w:cs="宋体" w:hint="eastAsia"/>
          <w:sz w:val="21"/>
          <w:szCs w:val="21"/>
        </w:rPr>
        <w:t>不列入资产管理业务费用的项目</w:t>
      </w:r>
    </w:p>
    <w:p w14:paraId="1752E4E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、资产管理人和资产托管人因未履行或未完全履行义务导致的费用支出或委托财产的损失，以及处理与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管理计划财产运作无关的事项或不合理事项所发生的费用等不得列入资产管理计划的费用。</w:t>
      </w:r>
    </w:p>
    <w:p w14:paraId="6224C7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、资产管理计划成立前发生的费用，以及存续期间发生的与募集有关的费用，不得在计划资产中列支。</w:t>
      </w:r>
    </w:p>
    <w:p w14:paraId="38106D1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、其他根据相关法律法规及中国证监会、基金业协会的有关规定不得列入计划费用的项目。</w:t>
      </w:r>
    </w:p>
    <w:p w14:paraId="6936D33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四</w:t>
      </w:r>
      <w:r>
        <w:rPr>
          <w:rFonts w:ascii="宋体" w:eastAsia="宋体" w:hAnsi="宋体" w:cs="宋体" w:hint="eastAsia"/>
          <w:sz w:val="21"/>
          <w:szCs w:val="21"/>
        </w:rPr>
        <w:t>)</w:t>
      </w:r>
      <w:r>
        <w:rPr>
          <w:rFonts w:ascii="宋体" w:eastAsia="宋体" w:hAnsi="宋体" w:cs="宋体" w:hint="eastAsia"/>
          <w:sz w:val="21"/>
          <w:szCs w:val="21"/>
        </w:rPr>
        <w:t>资产管理人和资产托管人与全体资产委托人协商一致后，可根据市场发展情况调整资产管理费率、资产托管费率及业绩报酬计提水平（如有）并履行相应备案报告义务。</w:t>
      </w:r>
      <w:r>
        <w:rPr>
          <w:rFonts w:ascii="宋体" w:eastAsia="宋体" w:hAnsi="宋体" w:cs="宋体" w:hint="eastAsia"/>
          <w:sz w:val="21"/>
          <w:szCs w:val="21"/>
        </w:rPr>
        <w:t>本合同另有约定的，从其约定。调低管理费率、托管费率的，无需经资产委托人同意，但应以符合法律法规及本合同约定的方式及时向委托人披露。</w:t>
      </w:r>
    </w:p>
    <w:p w14:paraId="7752C5F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五</w:t>
      </w:r>
      <w:r>
        <w:rPr>
          <w:rFonts w:ascii="宋体" w:eastAsia="宋体" w:hAnsi="宋体" w:cs="宋体" w:hint="eastAsia"/>
          <w:sz w:val="21"/>
          <w:szCs w:val="21"/>
        </w:rPr>
        <w:t>)</w:t>
      </w:r>
      <w:r>
        <w:rPr>
          <w:rFonts w:ascii="宋体" w:eastAsia="宋体" w:hAnsi="宋体" w:cs="宋体" w:hint="eastAsia"/>
          <w:sz w:val="21"/>
          <w:szCs w:val="21"/>
        </w:rPr>
        <w:t>税收</w:t>
      </w:r>
    </w:p>
    <w:p w14:paraId="3D8189C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本计划运作过程中涉及的各纳税主体，其纳税义务按其适用的税收法律法规执行。因境外投资收到的分红、利息、股息等相关收入以标的资产管理人或其境外行政管理人派发的金额为准，直接确认收益。资产委托人应缴纳的税收，由资产委托人负责，资产管理人不承担代扣代缴或纳税的义务。</w:t>
      </w:r>
    </w:p>
    <w:p w14:paraId="2D8F19E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根据法律法规或财政、税务主管部门明确要求资产管理人</w:t>
      </w:r>
      <w:r>
        <w:rPr>
          <w:rFonts w:ascii="宋体" w:eastAsia="宋体" w:hAnsi="宋体" w:cs="宋体" w:hint="eastAsia"/>
          <w:sz w:val="21"/>
          <w:szCs w:val="21"/>
        </w:rPr>
        <w:t>/</w:t>
      </w:r>
      <w:r>
        <w:rPr>
          <w:rFonts w:ascii="宋体" w:eastAsia="宋体" w:hAnsi="宋体" w:cs="宋体" w:hint="eastAsia"/>
          <w:sz w:val="21"/>
          <w:szCs w:val="21"/>
        </w:rPr>
        <w:t>资产托管人代扣代缴或承担委托财产运营所产生的增值税或其他</w:t>
      </w:r>
      <w:r>
        <w:rPr>
          <w:rFonts w:ascii="宋体" w:eastAsia="宋体" w:hAnsi="宋体" w:cs="宋体" w:hint="eastAsia"/>
          <w:sz w:val="21"/>
          <w:szCs w:val="21"/>
        </w:rPr>
        <w:t>税费（如有）扣缴义务的，资产管理人</w:t>
      </w:r>
      <w:r>
        <w:rPr>
          <w:rFonts w:ascii="宋体" w:eastAsia="宋体" w:hAnsi="宋体" w:cs="宋体" w:hint="eastAsia"/>
          <w:sz w:val="21"/>
          <w:szCs w:val="21"/>
        </w:rPr>
        <w:t>/</w:t>
      </w:r>
      <w:r>
        <w:rPr>
          <w:rFonts w:ascii="宋体" w:eastAsia="宋体" w:hAnsi="宋体" w:cs="宋体" w:hint="eastAsia"/>
          <w:sz w:val="21"/>
          <w:szCs w:val="21"/>
        </w:rPr>
        <w:t>资产托管人有权根据实际情况遵照规则从本计划委托财产中提取并代扣代缴</w:t>
      </w:r>
      <w:r>
        <w:rPr>
          <w:rFonts w:ascii="宋体" w:eastAsia="宋体" w:hAnsi="宋体" w:cs="宋体" w:hint="eastAsia"/>
          <w:sz w:val="21"/>
          <w:szCs w:val="21"/>
        </w:rPr>
        <w:t>/</w:t>
      </w:r>
      <w:r>
        <w:rPr>
          <w:rFonts w:ascii="宋体" w:eastAsia="宋体" w:hAnsi="宋体" w:cs="宋体" w:hint="eastAsia"/>
          <w:sz w:val="21"/>
          <w:szCs w:val="21"/>
        </w:rPr>
        <w:t>缴纳。</w:t>
      </w:r>
    </w:p>
    <w:p w14:paraId="65E20D8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若本计划存续期间进行收益分配或开放赎回后，因本计划委托财产运营所涉相关税费存在应缴但未缴情形的，或本计划终止后出现税务主管部门向资产管理人</w:t>
      </w:r>
      <w:r>
        <w:rPr>
          <w:rFonts w:ascii="宋体" w:eastAsia="宋体" w:hAnsi="宋体" w:cs="宋体" w:hint="eastAsia"/>
          <w:sz w:val="21"/>
          <w:szCs w:val="21"/>
        </w:rPr>
        <w:t>/</w:t>
      </w:r>
      <w:r>
        <w:rPr>
          <w:rFonts w:ascii="宋体" w:eastAsia="宋体" w:hAnsi="宋体" w:cs="宋体" w:hint="eastAsia"/>
          <w:sz w:val="21"/>
          <w:szCs w:val="21"/>
        </w:rPr>
        <w:t>资产托管人追缴本计划委托财产运营的相关税收的，资产管理人、资产托管人有权向资产委托人追偿。</w:t>
      </w:r>
    </w:p>
    <w:p w14:paraId="2C2F01D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本计划应承担的相关税收由本计划委托财产直接缴付，或划付</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管理人账户并由资产管理人依据税务部门要求完成税款申报缴纳。本计划已经缴纳的税费除发生财政税务主管部门针对本计</w:t>
      </w:r>
      <w:r>
        <w:rPr>
          <w:rFonts w:ascii="宋体" w:eastAsia="宋体" w:hAnsi="宋体" w:cs="宋体" w:hint="eastAsia"/>
          <w:sz w:val="21"/>
          <w:szCs w:val="21"/>
        </w:rPr>
        <w:t>划退税以外，委托人不得要求管理人以任何方式向其返还或补偿该等税费。</w:t>
      </w:r>
    </w:p>
    <w:p w14:paraId="2266553F" w14:textId="77777777" w:rsidR="00694F14" w:rsidRDefault="00694F14">
      <w:pPr>
        <w:spacing w:line="360" w:lineRule="auto"/>
        <w:ind w:firstLine="480"/>
        <w:rPr>
          <w:rFonts w:ascii="宋体" w:eastAsia="宋体" w:hAnsi="宋体" w:cs="宋体"/>
          <w:sz w:val="21"/>
          <w:szCs w:val="21"/>
        </w:rPr>
      </w:pPr>
    </w:p>
    <w:p w14:paraId="4AE117F2" w14:textId="77777777" w:rsidR="00694F14" w:rsidRDefault="00A463B7">
      <w:pPr>
        <w:pStyle w:val="1"/>
        <w:spacing w:before="0" w:after="0" w:line="360" w:lineRule="auto"/>
        <w:jc w:val="center"/>
        <w:rPr>
          <w:rFonts w:ascii="宋体" w:eastAsia="宋体" w:hAnsi="宋体" w:cs="宋体"/>
          <w:sz w:val="21"/>
          <w:szCs w:val="21"/>
        </w:rPr>
      </w:pPr>
      <w:bookmarkStart w:id="63" w:name="_Toc70622201"/>
      <w:bookmarkStart w:id="64" w:name="_Toc401668946"/>
      <w:bookmarkStart w:id="65" w:name="_Toc194741919"/>
      <w:r>
        <w:rPr>
          <w:rFonts w:ascii="宋体" w:eastAsia="宋体" w:hAnsi="宋体" w:cs="宋体" w:hint="eastAsia"/>
          <w:sz w:val="21"/>
          <w:szCs w:val="21"/>
        </w:rPr>
        <w:t>二十二、资产管理计划的收益分配</w:t>
      </w:r>
      <w:bookmarkEnd w:id="63"/>
      <w:bookmarkEnd w:id="64"/>
      <w:bookmarkEnd w:id="65"/>
    </w:p>
    <w:p w14:paraId="38607263" w14:textId="77777777" w:rsidR="00694F14" w:rsidRDefault="00A463B7">
      <w:pPr>
        <w:spacing w:line="360" w:lineRule="auto"/>
        <w:ind w:left="480"/>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管理计划收益分配政策比照证券投资基金现行政策以及本合同约定执行。</w:t>
      </w:r>
    </w:p>
    <w:p w14:paraId="671100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（一）可供分配利润的构成</w:t>
      </w:r>
    </w:p>
    <w:p w14:paraId="1257B0B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收益分配的基准为本计划的累计未支付利润。本计划的累计未支付利润是指本计划的利息收入、投资收益、公允价值变动及其他收入等本计划运作产生的各项收入扣除管理费、托管费、运营服务费等运作产生的各项费用后的余额。</w:t>
      </w:r>
    </w:p>
    <w:p w14:paraId="4922BE22"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（二）资产管理人有权对本计划份额委托人进行收益分配，资产管理人有权决定是否进行收益分配。在符合分配条件</w:t>
      </w:r>
      <w:r>
        <w:rPr>
          <w:rFonts w:ascii="宋体" w:eastAsia="宋体" w:hAnsi="宋体" w:cs="宋体" w:hint="eastAsia"/>
          <w:b/>
          <w:sz w:val="21"/>
          <w:szCs w:val="21"/>
        </w:rPr>
        <w:t>下，资产管理人计算本计划可分配的收益，由资产管理人确定分配收益的金额、时间。在符合有关分红条件和收益分配原则的前提下进行收益分配，收益分配的相关事宜以管理人临时公告为准。</w:t>
      </w:r>
    </w:p>
    <w:p w14:paraId="54E508E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（三）存续期收益分配原则</w:t>
      </w:r>
    </w:p>
    <w:p w14:paraId="719344A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管理计划在存续期内可以进行收益分配。</w:t>
      </w:r>
    </w:p>
    <w:p w14:paraId="39BCD5F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w:t>
      </w:r>
      <w:proofErr w:type="gramStart"/>
      <w:r>
        <w:rPr>
          <w:rFonts w:ascii="宋体" w:eastAsia="宋体" w:hAnsi="宋体" w:cs="宋体" w:hint="eastAsia"/>
          <w:b/>
          <w:sz w:val="21"/>
          <w:szCs w:val="21"/>
        </w:rPr>
        <w:t>本资产</w:t>
      </w:r>
      <w:proofErr w:type="gramEnd"/>
      <w:r>
        <w:rPr>
          <w:rFonts w:ascii="宋体" w:eastAsia="宋体" w:hAnsi="宋体" w:cs="宋体" w:hint="eastAsia"/>
          <w:b/>
          <w:sz w:val="21"/>
          <w:szCs w:val="21"/>
        </w:rPr>
        <w:t>管理计划收益分配方式为红利再投资。</w:t>
      </w:r>
      <w:r>
        <w:rPr>
          <w:rFonts w:ascii="宋体" w:eastAsia="宋体" w:hAnsi="宋体" w:cs="宋体" w:hint="eastAsia"/>
          <w:sz w:val="21"/>
          <w:szCs w:val="21"/>
        </w:rPr>
        <w:t>收益分配时发生的银行转账等手续费用由资产委托人自行承担。</w:t>
      </w:r>
    </w:p>
    <w:p w14:paraId="1C6939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、计划收益分配后计划份额净值不能低于面值；即计划收益分配基准日的计划份额净值减去每单位</w:t>
      </w:r>
      <w:r>
        <w:rPr>
          <w:rFonts w:ascii="宋体" w:eastAsia="宋体" w:hAnsi="宋体" w:cs="宋体" w:hint="eastAsia"/>
          <w:sz w:val="21"/>
          <w:szCs w:val="21"/>
        </w:rPr>
        <w:lastRenderedPageBreak/>
        <w:t>计划份额收益分配金额后不能低于面值。</w:t>
      </w:r>
    </w:p>
    <w:p w14:paraId="0BDA40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、每一计划份额享有同等分配权。</w:t>
      </w:r>
    </w:p>
    <w:p w14:paraId="4EFBFE8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w:t>
      </w:r>
      <w:proofErr w:type="gramStart"/>
      <w:r>
        <w:rPr>
          <w:rFonts w:ascii="宋体" w:eastAsia="宋体" w:hAnsi="宋体" w:cs="宋体" w:hint="eastAsia"/>
          <w:b/>
          <w:bCs/>
          <w:sz w:val="21"/>
          <w:szCs w:val="21"/>
        </w:rPr>
        <w:t>本资产</w:t>
      </w:r>
      <w:proofErr w:type="gramEnd"/>
      <w:r>
        <w:rPr>
          <w:rFonts w:ascii="宋体" w:eastAsia="宋体" w:hAnsi="宋体" w:cs="宋体" w:hint="eastAsia"/>
          <w:b/>
          <w:bCs/>
          <w:sz w:val="21"/>
          <w:szCs w:val="21"/>
        </w:rPr>
        <w:t>管理计划收益分配频率</w:t>
      </w:r>
      <w:proofErr w:type="gramStart"/>
      <w:r>
        <w:rPr>
          <w:rFonts w:ascii="宋体" w:eastAsia="宋体" w:hAnsi="宋体" w:cs="宋体" w:hint="eastAsia"/>
          <w:b/>
          <w:bCs/>
          <w:sz w:val="21"/>
          <w:szCs w:val="21"/>
        </w:rPr>
        <w:t>每自然</w:t>
      </w:r>
      <w:proofErr w:type="gramEnd"/>
      <w:r>
        <w:rPr>
          <w:rFonts w:ascii="宋体" w:eastAsia="宋体" w:hAnsi="宋体" w:cs="宋体" w:hint="eastAsia"/>
          <w:b/>
          <w:bCs/>
          <w:sz w:val="21"/>
          <w:szCs w:val="21"/>
        </w:rPr>
        <w:t>年度不超过</w:t>
      </w:r>
      <w:r>
        <w:rPr>
          <w:rFonts w:ascii="宋体" w:eastAsia="宋体" w:hAnsi="宋体" w:cs="宋体" w:hint="eastAsia"/>
          <w:b/>
          <w:bCs/>
          <w:sz w:val="21"/>
          <w:szCs w:val="21"/>
        </w:rPr>
        <w:t>1</w:t>
      </w:r>
      <w:r>
        <w:rPr>
          <w:rFonts w:ascii="宋体" w:eastAsia="宋体" w:hAnsi="宋体" w:cs="宋体" w:hint="eastAsia"/>
          <w:b/>
          <w:bCs/>
          <w:sz w:val="21"/>
          <w:szCs w:val="21"/>
        </w:rPr>
        <w:t>次。</w:t>
      </w:r>
    </w:p>
    <w:p w14:paraId="345F777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、法律法规或监管机构另有规定的，从其规定。</w:t>
      </w:r>
    </w:p>
    <w:p w14:paraId="4D774A4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（四）收益分配方案的确定与通知</w:t>
      </w:r>
    </w:p>
    <w:p w14:paraId="7469602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本计划存续期内的收益分配方案由资产管理人确定，并由资产管理人告知资产委托人。</w:t>
      </w:r>
    </w:p>
    <w:p w14:paraId="099ABA9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（五）收益分配方案的执行方式</w:t>
      </w:r>
    </w:p>
    <w:p w14:paraId="0FF6226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在收益分配方案公布后，托管人根据管理人的收益分配方案和提供的红利金额的数据，在红利发放日进行处理。</w:t>
      </w:r>
    </w:p>
    <w:p w14:paraId="7091BB0D" w14:textId="77777777" w:rsidR="00694F14" w:rsidRDefault="00694F14">
      <w:pPr>
        <w:spacing w:line="360" w:lineRule="auto"/>
        <w:ind w:firstLine="480"/>
        <w:rPr>
          <w:rFonts w:ascii="宋体" w:eastAsia="宋体" w:hAnsi="宋体" w:cs="宋体"/>
          <w:sz w:val="21"/>
          <w:szCs w:val="21"/>
        </w:rPr>
      </w:pPr>
    </w:p>
    <w:p w14:paraId="21C1DD6E" w14:textId="77777777" w:rsidR="00694F14" w:rsidRDefault="00A463B7">
      <w:pPr>
        <w:pStyle w:val="1"/>
        <w:spacing w:before="0" w:after="0" w:line="360" w:lineRule="auto"/>
        <w:jc w:val="center"/>
        <w:rPr>
          <w:rFonts w:ascii="宋体" w:eastAsia="宋体" w:hAnsi="宋体" w:cs="宋体"/>
          <w:sz w:val="21"/>
          <w:szCs w:val="21"/>
        </w:rPr>
      </w:pPr>
      <w:bookmarkStart w:id="66" w:name="_Toc401668947"/>
      <w:bookmarkStart w:id="67" w:name="_Toc194741920"/>
      <w:bookmarkStart w:id="68" w:name="_Toc70622202"/>
      <w:r>
        <w:rPr>
          <w:rFonts w:ascii="宋体" w:eastAsia="宋体" w:hAnsi="宋体" w:cs="宋体" w:hint="eastAsia"/>
          <w:sz w:val="21"/>
          <w:szCs w:val="21"/>
        </w:rPr>
        <w:t>二十三、信</w:t>
      </w:r>
      <w:r>
        <w:rPr>
          <w:rFonts w:ascii="宋体" w:eastAsia="宋体" w:hAnsi="宋体" w:cs="宋体" w:hint="eastAsia"/>
          <w:sz w:val="21"/>
          <w:szCs w:val="21"/>
        </w:rPr>
        <w:t>息披露与报告</w:t>
      </w:r>
      <w:bookmarkEnd w:id="66"/>
      <w:bookmarkEnd w:id="67"/>
      <w:bookmarkEnd w:id="68"/>
    </w:p>
    <w:p w14:paraId="25589A9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（一）向资产委托人提供的报告</w:t>
      </w:r>
    </w:p>
    <w:p w14:paraId="532FF76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、年度报告</w:t>
      </w:r>
    </w:p>
    <w:p w14:paraId="72326AF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资产管理人应当在每年结束之日起</w:t>
      </w:r>
      <w:r>
        <w:rPr>
          <w:rFonts w:ascii="宋体" w:eastAsia="宋体" w:hAnsi="宋体" w:cs="宋体" w:hint="eastAsia"/>
          <w:sz w:val="21"/>
          <w:szCs w:val="21"/>
        </w:rPr>
        <w:t>4</w:t>
      </w:r>
      <w:r>
        <w:rPr>
          <w:rFonts w:ascii="宋体" w:eastAsia="宋体" w:hAnsi="宋体" w:cs="宋体" w:hint="eastAsia"/>
          <w:sz w:val="21"/>
          <w:szCs w:val="21"/>
        </w:rPr>
        <w:t>个月内，编制完成计划年度报告并经资产托管人复核。年度报告应当披露报告期内本资产管理计划运作情况，包括但不限于管理人履职报告、托管人履职报告、资产管理计划投资表现、资产管理计划投资组合报告（包括但不限于资产种类、投资比例等）、资产管理计划运用杠杆情况（如有）、资产管理计划财务会计报告、资产管理计划支付的管理费、托管费、业绩报酬（如有）等费用的计提基准、计提方式和支付方式、资产管理计划投资收益分配情况、投资经理变更、重大关联交易等涉及投资者权益的重大事项以及中国证监会及基金业协会</w:t>
      </w:r>
      <w:r>
        <w:rPr>
          <w:rFonts w:ascii="宋体" w:eastAsia="宋体" w:hAnsi="宋体" w:cs="宋体" w:hint="eastAsia"/>
          <w:sz w:val="21"/>
          <w:szCs w:val="21"/>
        </w:rPr>
        <w:t>规定的其他事项。资产管理人应于每年结束之日起</w:t>
      </w:r>
      <w:r>
        <w:rPr>
          <w:rFonts w:ascii="宋体" w:eastAsia="宋体" w:hAnsi="宋体" w:cs="宋体" w:hint="eastAsia"/>
          <w:sz w:val="21"/>
          <w:szCs w:val="21"/>
        </w:rPr>
        <w:t>3</w:t>
      </w:r>
      <w:r>
        <w:rPr>
          <w:rFonts w:ascii="宋体" w:eastAsia="宋体" w:hAnsi="宋体" w:cs="宋体" w:hint="eastAsia"/>
          <w:sz w:val="21"/>
          <w:szCs w:val="21"/>
        </w:rPr>
        <w:t>个月内完成年度报告，并将年度报告发送</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托管人复核，资产托管人在收到后</w:t>
      </w:r>
      <w:r>
        <w:rPr>
          <w:rFonts w:ascii="宋体" w:eastAsia="宋体" w:hAnsi="宋体" w:cs="宋体" w:hint="eastAsia"/>
          <w:sz w:val="21"/>
          <w:szCs w:val="21"/>
        </w:rPr>
        <w:t>1</w:t>
      </w:r>
      <w:r>
        <w:rPr>
          <w:rFonts w:ascii="宋体" w:eastAsia="宋体" w:hAnsi="宋体" w:cs="宋体" w:hint="eastAsia"/>
          <w:sz w:val="21"/>
          <w:szCs w:val="21"/>
        </w:rPr>
        <w:t>个月内完成对上述信息披露事项中定期报告中财务数据的复核，并将复核结果书面通知资产管理人。资产管理计划成立未满</w:t>
      </w:r>
      <w:r>
        <w:rPr>
          <w:rFonts w:ascii="宋体" w:eastAsia="宋体" w:hAnsi="宋体" w:cs="宋体" w:hint="eastAsia"/>
          <w:sz w:val="21"/>
          <w:szCs w:val="21"/>
        </w:rPr>
        <w:t>3</w:t>
      </w:r>
      <w:r>
        <w:rPr>
          <w:rFonts w:ascii="宋体" w:eastAsia="宋体" w:hAnsi="宋体" w:cs="宋体" w:hint="eastAsia"/>
          <w:sz w:val="21"/>
          <w:szCs w:val="21"/>
        </w:rPr>
        <w:t>个月或者存续期间不足</w:t>
      </w:r>
      <w:r>
        <w:rPr>
          <w:rFonts w:ascii="宋体" w:eastAsia="宋体" w:hAnsi="宋体" w:cs="宋体" w:hint="eastAsia"/>
          <w:sz w:val="21"/>
          <w:szCs w:val="21"/>
        </w:rPr>
        <w:t>3</w:t>
      </w:r>
      <w:r>
        <w:rPr>
          <w:rFonts w:ascii="宋体" w:eastAsia="宋体" w:hAnsi="宋体" w:cs="宋体" w:hint="eastAsia"/>
          <w:sz w:val="21"/>
          <w:szCs w:val="21"/>
        </w:rPr>
        <w:t>个月的，不编制当期的年度报告。</w:t>
      </w:r>
    </w:p>
    <w:p w14:paraId="133DF24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管理人的董事、监事、从业人员及其配偶、控股股东、实际控制人或者其他关联方参与本计划的，应向投资者充分披露。</w:t>
      </w:r>
    </w:p>
    <w:p w14:paraId="4A83526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、季度报告</w:t>
      </w:r>
    </w:p>
    <w:p w14:paraId="2AFCE20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资产管理人应当在每季度结束之日起</w:t>
      </w:r>
      <w:r>
        <w:rPr>
          <w:rFonts w:ascii="宋体" w:eastAsia="宋体" w:hAnsi="宋体" w:cs="宋体" w:hint="eastAsia"/>
          <w:sz w:val="21"/>
          <w:szCs w:val="21"/>
        </w:rPr>
        <w:t>1</w:t>
      </w:r>
      <w:r>
        <w:rPr>
          <w:rFonts w:ascii="宋体" w:eastAsia="宋体" w:hAnsi="宋体" w:cs="宋体" w:hint="eastAsia"/>
          <w:sz w:val="21"/>
          <w:szCs w:val="21"/>
        </w:rPr>
        <w:t>个月内，编制完成计划季度报告并经资产托管人复核。季度报告应当包括但不限于</w:t>
      </w:r>
      <w:r>
        <w:rPr>
          <w:rFonts w:ascii="宋体" w:eastAsia="宋体" w:hAnsi="宋体" w:cs="宋体" w:hint="eastAsia"/>
          <w:sz w:val="21"/>
          <w:szCs w:val="21"/>
        </w:rPr>
        <w:t>管理人履职报告、托管人履职报告、资产管理计划投资表现、资产管理计划投资组合报告（包括但不限于资产种类、投资比例等）、资产管理计划运用杠杆情况（如有）、资产管理计划支付</w:t>
      </w:r>
      <w:r>
        <w:rPr>
          <w:rFonts w:ascii="宋体" w:eastAsia="宋体" w:hAnsi="宋体" w:cs="宋体" w:hint="eastAsia"/>
          <w:sz w:val="21"/>
          <w:szCs w:val="21"/>
        </w:rPr>
        <w:lastRenderedPageBreak/>
        <w:t>的管理费、托管费、业绩报酬等费用的计提基准、计提方式和支付方式、资产管理计划投资收益分配情况、投资经理变更、重大关联交易等涉及投资者权益的重大事项以及中国证监会及基金业协会规定的其他事项。资产管理人应于每季度结束之日起</w:t>
      </w:r>
      <w:r>
        <w:rPr>
          <w:rFonts w:ascii="宋体" w:eastAsia="宋体" w:hAnsi="宋体" w:cs="宋体" w:hint="eastAsia"/>
          <w:sz w:val="21"/>
          <w:szCs w:val="21"/>
        </w:rPr>
        <w:t>20</w:t>
      </w:r>
      <w:r>
        <w:rPr>
          <w:rFonts w:ascii="宋体" w:eastAsia="宋体" w:hAnsi="宋体" w:cs="宋体" w:hint="eastAsia"/>
          <w:sz w:val="21"/>
          <w:szCs w:val="21"/>
        </w:rPr>
        <w:t>日内完成季度报告，并将季度报告发送</w:t>
      </w:r>
      <w:proofErr w:type="gramStart"/>
      <w:r>
        <w:rPr>
          <w:rFonts w:ascii="宋体" w:eastAsia="宋体" w:hAnsi="宋体" w:cs="宋体" w:hint="eastAsia"/>
          <w:sz w:val="21"/>
          <w:szCs w:val="21"/>
        </w:rPr>
        <w:t>至资产</w:t>
      </w:r>
      <w:proofErr w:type="gramEnd"/>
      <w:r>
        <w:rPr>
          <w:rFonts w:ascii="宋体" w:eastAsia="宋体" w:hAnsi="宋体" w:cs="宋体" w:hint="eastAsia"/>
          <w:sz w:val="21"/>
          <w:szCs w:val="21"/>
        </w:rPr>
        <w:t>托管人复核，资产托管人在收到后</w:t>
      </w:r>
      <w:r>
        <w:rPr>
          <w:rFonts w:ascii="宋体" w:eastAsia="宋体" w:hAnsi="宋体" w:cs="宋体" w:hint="eastAsia"/>
          <w:sz w:val="21"/>
          <w:szCs w:val="21"/>
        </w:rPr>
        <w:t>10</w:t>
      </w:r>
      <w:r>
        <w:rPr>
          <w:rFonts w:ascii="宋体" w:eastAsia="宋体" w:hAnsi="宋体" w:cs="宋体" w:hint="eastAsia"/>
          <w:sz w:val="21"/>
          <w:szCs w:val="21"/>
        </w:rPr>
        <w:t>日内完成对上述信息披露事项中定期报告中财务数据的复</w:t>
      </w:r>
      <w:r>
        <w:rPr>
          <w:rFonts w:ascii="宋体" w:eastAsia="宋体" w:hAnsi="宋体" w:cs="宋体" w:hint="eastAsia"/>
          <w:sz w:val="21"/>
          <w:szCs w:val="21"/>
        </w:rPr>
        <w:t>核，并将复核结果书面通知资产管理人。资产管理计划成立未满</w:t>
      </w:r>
      <w:r>
        <w:rPr>
          <w:rFonts w:ascii="宋体" w:eastAsia="宋体" w:hAnsi="宋体" w:cs="宋体" w:hint="eastAsia"/>
          <w:sz w:val="21"/>
          <w:szCs w:val="21"/>
        </w:rPr>
        <w:t>3</w:t>
      </w:r>
      <w:r>
        <w:rPr>
          <w:rFonts w:ascii="宋体" w:eastAsia="宋体" w:hAnsi="宋体" w:cs="宋体" w:hint="eastAsia"/>
          <w:sz w:val="21"/>
          <w:szCs w:val="21"/>
        </w:rPr>
        <w:t>个月或者存续期间不足</w:t>
      </w:r>
      <w:r>
        <w:rPr>
          <w:rFonts w:ascii="宋体" w:eastAsia="宋体" w:hAnsi="宋体" w:cs="宋体" w:hint="eastAsia"/>
          <w:sz w:val="21"/>
          <w:szCs w:val="21"/>
        </w:rPr>
        <w:t>3</w:t>
      </w:r>
      <w:r>
        <w:rPr>
          <w:rFonts w:ascii="宋体" w:eastAsia="宋体" w:hAnsi="宋体" w:cs="宋体" w:hint="eastAsia"/>
          <w:sz w:val="21"/>
          <w:szCs w:val="21"/>
        </w:rPr>
        <w:t>个月的，不编制当期的季度报告。</w:t>
      </w:r>
    </w:p>
    <w:p w14:paraId="4278119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管理人的董事、监事、从业人员及其配偶、控股股东、实际控制人或者其他关联方参与本计划的，应向投资者充分披露。</w:t>
      </w:r>
    </w:p>
    <w:p w14:paraId="1348A38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资产管理计划存续期内，管理人应向投资者指定的邮箱发送并披露包括但不限于资产管理计划投资的资产种类、投资比例等信息，具体以投资者要求为准。</w:t>
      </w:r>
    </w:p>
    <w:p w14:paraId="64B656A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、净值报告</w:t>
      </w:r>
    </w:p>
    <w:p w14:paraId="4227DC2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本计划成立后，资产管理人每日向资产委托人报告一次当期末经资产托管人复核的计划财产净值。</w:t>
      </w:r>
    </w:p>
    <w:p w14:paraId="0E358B9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、临时报告</w:t>
      </w:r>
    </w:p>
    <w:p w14:paraId="3738643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发生本合同约定的、可能影响资产委托人利</w:t>
      </w:r>
      <w:r>
        <w:rPr>
          <w:rFonts w:ascii="宋体" w:eastAsia="宋体" w:hAnsi="宋体" w:cs="宋体" w:hint="eastAsia"/>
          <w:sz w:val="21"/>
          <w:szCs w:val="21"/>
        </w:rPr>
        <w:t>益的重大事项时，资产管理人应当在事件发生之日起</w:t>
      </w:r>
      <w:r>
        <w:rPr>
          <w:rFonts w:ascii="宋体" w:eastAsia="宋体" w:hAnsi="宋体" w:cs="宋体" w:hint="eastAsia"/>
          <w:sz w:val="21"/>
          <w:szCs w:val="21"/>
        </w:rPr>
        <w:t>5</w:t>
      </w:r>
      <w:r>
        <w:rPr>
          <w:rFonts w:ascii="宋体" w:eastAsia="宋体" w:hAnsi="宋体" w:cs="宋体" w:hint="eastAsia"/>
          <w:sz w:val="21"/>
          <w:szCs w:val="21"/>
        </w:rPr>
        <w:t>日内及时通知资产委托人：</w:t>
      </w:r>
    </w:p>
    <w:p w14:paraId="0969555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）投资经理发生变动；</w:t>
      </w:r>
      <w:r>
        <w:rPr>
          <w:rFonts w:ascii="宋体" w:eastAsia="宋体" w:hAnsi="宋体" w:cs="宋体" w:hint="eastAsia"/>
          <w:sz w:val="21"/>
          <w:szCs w:val="21"/>
        </w:rPr>
        <w:t xml:space="preserve"> </w:t>
      </w:r>
    </w:p>
    <w:p w14:paraId="28FBCF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）涉及管理人资产管理业务、产品财产、托管人资产托管业务与本合同项下资产管理产品财产相关的行为的诉讼、仲裁、财产纠纷的，以及出现延期兑付、负面舆论、群体性事件等重大风险事件；</w:t>
      </w:r>
    </w:p>
    <w:p w14:paraId="5F5E27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）资产管理人、资产托管人托管业务部门与本合同项下资产管理计划财产相关的行为受到监管部门的严重行政处罚；</w:t>
      </w:r>
    </w:p>
    <w:p w14:paraId="3A2069D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）资产管理人及其董事、总经理及其他高级管理人员、投资经理受到严重行政处罚，资产托管人的托管业务或托管业务部门负责人受到严</w:t>
      </w:r>
      <w:r>
        <w:rPr>
          <w:rFonts w:ascii="宋体" w:eastAsia="宋体" w:hAnsi="宋体" w:cs="宋体" w:hint="eastAsia"/>
          <w:sz w:val="21"/>
          <w:szCs w:val="21"/>
        </w:rPr>
        <w:t>重行政处罚；</w:t>
      </w:r>
    </w:p>
    <w:p w14:paraId="088A7073" w14:textId="77777777" w:rsidR="00694F14" w:rsidRDefault="00A463B7">
      <w:pPr>
        <w:pStyle w:val="a4"/>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）资产管理人、资产托管人及其与</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管理计划相关的工作人员涉及包括但不限于欺诈、舞弊、重大负面舆情、下落不明、接受刑事调查或引起群体性事件等可能影响管理人、托管人履行合同义务，影响委托人权益的重大负面事件；</w:t>
      </w:r>
    </w:p>
    <w:p w14:paraId="4208967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）法律法规、监管机构、自律组织的其他事项。</w:t>
      </w:r>
    </w:p>
    <w:p w14:paraId="5E82016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、资产管理计划年度财务会计报告应当经具有证券相关业务资格的会计师事务所审计，审计机构应当对资产管理计划会计核算及净值计算等出具意见。</w:t>
      </w:r>
    </w:p>
    <w:p w14:paraId="3C7D2EB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、为免疑义，资产管理人向资产委托人提供的上述报告，不包括反映本计划交易过程的交易明细及</w:t>
      </w:r>
      <w:r>
        <w:rPr>
          <w:rFonts w:ascii="宋体" w:eastAsia="宋体" w:hAnsi="宋体" w:cs="宋体" w:hint="eastAsia"/>
          <w:sz w:val="21"/>
          <w:szCs w:val="21"/>
        </w:rPr>
        <w:lastRenderedPageBreak/>
        <w:t>交易凭证等信息。</w:t>
      </w:r>
    </w:p>
    <w:p w14:paraId="297578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（二）向资产委托人提供报告及资产委托人信息查询的方式</w:t>
      </w:r>
    </w:p>
    <w:p w14:paraId="1A8F0B9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资产管理人向资产委托人提供的报告，将严格按照以下方式进行（至少应包含电子邮件）。</w:t>
      </w:r>
    </w:p>
    <w:p w14:paraId="7CBC8C2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、资产管理人网站</w:t>
      </w:r>
    </w:p>
    <w:p w14:paraId="6858938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临时报告等有关</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管理计划的信息可在资产管理人网站上披露，资产委托人可随时查阅。</w:t>
      </w:r>
    </w:p>
    <w:p w14:paraId="292044B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资产管理人网站：【</w:t>
      </w:r>
      <w:r>
        <w:rPr>
          <w:rFonts w:ascii="宋体" w:eastAsia="宋体" w:hAnsi="宋体" w:cs="宋体" w:hint="eastAsia"/>
          <w:color w:val="000000"/>
          <w:sz w:val="21"/>
          <w:szCs w:val="21"/>
        </w:rPr>
        <w:t>www.eb</w:t>
      </w:r>
      <w:r>
        <w:rPr>
          <w:rFonts w:ascii="宋体" w:eastAsia="宋体" w:hAnsi="宋体" w:cs="宋体" w:hint="eastAsia"/>
          <w:color w:val="000000"/>
          <w:sz w:val="21"/>
          <w:szCs w:val="21"/>
        </w:rPr>
        <w:t>fcn.com</w:t>
      </w:r>
      <w:r>
        <w:rPr>
          <w:rFonts w:ascii="宋体" w:eastAsia="宋体" w:hAnsi="宋体" w:cs="宋体" w:hint="eastAsia"/>
          <w:sz w:val="21"/>
          <w:szCs w:val="21"/>
        </w:rPr>
        <w:t>】</w:t>
      </w:r>
    </w:p>
    <w:p w14:paraId="55F9BDF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、邮寄服务</w:t>
      </w:r>
    </w:p>
    <w:p w14:paraId="68F93BC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或代理销售机构（如有）向资产委托人邮寄定期报告、临时报告等有关本计划的信息。资产委托人在合同签署页上填写的通信地址为送达地址。通信地址如有变更，资产委托人应当及时通知资产管理人。</w:t>
      </w:r>
    </w:p>
    <w:p w14:paraId="3C77A1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、传真或电子邮件</w:t>
      </w:r>
    </w:p>
    <w:p w14:paraId="548630A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如资产委托人留有传真、电子邮箱等联系方式的，资产管理人应通过传真、电子邮件等方式将报告信息通知资产委托人。</w:t>
      </w:r>
    </w:p>
    <w:p w14:paraId="3B04421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w:t>
      </w:r>
      <w:r>
        <w:rPr>
          <w:rFonts w:ascii="宋体" w:eastAsia="宋体" w:hAnsi="宋体" w:cs="宋体" w:hint="eastAsia"/>
          <w:color w:val="000000"/>
          <w:sz w:val="21"/>
          <w:szCs w:val="21"/>
        </w:rPr>
        <w:t>对于通过</w:t>
      </w:r>
      <w:r>
        <w:rPr>
          <w:rFonts w:ascii="宋体" w:eastAsia="宋体" w:hAnsi="宋体" w:cs="宋体" w:hint="eastAsia"/>
          <w:sz w:val="21"/>
          <w:szCs w:val="21"/>
        </w:rPr>
        <w:t>代理</w:t>
      </w:r>
      <w:r>
        <w:rPr>
          <w:rFonts w:ascii="宋体" w:eastAsia="宋体" w:hAnsi="宋体" w:cs="宋体" w:hint="eastAsia"/>
          <w:color w:val="000000"/>
          <w:sz w:val="21"/>
          <w:szCs w:val="21"/>
        </w:rPr>
        <w:t>销售机构</w:t>
      </w:r>
      <w:r>
        <w:rPr>
          <w:rFonts w:ascii="宋体" w:eastAsia="宋体" w:hAnsi="宋体" w:cs="宋体" w:hint="eastAsia"/>
          <w:sz w:val="21"/>
          <w:szCs w:val="21"/>
        </w:rPr>
        <w:t>参与</w:t>
      </w:r>
      <w:r>
        <w:rPr>
          <w:rFonts w:ascii="宋体" w:eastAsia="宋体" w:hAnsi="宋体" w:cs="宋体" w:hint="eastAsia"/>
          <w:color w:val="000000"/>
          <w:sz w:val="21"/>
          <w:szCs w:val="21"/>
        </w:rPr>
        <w:t>本计划的</w:t>
      </w:r>
      <w:r>
        <w:rPr>
          <w:rFonts w:ascii="宋体" w:eastAsia="宋体" w:hAnsi="宋体" w:cs="宋体" w:hint="eastAsia"/>
          <w:sz w:val="21"/>
          <w:szCs w:val="21"/>
        </w:rPr>
        <w:t>资产</w:t>
      </w:r>
      <w:r>
        <w:rPr>
          <w:rFonts w:ascii="宋体" w:eastAsia="宋体" w:hAnsi="宋体" w:cs="宋体" w:hint="eastAsia"/>
          <w:color w:val="000000"/>
          <w:sz w:val="21"/>
          <w:szCs w:val="21"/>
        </w:rPr>
        <w:t>委托人，</w:t>
      </w:r>
      <w:r>
        <w:rPr>
          <w:rFonts w:ascii="宋体" w:eastAsia="宋体" w:hAnsi="宋体" w:cs="宋体" w:hint="eastAsia"/>
          <w:sz w:val="21"/>
          <w:szCs w:val="21"/>
        </w:rPr>
        <w:t>资产</w:t>
      </w:r>
      <w:r>
        <w:rPr>
          <w:rFonts w:ascii="宋体" w:eastAsia="宋体" w:hAnsi="宋体" w:cs="宋体" w:hint="eastAsia"/>
          <w:color w:val="000000"/>
          <w:sz w:val="21"/>
          <w:szCs w:val="21"/>
        </w:rPr>
        <w:t>管理人</w:t>
      </w:r>
      <w:r>
        <w:rPr>
          <w:rFonts w:ascii="宋体" w:eastAsia="宋体" w:hAnsi="宋体" w:cs="宋体" w:hint="eastAsia"/>
          <w:sz w:val="21"/>
          <w:szCs w:val="21"/>
        </w:rPr>
        <w:t>可</w:t>
      </w:r>
      <w:r>
        <w:rPr>
          <w:rFonts w:ascii="宋体" w:eastAsia="宋体" w:hAnsi="宋体" w:cs="宋体" w:hint="eastAsia"/>
          <w:color w:val="000000"/>
          <w:sz w:val="21"/>
          <w:szCs w:val="21"/>
        </w:rPr>
        <w:t>将信息披露文件发送给</w:t>
      </w:r>
      <w:r>
        <w:rPr>
          <w:rFonts w:ascii="宋体" w:eastAsia="宋体" w:hAnsi="宋体" w:cs="宋体" w:hint="eastAsia"/>
          <w:sz w:val="21"/>
          <w:szCs w:val="21"/>
        </w:rPr>
        <w:t>代理</w:t>
      </w:r>
      <w:r>
        <w:rPr>
          <w:rFonts w:ascii="宋体" w:eastAsia="宋体" w:hAnsi="宋体" w:cs="宋体" w:hint="eastAsia"/>
          <w:color w:val="000000"/>
          <w:sz w:val="21"/>
          <w:szCs w:val="21"/>
        </w:rPr>
        <w:t>销售机构，由</w:t>
      </w:r>
      <w:r>
        <w:rPr>
          <w:rFonts w:ascii="宋体" w:eastAsia="宋体" w:hAnsi="宋体" w:cs="宋体" w:hint="eastAsia"/>
          <w:sz w:val="21"/>
          <w:szCs w:val="21"/>
        </w:rPr>
        <w:t>代理</w:t>
      </w:r>
      <w:r>
        <w:rPr>
          <w:rFonts w:ascii="宋体" w:eastAsia="宋体" w:hAnsi="宋体" w:cs="宋体" w:hint="eastAsia"/>
          <w:color w:val="000000"/>
          <w:sz w:val="21"/>
          <w:szCs w:val="21"/>
        </w:rPr>
        <w:t>销售机构代为向</w:t>
      </w:r>
      <w:r>
        <w:rPr>
          <w:rFonts w:ascii="宋体" w:eastAsia="宋体" w:hAnsi="宋体" w:cs="宋体" w:hint="eastAsia"/>
          <w:sz w:val="21"/>
          <w:szCs w:val="21"/>
        </w:rPr>
        <w:t>资产</w:t>
      </w:r>
      <w:r>
        <w:rPr>
          <w:rFonts w:ascii="宋体" w:eastAsia="宋体" w:hAnsi="宋体" w:cs="宋体" w:hint="eastAsia"/>
          <w:color w:val="000000"/>
          <w:sz w:val="21"/>
          <w:szCs w:val="21"/>
        </w:rPr>
        <w:t>委托人披露。</w:t>
      </w:r>
    </w:p>
    <w:p w14:paraId="2D684FA3" w14:textId="77777777" w:rsidR="00694F14" w:rsidRDefault="00A463B7">
      <w:pPr>
        <w:spacing w:line="360" w:lineRule="auto"/>
        <w:ind w:firstLine="480"/>
        <w:rPr>
          <w:rFonts w:ascii="宋体" w:eastAsia="宋体" w:hAnsi="宋体" w:cs="宋体"/>
          <w:sz w:val="21"/>
          <w:szCs w:val="21"/>
        </w:rPr>
      </w:pPr>
      <w:bookmarkStart w:id="69" w:name="OLE_LINK39"/>
      <w:r>
        <w:rPr>
          <w:rFonts w:ascii="宋体" w:eastAsia="宋体" w:hAnsi="宋体" w:cs="宋体" w:hint="eastAsia"/>
          <w:sz w:val="21"/>
          <w:szCs w:val="21"/>
        </w:rPr>
        <w:t>（三）向监管机构提供的报告</w:t>
      </w:r>
    </w:p>
    <w:p w14:paraId="15C3ED8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资产管理人、资产托管人应当根据法律法规和监管机构及自律组织的要求履行报告义务。</w:t>
      </w:r>
      <w:bookmarkEnd w:id="69"/>
    </w:p>
    <w:p w14:paraId="187CB25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应当在每季度结束之日起一个月内，编制私募资产管理业务管理季度报告，并报中国证监会相关派出机构和基金业协会备案。资产管理人应当在每年度结束之日起四个月内，编制私募资产管理业务管理年度报告，并报中国证监会相关派出机构和基金业协会备案。资产托管人应当在每年度结束之日起四个月内，编制托管年度报告。</w:t>
      </w:r>
    </w:p>
    <w:p w14:paraId="02D3242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其他需向监管机构报告的事项，资产管理人、资产托管人将根据《指导意见》、《管理办法》、《运作规定》及其他法律、行政法规、监管规定及要</w:t>
      </w:r>
      <w:r>
        <w:rPr>
          <w:rFonts w:ascii="宋体" w:eastAsia="宋体" w:hAnsi="宋体" w:cs="宋体" w:hint="eastAsia"/>
          <w:sz w:val="21"/>
          <w:szCs w:val="21"/>
        </w:rPr>
        <w:t>求进行及时报告。</w:t>
      </w:r>
    </w:p>
    <w:p w14:paraId="791DBC0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上述报告事项均依据现行有效的法律法规列举，未来监管机构对向其报告的种类、内容、时间和途径等有新规定或新要求的，本集合计划将按照新规定、新要求执行，无需另行履行合同变更程序。</w:t>
      </w:r>
    </w:p>
    <w:p w14:paraId="04C29783" w14:textId="77777777" w:rsidR="00694F14" w:rsidRDefault="00694F14">
      <w:pPr>
        <w:spacing w:line="360" w:lineRule="auto"/>
        <w:ind w:firstLine="540"/>
        <w:rPr>
          <w:rFonts w:ascii="宋体" w:eastAsia="宋体" w:hAnsi="宋体" w:cs="宋体"/>
          <w:sz w:val="21"/>
          <w:szCs w:val="21"/>
        </w:rPr>
      </w:pPr>
    </w:p>
    <w:p w14:paraId="383B2DAB" w14:textId="77777777" w:rsidR="00694F14" w:rsidRDefault="00A463B7">
      <w:pPr>
        <w:pStyle w:val="1"/>
        <w:spacing w:before="0" w:after="0" w:line="360" w:lineRule="auto"/>
        <w:jc w:val="center"/>
        <w:rPr>
          <w:rFonts w:ascii="宋体" w:eastAsia="宋体" w:hAnsi="宋体" w:cs="宋体"/>
          <w:sz w:val="21"/>
          <w:szCs w:val="21"/>
        </w:rPr>
      </w:pPr>
      <w:bookmarkStart w:id="70" w:name="_Toc194741921"/>
      <w:bookmarkStart w:id="71" w:name="_Toc70622203"/>
      <w:bookmarkStart w:id="72" w:name="_Toc401668948"/>
      <w:r>
        <w:rPr>
          <w:rFonts w:ascii="宋体" w:eastAsia="宋体" w:hAnsi="宋体" w:cs="宋体" w:hint="eastAsia"/>
          <w:sz w:val="21"/>
          <w:szCs w:val="21"/>
        </w:rPr>
        <w:t>二十四、风险揭示</w:t>
      </w:r>
      <w:bookmarkEnd w:id="70"/>
      <w:bookmarkEnd w:id="71"/>
      <w:bookmarkEnd w:id="72"/>
    </w:p>
    <w:p w14:paraId="5153D1F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计划投资可能面临下列各项风险，包括但不限于：</w:t>
      </w:r>
    </w:p>
    <w:p w14:paraId="17AB9AB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（一）资产管理计划面临的一般风险</w:t>
      </w:r>
    </w:p>
    <w:p w14:paraId="2D5B6D7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、本金损失风险</w:t>
      </w:r>
    </w:p>
    <w:p w14:paraId="278277C5" w14:textId="77777777" w:rsidR="00694F14" w:rsidRDefault="00A463B7">
      <w:pPr>
        <w:widowControl/>
        <w:spacing w:line="360" w:lineRule="auto"/>
        <w:ind w:firstLine="480"/>
        <w:jc w:val="left"/>
        <w:rPr>
          <w:rFonts w:ascii="宋体" w:eastAsia="宋体" w:hAnsi="宋体" w:cs="宋体"/>
          <w:sz w:val="21"/>
          <w:szCs w:val="21"/>
        </w:rPr>
      </w:pPr>
      <w:r>
        <w:rPr>
          <w:rFonts w:ascii="宋体" w:eastAsia="宋体" w:hAnsi="宋体" w:cs="宋体" w:hint="eastAsia"/>
          <w:sz w:val="21"/>
          <w:szCs w:val="21"/>
        </w:rPr>
        <w:t>管理人依照恪尽职守、诚实信用、谨慎勤勉的原则管理和运用计划财产，但不保证计划财产中的认购</w:t>
      </w:r>
      <w:r>
        <w:rPr>
          <w:rFonts w:ascii="宋体" w:eastAsia="宋体" w:hAnsi="宋体" w:cs="宋体" w:hint="eastAsia"/>
          <w:sz w:val="21"/>
          <w:szCs w:val="21"/>
        </w:rPr>
        <w:t>/</w:t>
      </w:r>
      <w:r>
        <w:rPr>
          <w:rFonts w:ascii="宋体" w:eastAsia="宋体" w:hAnsi="宋体" w:cs="宋体" w:hint="eastAsia"/>
          <w:sz w:val="21"/>
          <w:szCs w:val="21"/>
        </w:rPr>
        <w:t>参与资金本金不受损失，也不保证一定盈利及最低收益。</w:t>
      </w:r>
    </w:p>
    <w:p w14:paraId="533993B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在发生揭示的风险及其他尚不能预知的风险而导致本计划项下计划财产重大损失的，委托人可能发生委托本金损失的风险。</w:t>
      </w:r>
    </w:p>
    <w:p w14:paraId="62E584F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b/>
          <w:bCs/>
          <w:sz w:val="21"/>
          <w:szCs w:val="21"/>
        </w:rPr>
        <w:t>本计划属于【</w:t>
      </w:r>
      <w:r>
        <w:rPr>
          <w:rFonts w:ascii="宋体" w:eastAsia="宋体" w:hAnsi="宋体" w:cs="宋体" w:hint="eastAsia"/>
          <w:b/>
          <w:bCs/>
          <w:sz w:val="21"/>
          <w:szCs w:val="21"/>
        </w:rPr>
        <w:t>R4</w:t>
      </w:r>
      <w:r>
        <w:rPr>
          <w:rFonts w:ascii="宋体" w:eastAsia="宋体" w:hAnsi="宋体" w:cs="宋体" w:hint="eastAsia"/>
          <w:b/>
          <w:bCs/>
          <w:sz w:val="21"/>
          <w:szCs w:val="21"/>
        </w:rPr>
        <w:t>】投资品种，适合风险识别、评估、承受能力【</w:t>
      </w:r>
      <w:r>
        <w:rPr>
          <w:rFonts w:ascii="宋体" w:eastAsia="宋体" w:hAnsi="宋体" w:cs="宋体" w:hint="eastAsia"/>
          <w:b/>
          <w:bCs/>
          <w:sz w:val="21"/>
          <w:szCs w:val="21"/>
        </w:rPr>
        <w:t>C4</w:t>
      </w:r>
      <w:r>
        <w:rPr>
          <w:rFonts w:ascii="宋体" w:eastAsia="宋体" w:hAnsi="宋体" w:cs="宋体" w:hint="eastAsia"/>
          <w:b/>
          <w:bCs/>
          <w:sz w:val="21"/>
          <w:szCs w:val="21"/>
        </w:rPr>
        <w:t>、</w:t>
      </w:r>
      <w:r>
        <w:rPr>
          <w:rFonts w:ascii="宋体" w:eastAsia="宋体" w:hAnsi="宋体" w:cs="宋体" w:hint="eastAsia"/>
          <w:b/>
          <w:bCs/>
          <w:sz w:val="21"/>
          <w:szCs w:val="21"/>
        </w:rPr>
        <w:t>C5</w:t>
      </w:r>
      <w:r>
        <w:rPr>
          <w:rFonts w:ascii="宋体" w:eastAsia="宋体" w:hAnsi="宋体" w:cs="宋体" w:hint="eastAsia"/>
          <w:b/>
          <w:bCs/>
          <w:sz w:val="21"/>
          <w:szCs w:val="21"/>
        </w:rPr>
        <w:t>、专业投资者】的合格投资者。</w:t>
      </w:r>
      <w:r>
        <w:rPr>
          <w:rFonts w:ascii="宋体" w:eastAsia="宋体" w:hAnsi="宋体" w:cs="宋体" w:hint="eastAsia"/>
          <w:b/>
          <w:bCs/>
          <w:sz w:val="21"/>
          <w:szCs w:val="21"/>
        </w:rPr>
        <w:t xml:space="preserve"> </w:t>
      </w:r>
    </w:p>
    <w:p w14:paraId="1A2AC04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、市场风险</w:t>
      </w:r>
      <w:r>
        <w:rPr>
          <w:rFonts w:ascii="宋体" w:eastAsia="宋体" w:hAnsi="宋体" w:cs="宋体" w:hint="eastAsia"/>
          <w:sz w:val="21"/>
          <w:szCs w:val="21"/>
        </w:rPr>
        <w:t xml:space="preserve"> </w:t>
      </w:r>
    </w:p>
    <w:p w14:paraId="751E9D9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资产管理计划的投资品种价格因受到经济因素、政治因素、投资心理和交易制度等各种因素的影响，导致委托财产收益水平变化，产生风险，主要包括：</w:t>
      </w:r>
      <w:r>
        <w:rPr>
          <w:rFonts w:ascii="宋体" w:eastAsia="宋体" w:hAnsi="宋体" w:cs="宋体" w:hint="eastAsia"/>
          <w:sz w:val="21"/>
          <w:szCs w:val="21"/>
        </w:rPr>
        <w:t xml:space="preserve"> </w:t>
      </w:r>
    </w:p>
    <w:p w14:paraId="329055C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w:t>
      </w:r>
      <w:r>
        <w:rPr>
          <w:rFonts w:ascii="宋体" w:eastAsia="宋体" w:hAnsi="宋体" w:cs="宋体" w:hint="eastAsia"/>
          <w:sz w:val="21"/>
          <w:szCs w:val="21"/>
        </w:rPr>
        <w:t>政策风险</w:t>
      </w:r>
      <w:r>
        <w:rPr>
          <w:rFonts w:ascii="宋体" w:eastAsia="宋体" w:hAnsi="宋体" w:cs="宋体" w:hint="eastAsia"/>
          <w:sz w:val="21"/>
          <w:szCs w:val="21"/>
        </w:rPr>
        <w:t xml:space="preserve"> </w:t>
      </w:r>
    </w:p>
    <w:p w14:paraId="663704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因国家宏观政策（如货币政策、财政政策、行业政策、地区发展政策等）发生变化，导致市场价格波动而产生风险。</w:t>
      </w:r>
      <w:r>
        <w:rPr>
          <w:rFonts w:ascii="宋体" w:eastAsia="宋体" w:hAnsi="宋体" w:cs="宋体" w:hint="eastAsia"/>
          <w:sz w:val="21"/>
          <w:szCs w:val="21"/>
        </w:rPr>
        <w:t xml:space="preserve"> </w:t>
      </w:r>
    </w:p>
    <w:p w14:paraId="67BE8E6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）经济周期风险</w:t>
      </w:r>
      <w:r>
        <w:rPr>
          <w:rFonts w:ascii="宋体" w:eastAsia="宋体" w:hAnsi="宋体" w:cs="宋体" w:hint="eastAsia"/>
          <w:sz w:val="21"/>
          <w:szCs w:val="21"/>
        </w:rPr>
        <w:t xml:space="preserve"> </w:t>
      </w:r>
    </w:p>
    <w:p w14:paraId="1469A59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随经济运行的周期性变化，证券、期货市场的收益水平也呈周期性变化。委托财产投资于债券与上市公司的股票，收益水平也会随之变化，从而产生风险。</w:t>
      </w:r>
      <w:r>
        <w:rPr>
          <w:rFonts w:ascii="宋体" w:eastAsia="宋体" w:hAnsi="宋体" w:cs="宋体" w:hint="eastAsia"/>
          <w:sz w:val="21"/>
          <w:szCs w:val="21"/>
        </w:rPr>
        <w:t xml:space="preserve"> </w:t>
      </w:r>
    </w:p>
    <w:p w14:paraId="34015C3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）利率风险</w:t>
      </w:r>
      <w:r>
        <w:rPr>
          <w:rFonts w:ascii="宋体" w:eastAsia="宋体" w:hAnsi="宋体" w:cs="宋体" w:hint="eastAsia"/>
          <w:sz w:val="21"/>
          <w:szCs w:val="21"/>
        </w:rPr>
        <w:t xml:space="preserve"> </w:t>
      </w:r>
    </w:p>
    <w:p w14:paraId="333C11E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金融市场利率的波动会导致证券市场价格和收益率的变动。利率直接影响着债券的价格和收益率，影响着企业的融资成本和利润。委托财产投资于债券和股票，其收益水平会受到利率变化的影响。</w:t>
      </w:r>
      <w:r>
        <w:rPr>
          <w:rFonts w:ascii="宋体" w:eastAsia="宋体" w:hAnsi="宋体" w:cs="宋体" w:hint="eastAsia"/>
          <w:sz w:val="21"/>
          <w:szCs w:val="21"/>
        </w:rPr>
        <w:t xml:space="preserve"> </w:t>
      </w:r>
    </w:p>
    <w:p w14:paraId="2286EB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）上市公司经营风险</w:t>
      </w:r>
      <w:r>
        <w:rPr>
          <w:rFonts w:ascii="宋体" w:eastAsia="宋体" w:hAnsi="宋体" w:cs="宋体" w:hint="eastAsia"/>
          <w:sz w:val="21"/>
          <w:szCs w:val="21"/>
        </w:rPr>
        <w:t xml:space="preserve"> </w:t>
      </w:r>
    </w:p>
    <w:p w14:paraId="2D0F577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上市公司的经</w:t>
      </w:r>
      <w:r>
        <w:rPr>
          <w:rFonts w:ascii="宋体" w:eastAsia="宋体" w:hAnsi="宋体" w:cs="宋体" w:hint="eastAsia"/>
          <w:sz w:val="21"/>
          <w:szCs w:val="21"/>
        </w:rPr>
        <w:t>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w:t>
      </w:r>
      <w:r>
        <w:rPr>
          <w:rFonts w:ascii="宋体" w:eastAsia="宋体" w:hAnsi="宋体" w:cs="宋体" w:hint="eastAsia"/>
          <w:sz w:val="21"/>
          <w:szCs w:val="21"/>
        </w:rPr>
        <w:t xml:space="preserve"> </w:t>
      </w:r>
    </w:p>
    <w:p w14:paraId="409ADF2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）购买力风险</w:t>
      </w:r>
      <w:r>
        <w:rPr>
          <w:rFonts w:ascii="宋体" w:eastAsia="宋体" w:hAnsi="宋体" w:cs="宋体" w:hint="eastAsia"/>
          <w:sz w:val="21"/>
          <w:szCs w:val="21"/>
        </w:rPr>
        <w:t xml:space="preserve"> </w:t>
      </w:r>
    </w:p>
    <w:p w14:paraId="106F7E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委托财产的利润将主要通过现金形式来分配，而现金可能因为通货膨胀的影响而导致购买力下降，从而使委托财产的实际收益下降。</w:t>
      </w:r>
      <w:r>
        <w:rPr>
          <w:rFonts w:ascii="宋体" w:eastAsia="宋体" w:hAnsi="宋体" w:cs="宋体" w:hint="eastAsia"/>
          <w:sz w:val="21"/>
          <w:szCs w:val="21"/>
        </w:rPr>
        <w:t xml:space="preserve"> </w:t>
      </w:r>
    </w:p>
    <w:p w14:paraId="205EBD0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6</w:t>
      </w:r>
      <w:r>
        <w:rPr>
          <w:rFonts w:ascii="宋体" w:eastAsia="宋体" w:hAnsi="宋体" w:cs="宋体" w:hint="eastAsia"/>
          <w:sz w:val="21"/>
          <w:szCs w:val="21"/>
        </w:rPr>
        <w:t>）债券收益率曲线风险</w:t>
      </w:r>
      <w:r>
        <w:rPr>
          <w:rFonts w:ascii="宋体" w:eastAsia="宋体" w:hAnsi="宋体" w:cs="宋体" w:hint="eastAsia"/>
          <w:sz w:val="21"/>
          <w:szCs w:val="21"/>
        </w:rPr>
        <w:t xml:space="preserve"> </w:t>
      </w:r>
    </w:p>
    <w:p w14:paraId="6D86AC9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债券收益率曲线风险是指与收益率曲线非平行移动有关的风险</w:t>
      </w:r>
      <w:r>
        <w:rPr>
          <w:rFonts w:ascii="宋体" w:eastAsia="宋体" w:hAnsi="宋体" w:cs="宋体" w:hint="eastAsia"/>
          <w:sz w:val="21"/>
          <w:szCs w:val="21"/>
        </w:rPr>
        <w:t>，单一的</w:t>
      </w:r>
      <w:proofErr w:type="gramStart"/>
      <w:r>
        <w:rPr>
          <w:rFonts w:ascii="宋体" w:eastAsia="宋体" w:hAnsi="宋体" w:cs="宋体" w:hint="eastAsia"/>
          <w:sz w:val="21"/>
          <w:szCs w:val="21"/>
        </w:rPr>
        <w:t>久期指标</w:t>
      </w:r>
      <w:proofErr w:type="gramEnd"/>
      <w:r>
        <w:rPr>
          <w:rFonts w:ascii="宋体" w:eastAsia="宋体" w:hAnsi="宋体" w:cs="宋体" w:hint="eastAsia"/>
          <w:sz w:val="21"/>
          <w:szCs w:val="21"/>
        </w:rPr>
        <w:t>并不能充分反映这一风险的存在。</w:t>
      </w:r>
      <w:r>
        <w:rPr>
          <w:rFonts w:ascii="宋体" w:eastAsia="宋体" w:hAnsi="宋体" w:cs="宋体" w:hint="eastAsia"/>
          <w:sz w:val="21"/>
          <w:szCs w:val="21"/>
        </w:rPr>
        <w:t xml:space="preserve"> </w:t>
      </w:r>
    </w:p>
    <w:p w14:paraId="629881D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7</w:t>
      </w:r>
      <w:r>
        <w:rPr>
          <w:rFonts w:ascii="宋体" w:eastAsia="宋体" w:hAnsi="宋体" w:cs="宋体" w:hint="eastAsia"/>
          <w:sz w:val="21"/>
          <w:szCs w:val="21"/>
        </w:rPr>
        <w:t>）再投资风险</w:t>
      </w:r>
      <w:r>
        <w:rPr>
          <w:rFonts w:ascii="宋体" w:eastAsia="宋体" w:hAnsi="宋体" w:cs="宋体" w:hint="eastAsia"/>
          <w:sz w:val="21"/>
          <w:szCs w:val="21"/>
        </w:rPr>
        <w:t xml:space="preserve"> </w:t>
      </w:r>
    </w:p>
    <w:p w14:paraId="0FB9CC2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65DAC79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8</w:t>
      </w:r>
      <w:r>
        <w:rPr>
          <w:rFonts w:ascii="宋体" w:eastAsia="宋体" w:hAnsi="宋体" w:cs="宋体" w:hint="eastAsia"/>
          <w:sz w:val="21"/>
          <w:szCs w:val="21"/>
        </w:rPr>
        <w:t>）衍生品风险</w:t>
      </w:r>
    </w:p>
    <w:p w14:paraId="1527E59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金融衍生品具有的杠杆性、虚拟性、国际性等特性决定了其高风险性，衍生品市场本身所蕴藏的巨大风险。若管理人投资决策失误，可能导致资产管理计划出现损失。</w:t>
      </w:r>
    </w:p>
    <w:p w14:paraId="36A0983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、管理风险</w:t>
      </w:r>
    </w:p>
    <w:p w14:paraId="49FD650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资产管理计划运作过程中，管理人</w:t>
      </w:r>
      <w:r>
        <w:rPr>
          <w:rFonts w:ascii="宋体" w:eastAsia="宋体" w:hAnsi="宋体" w:cs="宋体" w:hint="eastAsia"/>
          <w:sz w:val="21"/>
          <w:szCs w:val="21"/>
        </w:rPr>
        <w:t>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14:paraId="191A9E7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、流动性风险</w:t>
      </w:r>
    </w:p>
    <w:p w14:paraId="2D3DB63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在市场或投资品种流动性不足的情况下，资产管理人可能无法迅速、低成本地调整投资计划，或者转变成现金会对资产价格造成重大不利影响</w:t>
      </w:r>
      <w:r>
        <w:rPr>
          <w:rFonts w:ascii="宋体" w:eastAsia="宋体" w:hAnsi="宋体" w:cs="宋体" w:hint="eastAsia"/>
          <w:sz w:val="21"/>
          <w:szCs w:val="21"/>
        </w:rPr>
        <w:t>，从而对计划收益造成不利影响。</w:t>
      </w:r>
    </w:p>
    <w:p w14:paraId="338408F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在资产委托人在开放期内参与或退出资产管理计划时，可能存在现金不足的风险和现金过多带来的收益下降风险。</w:t>
      </w:r>
    </w:p>
    <w:p w14:paraId="6B57B86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当本计划出现巨额退出或连续巨额退出等本合同约定情形，资产管理人有权暂停退出、延期退出或延期支付退出款项，该等情形的发生将直接影响资产委托人投资变现。</w:t>
      </w:r>
    </w:p>
    <w:p w14:paraId="1F4B144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、信用风险</w:t>
      </w:r>
    </w:p>
    <w:p w14:paraId="1E54AF6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信用风险是债务人的违约风险，主要体现在信用产品中。在委托资产投资运作中，如果资产管理人的信用研究水平不足，对信用产品的判断不准确，可能使委托资产承受信用风险所带来的损失。</w:t>
      </w:r>
    </w:p>
    <w:p w14:paraId="31D98ED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本计划交易对手方发生交易违约或者计划持仓债券的发行人拒绝支付债券本息，导致资产管理计划财产损失。</w:t>
      </w:r>
    </w:p>
    <w:p w14:paraId="024A473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6</w:t>
      </w:r>
      <w:r>
        <w:rPr>
          <w:rFonts w:ascii="宋体" w:eastAsia="宋体" w:hAnsi="宋体" w:cs="宋体" w:hint="eastAsia"/>
          <w:sz w:val="21"/>
          <w:szCs w:val="21"/>
        </w:rPr>
        <w:t>、募集失败风险</w:t>
      </w:r>
    </w:p>
    <w:p w14:paraId="769BEDA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初始募集期限届满，若本计划不符合成立条件，则存在募集失败的风险，在资产管理计划募集期限届满后</w:t>
      </w:r>
      <w:r>
        <w:rPr>
          <w:rFonts w:ascii="宋体" w:eastAsia="宋体" w:hAnsi="宋体" w:cs="宋体" w:hint="eastAsia"/>
          <w:sz w:val="21"/>
          <w:szCs w:val="21"/>
        </w:rPr>
        <w:t>30</w:t>
      </w:r>
      <w:r>
        <w:rPr>
          <w:rFonts w:ascii="宋体" w:eastAsia="宋体" w:hAnsi="宋体" w:cs="宋体" w:hint="eastAsia"/>
          <w:sz w:val="21"/>
          <w:szCs w:val="21"/>
        </w:rPr>
        <w:t>日内返还客户已缴纳的款项，并加计银行同期活期存款利息。管理人以其固有财产承担因募集行为而产生的债务和费用。</w:t>
      </w:r>
    </w:p>
    <w:p w14:paraId="56F877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、投资标的风险</w:t>
      </w:r>
    </w:p>
    <w:p w14:paraId="150AB96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价值。</w:t>
      </w:r>
    </w:p>
    <w:p w14:paraId="5777D40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）投资于股票等股权类资产的风险</w:t>
      </w:r>
    </w:p>
    <w:p w14:paraId="2B0EC79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）国家货币政策、财政政策、产业政策等的变化对证券市场产生一定的影响，导致市场价格水平波动的风险。</w:t>
      </w:r>
    </w:p>
    <w:p w14:paraId="710B058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）宏观经济运行周期性波动，对证券市场的收益水平产生影响的风险。</w:t>
      </w:r>
    </w:p>
    <w:p w14:paraId="4EDEFB0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c</w:t>
      </w:r>
      <w:r>
        <w:rPr>
          <w:rFonts w:ascii="宋体" w:eastAsia="宋体" w:hAnsi="宋体" w:cs="宋体" w:hint="eastAsia"/>
          <w:sz w:val="21"/>
          <w:szCs w:val="21"/>
        </w:rPr>
        <w:t>）上市公司的经营状况受多种因素影响，如市场、技术、竞争、管理、财</w:t>
      </w:r>
      <w:r>
        <w:rPr>
          <w:rFonts w:ascii="宋体" w:eastAsia="宋体" w:hAnsi="宋体" w:cs="宋体" w:hint="eastAsia"/>
          <w:sz w:val="21"/>
          <w:szCs w:val="21"/>
        </w:rPr>
        <w:t>务等都会导致公司盈利发生变化，从而导致股票价格波动的风险。</w:t>
      </w:r>
    </w:p>
    <w:p w14:paraId="5B52362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）投资于</w:t>
      </w:r>
      <w:proofErr w:type="gramStart"/>
      <w:r>
        <w:rPr>
          <w:rFonts w:ascii="宋体" w:eastAsia="宋体" w:hAnsi="宋体" w:cs="宋体" w:hint="eastAsia"/>
          <w:sz w:val="21"/>
          <w:szCs w:val="21"/>
        </w:rPr>
        <w:t>科创板股票</w:t>
      </w:r>
      <w:proofErr w:type="gramEnd"/>
      <w:r>
        <w:rPr>
          <w:rFonts w:ascii="宋体" w:eastAsia="宋体" w:hAnsi="宋体" w:cs="宋体" w:hint="eastAsia"/>
          <w:sz w:val="21"/>
          <w:szCs w:val="21"/>
        </w:rPr>
        <w:t>的风险</w:t>
      </w:r>
    </w:p>
    <w:p w14:paraId="7BF46F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投资于</w:t>
      </w:r>
      <w:proofErr w:type="gramStart"/>
      <w:r>
        <w:rPr>
          <w:rFonts w:ascii="宋体" w:eastAsia="宋体" w:hAnsi="宋体" w:cs="宋体" w:hint="eastAsia"/>
          <w:sz w:val="21"/>
          <w:szCs w:val="21"/>
        </w:rPr>
        <w:t>科创板</w:t>
      </w:r>
      <w:proofErr w:type="gramEnd"/>
      <w:r>
        <w:rPr>
          <w:rFonts w:ascii="宋体" w:eastAsia="宋体" w:hAnsi="宋体" w:cs="宋体" w:hint="eastAsia"/>
          <w:sz w:val="21"/>
          <w:szCs w:val="21"/>
        </w:rPr>
        <w:t>股票，除了投资于上市公司公开发行股票风险以外，还存在如下风险：</w:t>
      </w:r>
    </w:p>
    <w:p w14:paraId="6B73D7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w:t>
      </w:r>
      <w:proofErr w:type="gramStart"/>
      <w:r>
        <w:rPr>
          <w:rFonts w:ascii="宋体" w:eastAsia="宋体" w:hAnsi="宋体" w:cs="宋体" w:hint="eastAsia"/>
          <w:sz w:val="21"/>
          <w:szCs w:val="21"/>
        </w:rPr>
        <w:t>科创板企业</w:t>
      </w:r>
      <w:proofErr w:type="gramEnd"/>
      <w:r>
        <w:rPr>
          <w:rFonts w:ascii="宋体" w:eastAsia="宋体" w:hAnsi="宋体" w:cs="宋体" w:hint="eastAsia"/>
          <w:sz w:val="21"/>
          <w:szCs w:val="21"/>
        </w:rPr>
        <w:t>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14:paraId="561CA40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w:t>
      </w:r>
      <w:proofErr w:type="gramStart"/>
      <w:r>
        <w:rPr>
          <w:rFonts w:ascii="宋体" w:eastAsia="宋体" w:hAnsi="宋体" w:cs="宋体" w:hint="eastAsia"/>
          <w:sz w:val="21"/>
          <w:szCs w:val="21"/>
        </w:rPr>
        <w:t>科创板企业</w:t>
      </w:r>
      <w:proofErr w:type="gramEnd"/>
      <w:r>
        <w:rPr>
          <w:rFonts w:ascii="宋体" w:eastAsia="宋体" w:hAnsi="宋体" w:cs="宋体" w:hint="eastAsia"/>
          <w:sz w:val="21"/>
          <w:szCs w:val="21"/>
        </w:rPr>
        <w:t>可能存在首次公开发行</w:t>
      </w:r>
      <w:proofErr w:type="gramStart"/>
      <w:r>
        <w:rPr>
          <w:rFonts w:ascii="宋体" w:eastAsia="宋体" w:hAnsi="宋体" w:cs="宋体" w:hint="eastAsia"/>
          <w:sz w:val="21"/>
          <w:szCs w:val="21"/>
        </w:rPr>
        <w:t>前最近</w:t>
      </w:r>
      <w:proofErr w:type="gramEnd"/>
      <w:r>
        <w:rPr>
          <w:rFonts w:ascii="宋体" w:eastAsia="宋体" w:hAnsi="宋体" w:cs="宋体" w:hint="eastAsia"/>
          <w:sz w:val="21"/>
          <w:szCs w:val="21"/>
        </w:rPr>
        <w:t>3</w:t>
      </w:r>
      <w:r>
        <w:rPr>
          <w:rFonts w:ascii="宋体" w:eastAsia="宋体" w:hAnsi="宋体" w:cs="宋体" w:hint="eastAsia"/>
          <w:sz w:val="21"/>
          <w:szCs w:val="21"/>
        </w:rPr>
        <w:t>个会计年度未能连续盈利、公开发</w:t>
      </w:r>
      <w:r>
        <w:rPr>
          <w:rFonts w:ascii="宋体" w:eastAsia="宋体" w:hAnsi="宋体" w:cs="宋体" w:hint="eastAsia"/>
          <w:sz w:val="21"/>
          <w:szCs w:val="21"/>
        </w:rPr>
        <w:t>行并上市时尚未盈利、有累计未弥补亏损等情形，可能存在上市后仍无法盈利、持续亏损、无法进行利润分配等情形，从而导致本计划所持股票价格可能下跌，或者能够用于分配的利润减少，从而使产品投资的收益下降。</w:t>
      </w:r>
    </w:p>
    <w:p w14:paraId="23CE61C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c</w:t>
      </w:r>
      <w:r>
        <w:rPr>
          <w:rFonts w:ascii="宋体" w:eastAsia="宋体" w:hAnsi="宋体" w:cs="宋体" w:hint="eastAsia"/>
          <w:sz w:val="21"/>
          <w:szCs w:val="21"/>
        </w:rPr>
        <w:t>）</w:t>
      </w:r>
      <w:proofErr w:type="gramStart"/>
      <w:r>
        <w:rPr>
          <w:rFonts w:ascii="宋体" w:eastAsia="宋体" w:hAnsi="宋体" w:cs="宋体" w:hint="eastAsia"/>
          <w:sz w:val="21"/>
          <w:szCs w:val="21"/>
        </w:rPr>
        <w:t>科创板退</w:t>
      </w:r>
      <w:proofErr w:type="gramEnd"/>
      <w:r>
        <w:rPr>
          <w:rFonts w:ascii="宋体" w:eastAsia="宋体" w:hAnsi="宋体" w:cs="宋体" w:hint="eastAsia"/>
          <w:sz w:val="21"/>
          <w:szCs w:val="21"/>
        </w:rPr>
        <w:t>市制度较主板更为严格，退</w:t>
      </w:r>
      <w:proofErr w:type="gramStart"/>
      <w:r>
        <w:rPr>
          <w:rFonts w:ascii="宋体" w:eastAsia="宋体" w:hAnsi="宋体" w:cs="宋体" w:hint="eastAsia"/>
          <w:sz w:val="21"/>
          <w:szCs w:val="21"/>
        </w:rPr>
        <w:t>市时间</w:t>
      </w:r>
      <w:proofErr w:type="gramEnd"/>
      <w:r>
        <w:rPr>
          <w:rFonts w:ascii="宋体" w:eastAsia="宋体" w:hAnsi="宋体" w:cs="宋体" w:hint="eastAsia"/>
          <w:sz w:val="21"/>
          <w:szCs w:val="21"/>
        </w:rPr>
        <w:t>更短，退</w:t>
      </w:r>
      <w:proofErr w:type="gramStart"/>
      <w:r>
        <w:rPr>
          <w:rFonts w:ascii="宋体" w:eastAsia="宋体" w:hAnsi="宋体" w:cs="宋体" w:hint="eastAsia"/>
          <w:sz w:val="21"/>
          <w:szCs w:val="21"/>
        </w:rPr>
        <w:t>市速度</w:t>
      </w:r>
      <w:proofErr w:type="gramEnd"/>
      <w:r>
        <w:rPr>
          <w:rFonts w:ascii="宋体" w:eastAsia="宋体" w:hAnsi="宋体" w:cs="宋体" w:hint="eastAsia"/>
          <w:sz w:val="21"/>
          <w:szCs w:val="21"/>
        </w:rPr>
        <w:t>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w:t>
      </w:r>
      <w:r>
        <w:rPr>
          <w:rFonts w:ascii="宋体" w:eastAsia="宋体" w:hAnsi="宋体" w:cs="宋体" w:hint="eastAsia"/>
          <w:sz w:val="21"/>
          <w:szCs w:val="21"/>
        </w:rPr>
        <w:t>退市而给计划带来损失的风险。</w:t>
      </w:r>
    </w:p>
    <w:p w14:paraId="3F8943E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d</w:t>
      </w:r>
      <w:r>
        <w:rPr>
          <w:rFonts w:ascii="宋体" w:eastAsia="宋体" w:hAnsi="宋体" w:cs="宋体" w:hint="eastAsia"/>
          <w:sz w:val="21"/>
          <w:szCs w:val="21"/>
        </w:rPr>
        <w:t>）</w:t>
      </w:r>
      <w:proofErr w:type="gramStart"/>
      <w:r>
        <w:rPr>
          <w:rFonts w:ascii="宋体" w:eastAsia="宋体" w:hAnsi="宋体" w:cs="宋体" w:hint="eastAsia"/>
          <w:sz w:val="21"/>
          <w:szCs w:val="21"/>
        </w:rPr>
        <w:t>科创板股票</w:t>
      </w:r>
      <w:proofErr w:type="gramEnd"/>
      <w:r>
        <w:rPr>
          <w:rFonts w:ascii="宋体" w:eastAsia="宋体" w:hAnsi="宋体" w:cs="宋体" w:hint="eastAsia"/>
          <w:sz w:val="21"/>
          <w:szCs w:val="21"/>
        </w:rPr>
        <w:t>竞价交易设置较宽的涨跌幅限制，首次公开发行上市的股票，上市后的前</w:t>
      </w:r>
      <w:r>
        <w:rPr>
          <w:rFonts w:ascii="宋体" w:eastAsia="宋体" w:hAnsi="宋体" w:cs="宋体" w:hint="eastAsia"/>
          <w:sz w:val="21"/>
          <w:szCs w:val="21"/>
        </w:rPr>
        <w:t>5</w:t>
      </w:r>
      <w:r>
        <w:rPr>
          <w:rFonts w:ascii="宋体" w:eastAsia="宋体" w:hAnsi="宋体" w:cs="宋体" w:hint="eastAsia"/>
          <w:sz w:val="21"/>
          <w:szCs w:val="21"/>
        </w:rPr>
        <w:t>个交易日不设涨跌幅限制，其后涨跌幅限制为</w:t>
      </w:r>
      <w:r>
        <w:rPr>
          <w:rFonts w:ascii="宋体" w:eastAsia="宋体" w:hAnsi="宋体" w:cs="宋体" w:hint="eastAsia"/>
          <w:sz w:val="21"/>
          <w:szCs w:val="21"/>
        </w:rPr>
        <w:t>20%</w:t>
      </w:r>
      <w:r>
        <w:rPr>
          <w:rFonts w:ascii="宋体" w:eastAsia="宋体" w:hAnsi="宋体" w:cs="宋体" w:hint="eastAsia"/>
          <w:sz w:val="21"/>
          <w:szCs w:val="21"/>
        </w:rPr>
        <w:t>，因此股价波动风险更大，从而导致本计划净值的波动。</w:t>
      </w:r>
    </w:p>
    <w:p w14:paraId="0FFF4C3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3</w:t>
      </w:r>
      <w:r>
        <w:rPr>
          <w:rFonts w:ascii="宋体" w:eastAsia="宋体" w:hAnsi="宋体" w:cs="宋体" w:hint="eastAsia"/>
          <w:sz w:val="21"/>
          <w:szCs w:val="21"/>
        </w:rPr>
        <w:t>）商品及金融衍生品的投资风险</w:t>
      </w:r>
    </w:p>
    <w:p w14:paraId="501AA1A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14:paraId="28B88A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）管理人以期货交易所会员（即期货经纪人）之客户的身份参与期货交易，可能存</w:t>
      </w:r>
      <w:r>
        <w:rPr>
          <w:rFonts w:ascii="宋体" w:eastAsia="宋体" w:hAnsi="宋体" w:cs="宋体" w:hint="eastAsia"/>
          <w:sz w:val="21"/>
          <w:szCs w:val="21"/>
        </w:rPr>
        <w:t>在因期货经纪人违规经营、管理疏忽、资金能力出现问题等原因而导致本计划蒙受损失。</w:t>
      </w:r>
    </w:p>
    <w:p w14:paraId="4A9948D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c</w:t>
      </w:r>
      <w:r>
        <w:rPr>
          <w:rFonts w:ascii="宋体" w:eastAsia="宋体" w:hAnsi="宋体" w:cs="宋体" w:hint="eastAsia"/>
          <w:sz w:val="21"/>
          <w:szCs w:val="21"/>
        </w:rPr>
        <w:t>）期货交易所实行保证金制度、当日无负债结算制度、涨跌停板制度、持仓限额和大户持仓报告制度、风险准备金制度以及国务院期货监督管理机构规定的其他风险管理制度。本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可能因保证金不足而被采取限制开仓、强制平仓，进而可能给本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造成重大损失；本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所委托的交易所会员除接受本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委托外</w:t>
      </w:r>
      <w:r>
        <w:rPr>
          <w:rFonts w:ascii="宋体" w:eastAsia="宋体" w:hAnsi="宋体" w:cs="宋体" w:hint="eastAsia"/>
          <w:sz w:val="21"/>
          <w:szCs w:val="21"/>
        </w:rPr>
        <w:t>,</w:t>
      </w:r>
      <w:r>
        <w:rPr>
          <w:rFonts w:ascii="宋体" w:eastAsia="宋体" w:hAnsi="宋体" w:cs="宋体" w:hint="eastAsia"/>
          <w:sz w:val="21"/>
          <w:szCs w:val="21"/>
        </w:rPr>
        <w:t>还可能同时接受其他主体的委托</w:t>
      </w:r>
      <w:r>
        <w:rPr>
          <w:rFonts w:ascii="宋体" w:eastAsia="宋体" w:hAnsi="宋体" w:cs="宋体" w:hint="eastAsia"/>
          <w:sz w:val="21"/>
          <w:szCs w:val="21"/>
        </w:rPr>
        <w:t>,</w:t>
      </w:r>
      <w:r>
        <w:rPr>
          <w:rFonts w:ascii="宋体" w:eastAsia="宋体" w:hAnsi="宋体" w:cs="宋体" w:hint="eastAsia"/>
          <w:sz w:val="21"/>
          <w:szCs w:val="21"/>
        </w:rPr>
        <w:t>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所委托的交易所会员发生保证金不足时将被采取限制开仓、强制平仓等措施，而这种不足不一定是本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的保证金不足造成的</w:t>
      </w:r>
      <w:r>
        <w:rPr>
          <w:rFonts w:ascii="宋体" w:eastAsia="宋体" w:hAnsi="宋体" w:cs="宋体" w:hint="eastAsia"/>
          <w:sz w:val="21"/>
          <w:szCs w:val="21"/>
        </w:rPr>
        <w:t>,</w:t>
      </w:r>
      <w:r>
        <w:rPr>
          <w:rFonts w:ascii="宋体" w:eastAsia="宋体" w:hAnsi="宋体" w:cs="宋体" w:hint="eastAsia"/>
          <w:sz w:val="21"/>
          <w:szCs w:val="21"/>
        </w:rPr>
        <w:t>还可能是上述交易所会员进行其他主体的委托操作所造成的</w:t>
      </w:r>
      <w:r>
        <w:rPr>
          <w:rFonts w:ascii="宋体" w:eastAsia="宋体" w:hAnsi="宋体" w:cs="宋体" w:hint="eastAsia"/>
          <w:sz w:val="21"/>
          <w:szCs w:val="21"/>
        </w:rPr>
        <w:t>,</w:t>
      </w:r>
      <w:r>
        <w:rPr>
          <w:rFonts w:ascii="宋体" w:eastAsia="宋体" w:hAnsi="宋体" w:cs="宋体" w:hint="eastAsia"/>
          <w:sz w:val="21"/>
          <w:szCs w:val="21"/>
        </w:rPr>
        <w:t>但即便如此本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也可能因此受到重大损失；为及时缴纳保证金，本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可能紧急变现部分</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财产，在上述情况下，该部分</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财产的变现可能并非以最优价格进行，从而造成本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的损失。本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及本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所委托的交易所会员可能被实行强制结算，一旦本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或本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所委托的交易所会员被强制结算、可能给本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财产造成损失。</w:t>
      </w:r>
    </w:p>
    <w:p w14:paraId="758B78C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d</w:t>
      </w:r>
      <w:r>
        <w:rPr>
          <w:rFonts w:ascii="宋体" w:eastAsia="宋体" w:hAnsi="宋体" w:cs="宋体" w:hint="eastAsia"/>
          <w:sz w:val="21"/>
          <w:szCs w:val="21"/>
        </w:rPr>
        <w:t>）金融衍生品具有高杠杆性的特征，当出现不利行情时，本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所投资期货合约品种微小的变动就可能使本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遭受较大损失。</w:t>
      </w:r>
    </w:p>
    <w:p w14:paraId="02A557F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e</w:t>
      </w:r>
      <w:r>
        <w:rPr>
          <w:rFonts w:ascii="宋体" w:eastAsia="宋体" w:hAnsi="宋体" w:cs="宋体" w:hint="eastAsia"/>
          <w:sz w:val="21"/>
          <w:szCs w:val="21"/>
        </w:rPr>
        <w:t>）在市场剧烈变化的情况下，管理人可能难以或无法将持有的未平仓合约平仓。这类情况将导致保证金有可能无法弥补全部损失，本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必须承担由此导致的全部损失。同时本</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将面临期货合约无法当天平仓而价格变动的风险。</w:t>
      </w:r>
    </w:p>
    <w:p w14:paraId="1C2D5BC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f</w:t>
      </w:r>
      <w:r>
        <w:rPr>
          <w:rFonts w:ascii="宋体" w:eastAsia="宋体" w:hAnsi="宋体" w:cs="宋体" w:hint="eastAsia"/>
          <w:sz w:val="21"/>
          <w:szCs w:val="21"/>
        </w:rPr>
        <w:t>）相关交易所可能对交易品种的套期保值或套利实行额度管理，本</w:t>
      </w:r>
      <w:proofErr w:type="gramStart"/>
      <w:r>
        <w:rPr>
          <w:rFonts w:ascii="宋体" w:eastAsia="宋体" w:hAnsi="宋体" w:cs="宋体" w:hint="eastAsia"/>
          <w:sz w:val="21"/>
          <w:szCs w:val="21"/>
        </w:rPr>
        <w:t>资管计划如拟</w:t>
      </w:r>
      <w:proofErr w:type="gramEnd"/>
      <w:r>
        <w:rPr>
          <w:rFonts w:ascii="宋体" w:eastAsia="宋体" w:hAnsi="宋体" w:cs="宋体" w:hint="eastAsia"/>
          <w:sz w:val="21"/>
          <w:szCs w:val="21"/>
        </w:rPr>
        <w:t>进行某交易品种的套期保值或套利交易的，可能因无法申请额度或无法及时获得额度而不能开展相关交易。</w:t>
      </w:r>
    </w:p>
    <w:p w14:paraId="1325C29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g</w:t>
      </w:r>
      <w:r>
        <w:rPr>
          <w:rFonts w:ascii="宋体" w:eastAsia="宋体" w:hAnsi="宋体" w:cs="宋体" w:hint="eastAsia"/>
          <w:sz w:val="21"/>
          <w:szCs w:val="21"/>
        </w:rPr>
        <w:t>）相比于其他交易品种，金融衍生品的投资交易可能更加频繁，频繁操作将可能增加管理人、期货经纪人等相关</w:t>
      </w:r>
      <w:proofErr w:type="gramStart"/>
      <w:r>
        <w:rPr>
          <w:rFonts w:ascii="宋体" w:eastAsia="宋体" w:hAnsi="宋体" w:cs="宋体" w:hint="eastAsia"/>
          <w:sz w:val="21"/>
          <w:szCs w:val="21"/>
        </w:rPr>
        <w:t>方操作</w:t>
      </w:r>
      <w:proofErr w:type="gramEnd"/>
      <w:r>
        <w:rPr>
          <w:rFonts w:ascii="宋体" w:eastAsia="宋体" w:hAnsi="宋体" w:cs="宋体" w:hint="eastAsia"/>
          <w:sz w:val="21"/>
          <w:szCs w:val="21"/>
        </w:rPr>
        <w:t>失误的可能性，存在操作风险。</w:t>
      </w:r>
    </w:p>
    <w:p w14:paraId="2AA73D0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）投资于股指期货的特别风险</w:t>
      </w:r>
    </w:p>
    <w:p w14:paraId="6CDC058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除本合同提示的“商品及金融衍生品的投资风险”外，投资于股指期货还存在以下特别风险：作为股指期货合约标的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股票指数受股票交易市场价格波动的影响，从而给股指期货的投资来带风险。</w:t>
      </w:r>
    </w:p>
    <w:p w14:paraId="4FCD3F1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5</w:t>
      </w:r>
      <w:r>
        <w:rPr>
          <w:rFonts w:ascii="宋体" w:eastAsia="宋体" w:hAnsi="宋体" w:cs="宋体" w:hint="eastAsia"/>
          <w:sz w:val="21"/>
          <w:szCs w:val="21"/>
        </w:rPr>
        <w:t>）投资于国债期货的特别风险</w:t>
      </w:r>
    </w:p>
    <w:p w14:paraId="0FFB66E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除本合同提示的“商品及金融衍生品的投资风险”的风险外，投资于国债期货还存在以下特别风险：</w:t>
      </w:r>
    </w:p>
    <w:p w14:paraId="3AA748D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）为进行国债期货的交割，投资者需要提供符合交易所要求的可交割国债，如管理人未能在国债期货合约到期前进行平仓，则需要购入</w:t>
      </w:r>
      <w:r>
        <w:rPr>
          <w:rFonts w:ascii="宋体" w:eastAsia="宋体" w:hAnsi="宋体" w:cs="宋体" w:hint="eastAsia"/>
          <w:sz w:val="21"/>
          <w:szCs w:val="21"/>
        </w:rPr>
        <w:t>/</w:t>
      </w:r>
      <w:r>
        <w:rPr>
          <w:rFonts w:ascii="宋体" w:eastAsia="宋体" w:hAnsi="宋体" w:cs="宋体" w:hint="eastAsia"/>
          <w:sz w:val="21"/>
          <w:szCs w:val="21"/>
        </w:rPr>
        <w:t>接受相关的可交割国债以满足交割的需求，或者需要以差额补偿的方式了结未平仓合约，甚至有可能因持仓不满足交割要求而需要支付额外的违约金</w:t>
      </w:r>
      <w:r>
        <w:rPr>
          <w:rFonts w:ascii="宋体" w:eastAsia="宋体" w:hAnsi="宋体" w:cs="宋体" w:hint="eastAsia"/>
          <w:sz w:val="21"/>
          <w:szCs w:val="21"/>
        </w:rPr>
        <w:t>/</w:t>
      </w:r>
      <w:r>
        <w:rPr>
          <w:rFonts w:ascii="宋体" w:eastAsia="宋体" w:hAnsi="宋体" w:cs="宋体" w:hint="eastAsia"/>
          <w:sz w:val="21"/>
          <w:szCs w:val="21"/>
        </w:rPr>
        <w:t>补偿金等。</w:t>
      </w:r>
    </w:p>
    <w:p w14:paraId="3EA23E4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）国债期货的合约标的为国债，与以较综合性的股票指数为标的物的股指期货相比，以国债合约作为合约标的</w:t>
      </w:r>
      <w:proofErr w:type="gramStart"/>
      <w:r>
        <w:rPr>
          <w:rFonts w:ascii="宋体" w:eastAsia="宋体" w:hAnsi="宋体" w:cs="宋体" w:hint="eastAsia"/>
          <w:sz w:val="21"/>
          <w:szCs w:val="21"/>
        </w:rPr>
        <w:t>的</w:t>
      </w:r>
      <w:proofErr w:type="gramEnd"/>
      <w:r>
        <w:rPr>
          <w:rFonts w:ascii="宋体" w:eastAsia="宋体" w:hAnsi="宋体" w:cs="宋体" w:hint="eastAsia"/>
          <w:sz w:val="21"/>
          <w:szCs w:val="21"/>
        </w:rPr>
        <w:t>国债期货的价格更容易受市场部分投资者或某一市场消息的影响而发生价格或持续或较大幅度的波动，从而给国债期货的投资带来风险。</w:t>
      </w:r>
    </w:p>
    <w:p w14:paraId="713C831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6</w:t>
      </w:r>
      <w:r>
        <w:rPr>
          <w:rFonts w:ascii="宋体" w:eastAsia="宋体" w:hAnsi="宋体" w:cs="宋体" w:hint="eastAsia"/>
          <w:sz w:val="21"/>
          <w:szCs w:val="21"/>
        </w:rPr>
        <w:t>）投资于期权的特别风</w:t>
      </w:r>
      <w:r>
        <w:rPr>
          <w:rFonts w:ascii="宋体" w:eastAsia="宋体" w:hAnsi="宋体" w:cs="宋体" w:hint="eastAsia"/>
          <w:sz w:val="21"/>
          <w:szCs w:val="21"/>
        </w:rPr>
        <w:t>险</w:t>
      </w:r>
    </w:p>
    <w:p w14:paraId="397DB3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除提示的“商品及金融衍生品的投资风险”外，投资于期权，还存在以下特别风险：</w:t>
      </w:r>
    </w:p>
    <w:p w14:paraId="265D992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）期权属于高风险高收益的金融衍生品，由于高杠杆特征，当出现不利行情时，所投资期权合约品种微小的变动就可能会使本计划遭受较大损失；</w:t>
      </w:r>
    </w:p>
    <w:p w14:paraId="6FC9A68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期权合约交易采取权利金和保证金的交易方式，资产管理计划购买期权可能没有任何收益，甚至损失全部投资；资产管理计划卖出期权可能发生巨额损失，这一损失可能大于该期权权利金，资产管理计划可能承受超过保证金甚至计划财产本金的损失。</w:t>
      </w:r>
    </w:p>
    <w:p w14:paraId="2606E48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7</w:t>
      </w:r>
      <w:r>
        <w:rPr>
          <w:rFonts w:ascii="宋体" w:eastAsia="宋体" w:hAnsi="宋体" w:cs="宋体" w:hint="eastAsia"/>
          <w:sz w:val="21"/>
          <w:szCs w:val="21"/>
        </w:rPr>
        <w:t>）投资于债券等债权类资产的风险</w:t>
      </w:r>
    </w:p>
    <w:p w14:paraId="71792A1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债券等固定收益类品种除存在市场风险、信</w:t>
      </w:r>
      <w:r>
        <w:rPr>
          <w:rFonts w:ascii="宋体" w:eastAsia="宋体" w:hAnsi="宋体" w:cs="宋体" w:hint="eastAsia"/>
          <w:sz w:val="21"/>
          <w:szCs w:val="21"/>
        </w:rPr>
        <w:t>用风险和流动性风险等外，还存在其自身的特定风险，包括：</w:t>
      </w:r>
    </w:p>
    <w:p w14:paraId="5051810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）市场平均利率水平变化导致债券价格变化的风险；</w:t>
      </w:r>
    </w:p>
    <w:p w14:paraId="61D022B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）债券市场不同期限、</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同类属债券之间的利差变动导致相应期限和类属债券价格变化的风险；</w:t>
      </w:r>
    </w:p>
    <w:p w14:paraId="08CFB3C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c</w:t>
      </w:r>
      <w:r>
        <w:rPr>
          <w:rFonts w:ascii="宋体" w:eastAsia="宋体" w:hAnsi="宋体" w:cs="宋体" w:hint="eastAsia"/>
          <w:sz w:val="21"/>
          <w:szCs w:val="21"/>
        </w:rPr>
        <w:t>）发行主体的风险：债券发行人出现违约导致债券无法及时兑付或付息，或由于债券发行人信用质量降低导致债券价格下降的风险；</w:t>
      </w:r>
    </w:p>
    <w:p w14:paraId="233073B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d</w:t>
      </w:r>
      <w:r>
        <w:rPr>
          <w:rFonts w:ascii="宋体" w:eastAsia="宋体" w:hAnsi="宋体" w:cs="宋体" w:hint="eastAsia"/>
          <w:sz w:val="21"/>
          <w:szCs w:val="21"/>
        </w:rPr>
        <w:t>）流动性风险：由于债券无法及时兑付、付息，导致投资人退出、清算延期办理，或因在存续期内投资人强制提前退出，导致计划债券折价变现造成损失的风险；</w:t>
      </w:r>
    </w:p>
    <w:p w14:paraId="14D51E7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e</w:t>
      </w:r>
      <w:r>
        <w:rPr>
          <w:rFonts w:ascii="宋体" w:eastAsia="宋体" w:hAnsi="宋体" w:cs="宋体" w:hint="eastAsia"/>
          <w:sz w:val="21"/>
          <w:szCs w:val="21"/>
        </w:rPr>
        <w:t>）再投资风险：债券偿付本息后以及回购到期后可能由于</w:t>
      </w:r>
      <w:r>
        <w:rPr>
          <w:rFonts w:ascii="宋体" w:eastAsia="宋体" w:hAnsi="宋体" w:cs="宋体" w:hint="eastAsia"/>
          <w:sz w:val="21"/>
          <w:szCs w:val="21"/>
        </w:rPr>
        <w:t>市场利率的下降面临资金再投资的收益率低于原来利率；</w:t>
      </w:r>
    </w:p>
    <w:p w14:paraId="4EFD5D1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f</w:t>
      </w:r>
      <w:r>
        <w:rPr>
          <w:rFonts w:ascii="宋体" w:eastAsia="宋体" w:hAnsi="宋体" w:cs="宋体" w:hint="eastAsia"/>
          <w:sz w:val="21"/>
          <w:szCs w:val="21"/>
        </w:rPr>
        <w:t>）债券回购风险：债券回购为提升整体投资组合收益提供了可能，其主要风险包括信用风险、投资风险及波动性加大的风险，其中，信用风险指回购交易中交易对手在回购到期时，不能偿还全部或部分证</w:t>
      </w:r>
      <w:r>
        <w:rPr>
          <w:rFonts w:ascii="宋体" w:eastAsia="宋体" w:hAnsi="宋体" w:cs="宋体" w:hint="eastAsia"/>
          <w:sz w:val="21"/>
          <w:szCs w:val="21"/>
        </w:rPr>
        <w:lastRenderedPageBreak/>
        <w:t>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w:t>
      </w:r>
      <w:r>
        <w:rPr>
          <w:rFonts w:ascii="宋体" w:eastAsia="宋体" w:hAnsi="宋体" w:cs="宋体" w:hint="eastAsia"/>
          <w:sz w:val="21"/>
          <w:szCs w:val="21"/>
        </w:rPr>
        <w:t>即投资组合的风险将会加大。回购比例越高，风险暴露程度也就越高，对计划净值造成损失的可能性也就越大。</w:t>
      </w:r>
    </w:p>
    <w:p w14:paraId="68E83FB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8</w:t>
      </w:r>
      <w:r>
        <w:rPr>
          <w:rFonts w:ascii="宋体" w:eastAsia="宋体" w:hAnsi="宋体" w:cs="宋体" w:hint="eastAsia"/>
          <w:sz w:val="21"/>
          <w:szCs w:val="21"/>
        </w:rPr>
        <w:t>）投资于融资融券的特别风险</w:t>
      </w:r>
    </w:p>
    <w:p w14:paraId="30E1814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t>）可能放大投资损失的风险</w:t>
      </w:r>
    </w:p>
    <w:p w14:paraId="5629A8A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与普通证券交易不同，具有财务杠杆放大效应，它在放大投资收益的同时也必然放大投资损失。进行融资融券交易时，既需要承担自有股票价格波动带来的风险，又得承担融资买入或融券卖出股票带来的风险，同时还须支付相应的利息和费用，由此承担的风险可能远远超过普通证券交易。</w:t>
      </w:r>
    </w:p>
    <w:p w14:paraId="173723E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b</w:t>
      </w:r>
      <w:r>
        <w:rPr>
          <w:rFonts w:ascii="宋体" w:eastAsia="宋体" w:hAnsi="宋体" w:cs="宋体" w:hint="eastAsia"/>
          <w:sz w:val="21"/>
          <w:szCs w:val="21"/>
        </w:rPr>
        <w:t>）资不抵债的风险</w:t>
      </w:r>
    </w:p>
    <w:p w14:paraId="3968E84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融资融券交易属于计划与证券公司之间资金和证券的借贷行为，计划需要</w:t>
      </w:r>
      <w:r>
        <w:rPr>
          <w:rFonts w:ascii="宋体" w:eastAsia="宋体" w:hAnsi="宋体" w:cs="宋体" w:hint="eastAsia"/>
          <w:sz w:val="21"/>
          <w:szCs w:val="21"/>
        </w:rPr>
        <w:t>承担因自主投资决策产生的风险，当发生亏损时，因需向证券公司偿还融资融券本金及利息，除损失自有资金外，有可能发生资不抵债的情形。</w:t>
      </w:r>
    </w:p>
    <w:p w14:paraId="08A2B3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c</w:t>
      </w:r>
      <w:r>
        <w:rPr>
          <w:rFonts w:ascii="宋体" w:eastAsia="宋体" w:hAnsi="宋体" w:cs="宋体" w:hint="eastAsia"/>
          <w:sz w:val="21"/>
          <w:szCs w:val="21"/>
        </w:rPr>
        <w:t>）特有的卖空风险</w:t>
      </w:r>
    </w:p>
    <w:p w14:paraId="64DA421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中的融券交易存在着与普通证券截然不同的风险——卖空风险。普通证券投资发生的损失是有限的，最多不会超过计划投入的全部本金，但是融券交易的负债在理论上可以无限扩大，因为证券上涨的幅度是没有上限的，而证券涨得越多，融券负债的规模就越大。此外，当融券卖出的证券长期停牌时，因无法买入证券，计划将无法及时归还融券负债，进而可能蒙受巨大的投资损失。</w:t>
      </w:r>
    </w:p>
    <w:p w14:paraId="2425E69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d</w:t>
      </w:r>
      <w:r>
        <w:rPr>
          <w:rFonts w:ascii="宋体" w:eastAsia="宋体" w:hAnsi="宋体" w:cs="宋体" w:hint="eastAsia"/>
          <w:sz w:val="21"/>
          <w:szCs w:val="21"/>
        </w:rPr>
        <w:t>）强制平仓风险</w:t>
      </w:r>
    </w:p>
    <w:p w14:paraId="5D0BE2D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融资融券交易中，计划与证券公司间除了债权债务关系，还存在因债权债务产生的信托关系和担保关系。当计划未及时偿还融资融券本金及利息或信用账户的维持担保比例触及平仓维持担保比例时，证券公司为保护自身债权并根据融资融券合同约定有权对本基金信用账户内的担保资产执行强制平仓。平仓的品种、数量、价格、时机将不受计划的控制，平仓的数量、金额可能超过计划的全部负债，由此导致的一切损失，由计划自行承担。</w:t>
      </w:r>
    </w:p>
    <w:p w14:paraId="2C0AC7A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e</w:t>
      </w:r>
      <w:r>
        <w:rPr>
          <w:rFonts w:ascii="宋体" w:eastAsia="宋体" w:hAnsi="宋体" w:cs="宋体" w:hint="eastAsia"/>
          <w:sz w:val="21"/>
          <w:szCs w:val="21"/>
        </w:rPr>
        <w:t>）提前了结债务的风险</w:t>
      </w:r>
    </w:p>
    <w:p w14:paraId="3499E7D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在融资融券交易中，证券公司在融资融券合同中与计划约定提前了结融资融券债务的条款。计</w:t>
      </w:r>
      <w:r>
        <w:rPr>
          <w:rFonts w:ascii="宋体" w:eastAsia="宋体" w:hAnsi="宋体" w:cs="宋体" w:hint="eastAsia"/>
          <w:sz w:val="21"/>
          <w:szCs w:val="21"/>
        </w:rPr>
        <w:t>划在从事融资融券交易期间，如果发生可能影响计划偿债能力的重大事项或发生对标的证券产生重大不利影响的</w:t>
      </w:r>
      <w:r>
        <w:rPr>
          <w:rFonts w:ascii="宋体" w:eastAsia="宋体" w:hAnsi="宋体" w:cs="宋体" w:hint="eastAsia"/>
          <w:sz w:val="21"/>
          <w:szCs w:val="21"/>
        </w:rPr>
        <w:lastRenderedPageBreak/>
        <w:t>情形时，计划可能面临被证券公司提前了结融资融券交易的风险，并可能由此给计划造成损失。</w:t>
      </w:r>
    </w:p>
    <w:p w14:paraId="0F6040A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f</w:t>
      </w:r>
      <w:r>
        <w:rPr>
          <w:rFonts w:ascii="宋体" w:eastAsia="宋体" w:hAnsi="宋体" w:cs="宋体" w:hint="eastAsia"/>
          <w:sz w:val="21"/>
          <w:szCs w:val="21"/>
        </w:rPr>
        <w:t>）逆周期调节风险</w:t>
      </w:r>
    </w:p>
    <w:p w14:paraId="7A9E2CA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开展融资融券业务期间，当证监会、证券交易所或证券公司根据市场情况实施逆周期调节，对保证金比例、标的证券范围、可充抵保证金的证券种类及折算率、补（平）</w:t>
      </w:r>
      <w:proofErr w:type="gramStart"/>
      <w:r>
        <w:rPr>
          <w:rFonts w:ascii="宋体" w:eastAsia="宋体" w:hAnsi="宋体" w:cs="宋体" w:hint="eastAsia"/>
          <w:sz w:val="21"/>
          <w:szCs w:val="21"/>
        </w:rPr>
        <w:t>仓维持</w:t>
      </w:r>
      <w:proofErr w:type="gramEnd"/>
      <w:r>
        <w:rPr>
          <w:rFonts w:ascii="宋体" w:eastAsia="宋体" w:hAnsi="宋体" w:cs="宋体" w:hint="eastAsia"/>
          <w:sz w:val="21"/>
          <w:szCs w:val="21"/>
        </w:rPr>
        <w:t>担保比例、提取担保物的维持担保比例、补仓期限、平仓期限、接受单只担保股票的市值与该股票总市值的最大比例、客户担保物中单一证券市值的</w:t>
      </w:r>
      <w:proofErr w:type="gramStart"/>
      <w:r>
        <w:rPr>
          <w:rFonts w:ascii="宋体" w:eastAsia="宋体" w:hAnsi="宋体" w:cs="宋体" w:hint="eastAsia"/>
          <w:sz w:val="21"/>
          <w:szCs w:val="21"/>
        </w:rPr>
        <w:t>最大占</w:t>
      </w:r>
      <w:proofErr w:type="gramEnd"/>
      <w:r>
        <w:rPr>
          <w:rFonts w:ascii="宋体" w:eastAsia="宋体" w:hAnsi="宋体" w:cs="宋体" w:hint="eastAsia"/>
          <w:sz w:val="21"/>
          <w:szCs w:val="21"/>
        </w:rPr>
        <w:t>比、合约展期应满足</w:t>
      </w:r>
      <w:r>
        <w:rPr>
          <w:rFonts w:ascii="宋体" w:eastAsia="宋体" w:hAnsi="宋体" w:cs="宋体" w:hint="eastAsia"/>
          <w:sz w:val="21"/>
          <w:szCs w:val="21"/>
        </w:rPr>
        <w:t>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14:paraId="2124BE0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、税收风险</w:t>
      </w:r>
    </w:p>
    <w:p w14:paraId="199B73B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资产管理计划所适用的税收征管法律法规可能会由于国家相关税收政策调整而发生变化，投资者收益也可能因相关税收政策调整而受到影响。</w:t>
      </w:r>
    </w:p>
    <w:p w14:paraId="7BB293B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资产管理计划运营过程中需要缴纳增值税应税的，将由委托人承担并从委托资产中支付，按照税务机关的规定以资产管理人为增值税纳税人履行纳税义务，因此可能增加资产委托人的投资税费成本。</w:t>
      </w:r>
    </w:p>
    <w:p w14:paraId="0CD9865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、关联交易风险</w:t>
      </w:r>
    </w:p>
    <w:p w14:paraId="100437C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不损害委托人利益的前提下，管理人在根据计划合同规定管理、运用和处分计划财产时，可以公平的市场价格进行关联交易；委托人知晓并同意开展该等关联交易。该等关联交易事项可能包括但不限于管理人可运用计</w:t>
      </w:r>
      <w:r>
        <w:rPr>
          <w:rFonts w:ascii="宋体" w:eastAsia="宋体" w:hAnsi="宋体" w:cs="宋体" w:hint="eastAsia"/>
          <w:sz w:val="21"/>
          <w:szCs w:val="21"/>
        </w:rPr>
        <w:t>划财产买卖计划管理人、托管人及其控股股东、实际控制人或者与其有其他重大利害关系的公司等关联</w:t>
      </w:r>
      <w:proofErr w:type="gramStart"/>
      <w:r>
        <w:rPr>
          <w:rFonts w:ascii="宋体" w:eastAsia="宋体" w:hAnsi="宋体" w:cs="宋体" w:hint="eastAsia"/>
          <w:sz w:val="21"/>
          <w:szCs w:val="21"/>
        </w:rPr>
        <w:t>方发行</w:t>
      </w:r>
      <w:proofErr w:type="gramEnd"/>
      <w:r>
        <w:rPr>
          <w:rFonts w:ascii="宋体" w:eastAsia="宋体" w:hAnsi="宋体" w:cs="宋体" w:hint="eastAsia"/>
          <w:sz w:val="21"/>
          <w:szCs w:val="21"/>
        </w:rPr>
        <w:t>的证券或承销期内承销的证券，或合同约定的其他形式的关联交易。管理人及资产管理计划相关方将根据监管规定及合同约定履行相关义务，管理人将在已知范围内确保交易价格公允。</w:t>
      </w:r>
    </w:p>
    <w:p w14:paraId="0CDCF4F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w:t>
      </w:r>
      <w:r>
        <w:rPr>
          <w:rFonts w:ascii="宋体" w:eastAsia="宋体" w:hAnsi="宋体" w:cs="宋体" w:hint="eastAsia"/>
          <w:sz w:val="21"/>
          <w:szCs w:val="21"/>
        </w:rPr>
        <w:t>计划收益下降，甚至带来本金损失。</w:t>
      </w:r>
    </w:p>
    <w:p w14:paraId="13AF2EA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此外，资产管理人运用计划财产从事关联交易时可能依照相关法律法规、监管机构、自律组织的规定被限制相关权利的行使，进而可能影响委托财产的投资收益。</w:t>
      </w:r>
      <w:r>
        <w:rPr>
          <w:rFonts w:ascii="宋体" w:eastAsia="宋体" w:hAnsi="宋体" w:cs="宋体" w:hint="eastAsia"/>
          <w:sz w:val="21"/>
          <w:szCs w:val="21"/>
        </w:rPr>
        <w:t xml:space="preserve"> </w:t>
      </w:r>
    </w:p>
    <w:p w14:paraId="429DA4F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10</w:t>
      </w:r>
      <w:r>
        <w:rPr>
          <w:rFonts w:ascii="宋体" w:eastAsia="宋体" w:hAnsi="宋体" w:cs="宋体" w:hint="eastAsia"/>
          <w:sz w:val="21"/>
          <w:szCs w:val="21"/>
        </w:rPr>
        <w:t>、操作或技术风险</w:t>
      </w:r>
    </w:p>
    <w:p w14:paraId="34CE91F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相关当事人在业务各环节操作过程中，因内部控制存在缺陷或者人为因素造成操作失误或违反操作规</w:t>
      </w:r>
      <w:r>
        <w:rPr>
          <w:rFonts w:ascii="宋体" w:eastAsia="宋体" w:hAnsi="宋体" w:cs="宋体" w:hint="eastAsia"/>
          <w:sz w:val="21"/>
          <w:szCs w:val="21"/>
        </w:rPr>
        <w:lastRenderedPageBreak/>
        <w:t>程等引致的风险，例如，越权违规交易、会计部门欺诈、交易错误、</w:t>
      </w:r>
      <w:r>
        <w:rPr>
          <w:rFonts w:ascii="宋体" w:eastAsia="宋体" w:hAnsi="宋体" w:cs="宋体" w:hint="eastAsia"/>
          <w:sz w:val="21"/>
          <w:szCs w:val="21"/>
        </w:rPr>
        <w:t>IT</w:t>
      </w:r>
      <w:r>
        <w:rPr>
          <w:rFonts w:ascii="宋体" w:eastAsia="宋体" w:hAnsi="宋体" w:cs="宋体" w:hint="eastAsia"/>
          <w:sz w:val="21"/>
          <w:szCs w:val="21"/>
        </w:rPr>
        <w:t>系统故障等风险。</w:t>
      </w:r>
    </w:p>
    <w:p w14:paraId="73C187D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在计划的各种交易行为或者后台运作中，可能因为技术系统的故障或者差错而影响交易的正常进行或者导致投资者的利益受到影响。这种技术风险可能来自基金</w:t>
      </w:r>
      <w:r>
        <w:rPr>
          <w:rFonts w:ascii="宋体" w:eastAsia="宋体" w:hAnsi="宋体" w:cs="宋体" w:hint="eastAsia"/>
          <w:sz w:val="21"/>
          <w:szCs w:val="21"/>
        </w:rPr>
        <w:t>管理公司、注册登记机构、销售机构、证券交易所、证券注册登记机构等。</w:t>
      </w:r>
    </w:p>
    <w:p w14:paraId="6285334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11</w:t>
      </w:r>
      <w:r>
        <w:rPr>
          <w:rFonts w:ascii="宋体" w:eastAsia="宋体" w:hAnsi="宋体" w:cs="宋体" w:hint="eastAsia"/>
          <w:sz w:val="21"/>
          <w:szCs w:val="21"/>
        </w:rPr>
        <w:t>、发生不可抗力事件的风险及其他风险</w:t>
      </w:r>
    </w:p>
    <w:p w14:paraId="2B0CDB2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）战争、自然灾害等不可抗力因素的出现，将会严重影响证券市场的运行，可能导致资产管理计划财产的损失；</w:t>
      </w:r>
    </w:p>
    <w:p w14:paraId="273F142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）金融市场危机、行业竞争、代理商违约等超出管理人自身直接控制能力之外的风险，也可能导致投资者利益受损。</w:t>
      </w:r>
    </w:p>
    <w:p w14:paraId="39F5A2A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对交由登记结算机构、证券期货经营机构、交易所等机构负责清算、保管的资产（包括但不限于期货保证金、合约等）及其产生的收益因该等机构欺诈、疏忽、过失、破产等原因对资产管理计划财产造成的损失。</w:t>
      </w:r>
    </w:p>
    <w:p w14:paraId="1F6D52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）在资产管理计划存续期间，管理人在一定条件下存在变更投资经理人选的可能，会对资产管理计划投资策略的执行产生影响。</w:t>
      </w:r>
    </w:p>
    <w:p w14:paraId="4000328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）可能危害资产管理计划财产导致投资者利益受损的其他风险。</w:t>
      </w:r>
    </w:p>
    <w:p w14:paraId="629F6CD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（二）资产管理计划面临的特定风险</w:t>
      </w:r>
    </w:p>
    <w:p w14:paraId="191E468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、资产管理合同与证券投资基金业协会合同指引不一致所涉风险</w:t>
      </w:r>
    </w:p>
    <w:p w14:paraId="3983554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资产管理合同参照证券投资基金业协会合同指引进行编制，并根据资产管理计划实际运作管理需求及各方协商情况约定合同条款，</w:t>
      </w:r>
      <w:proofErr w:type="gramStart"/>
      <w:r>
        <w:rPr>
          <w:rFonts w:ascii="宋体" w:eastAsia="宋体" w:hAnsi="宋体" w:cs="宋体" w:hint="eastAsia"/>
          <w:sz w:val="21"/>
          <w:szCs w:val="21"/>
        </w:rPr>
        <w:t>故资产</w:t>
      </w:r>
      <w:proofErr w:type="gramEnd"/>
      <w:r>
        <w:rPr>
          <w:rFonts w:ascii="宋体" w:eastAsia="宋体" w:hAnsi="宋体" w:cs="宋体" w:hint="eastAsia"/>
          <w:sz w:val="21"/>
          <w:szCs w:val="21"/>
        </w:rPr>
        <w:t>管理合同可能存在与证券投资基金业协会合同指引不一致情形。投资者应当认真阅读</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管理合同，理解</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管理合同的全部条</w:t>
      </w:r>
      <w:r>
        <w:rPr>
          <w:rFonts w:ascii="宋体" w:eastAsia="宋体" w:hAnsi="宋体" w:cs="宋体" w:hint="eastAsia"/>
          <w:sz w:val="21"/>
          <w:szCs w:val="21"/>
        </w:rPr>
        <w:t>款，独立做出是否签署</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管理合同的决定。但是资产委托人签署</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管理合同不代表资产委托人接受因资产管理合同违反法律法规、监管机构和行业自律规则进而导致</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管理计划下的损失。因资产管理人过错或过失导致资产管理合同违反法律法规、监管机构规定和行业自律规则或资产管理合同的约定进而导致</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管理计划下的损失，由资产管理人承担相应的责任。</w:t>
      </w:r>
    </w:p>
    <w:p w14:paraId="7E6C124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、资产管理计划未托管所涉风险</w:t>
      </w:r>
    </w:p>
    <w:p w14:paraId="1307486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197159E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、资产管理计划委托募集所涉风险</w:t>
      </w:r>
    </w:p>
    <w:p w14:paraId="2C91EB0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资产管理计划由管理人委托代理销售机构进行募集的，相关投资者适当性工作亦由管理人委托的代理</w:t>
      </w:r>
      <w:r>
        <w:rPr>
          <w:rFonts w:ascii="宋体" w:eastAsia="宋体" w:hAnsi="宋体" w:cs="宋体" w:hint="eastAsia"/>
          <w:sz w:val="21"/>
          <w:szCs w:val="21"/>
        </w:rPr>
        <w:lastRenderedPageBreak/>
        <w:t>销售机构进行</w:t>
      </w:r>
      <w:r>
        <w:rPr>
          <w:rFonts w:ascii="宋体" w:eastAsia="宋体" w:hAnsi="宋体" w:cs="宋体" w:hint="eastAsia"/>
          <w:sz w:val="21"/>
          <w:szCs w:val="21"/>
        </w:rPr>
        <w:t>核查验证，代理销售机构未能尽职核查的，可能会对投资者产生不利影响。</w:t>
      </w:r>
      <w:bookmarkStart w:id="73" w:name="_Hlk70618700"/>
      <w:r>
        <w:rPr>
          <w:rFonts w:ascii="宋体" w:eastAsia="宋体" w:hAnsi="宋体" w:cs="宋体" w:hint="eastAsia"/>
          <w:sz w:val="21"/>
          <w:szCs w:val="21"/>
        </w:rPr>
        <w:t>因资产管理人、管理人委托的代理销售机构过错或过失导致</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管理计划下的损失，由相关责任方承担相应的责任。</w:t>
      </w:r>
      <w:bookmarkEnd w:id="73"/>
    </w:p>
    <w:p w14:paraId="74F125C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、资产管理计划外包事项所涉风险</w:t>
      </w:r>
    </w:p>
    <w:p w14:paraId="624442A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资产管理人可委托具备相应资质的外包服务机构【光大证券股份有限公司】提供</w:t>
      </w:r>
      <w:r>
        <w:rPr>
          <w:rFonts w:ascii="宋体" w:eastAsia="宋体" w:hAnsi="宋体" w:cs="宋体" w:hint="eastAsia"/>
          <w:sz w:val="21"/>
          <w:szCs w:val="21"/>
          <w:lang w:bidi="ar"/>
        </w:rPr>
        <w:t>份额登记和估值核算服务</w:t>
      </w:r>
      <w:proofErr w:type="gramStart"/>
      <w:r>
        <w:rPr>
          <w:rFonts w:ascii="宋体" w:eastAsia="宋体" w:hAnsi="宋体" w:cs="宋体" w:hint="eastAsia"/>
          <w:sz w:val="21"/>
          <w:szCs w:val="21"/>
          <w:lang w:bidi="ar"/>
        </w:rPr>
        <w:t>等</w:t>
      </w:r>
      <w:r>
        <w:rPr>
          <w:rFonts w:ascii="宋体" w:eastAsia="宋体" w:hAnsi="宋体" w:cs="宋体" w:hint="eastAsia"/>
          <w:sz w:val="21"/>
          <w:szCs w:val="21"/>
        </w:rPr>
        <w:t>资管计划</w:t>
      </w:r>
      <w:proofErr w:type="gramEnd"/>
      <w:r>
        <w:rPr>
          <w:rFonts w:ascii="宋体" w:eastAsia="宋体" w:hAnsi="宋体" w:cs="宋体" w:hint="eastAsia"/>
          <w:sz w:val="21"/>
          <w:szCs w:val="21"/>
        </w:rPr>
        <w:t>外包服务。外包服务机构相信其本身将按照相关法律的规定进行营运及管理，但无法保证其本身可以永久维持符合监管部门的金融监管法律。如在计划存续期间外包服务机构无法继续从事</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外包服务，则可能会对</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产生</w:t>
      </w:r>
      <w:r>
        <w:rPr>
          <w:rFonts w:ascii="宋体" w:eastAsia="宋体" w:hAnsi="宋体" w:cs="宋体" w:hint="eastAsia"/>
          <w:sz w:val="21"/>
          <w:szCs w:val="21"/>
        </w:rPr>
        <w:t>不利影响。</w:t>
      </w:r>
    </w:p>
    <w:p w14:paraId="6FBCD87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、资产管理计划聘请投资顾问所涉风险</w:t>
      </w:r>
    </w:p>
    <w:p w14:paraId="3AC8BC4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41EC87A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、资产管理计划份额转让所涉风险</w:t>
      </w:r>
    </w:p>
    <w:p w14:paraId="2A1CD5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在具备可行条件且经管理人公告或通知后，投资者可以按照法律法规及资产管理合同的规定进行份额转让。资产管理计划份额转让的交易平台可以是证券交易所，也可以是中国证监会认可的其他交易平台。</w:t>
      </w:r>
    </w:p>
    <w:p w14:paraId="2F3971C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受限于份额受让方须满足合格投资者要求、投资者合计不得超过</w:t>
      </w:r>
      <w:r>
        <w:rPr>
          <w:rFonts w:ascii="宋体" w:eastAsia="宋体" w:hAnsi="宋体" w:cs="宋体" w:hint="eastAsia"/>
          <w:sz w:val="21"/>
          <w:szCs w:val="21"/>
        </w:rPr>
        <w:t>200</w:t>
      </w:r>
      <w:r>
        <w:rPr>
          <w:rFonts w:ascii="宋体" w:eastAsia="宋体" w:hAnsi="宋体" w:cs="宋体" w:hint="eastAsia"/>
          <w:sz w:val="21"/>
          <w:szCs w:val="21"/>
        </w:rPr>
        <w:t>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14:paraId="49CF3DF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、资产管理计划设置份额持有人大会所涉风险</w:t>
      </w:r>
    </w:p>
    <w:p w14:paraId="2E8999B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不适用。</w:t>
      </w:r>
    </w:p>
    <w:p w14:paraId="6FDB62B6"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8</w:t>
      </w:r>
      <w:r>
        <w:rPr>
          <w:rFonts w:ascii="宋体" w:eastAsia="宋体" w:hAnsi="宋体" w:cs="宋体" w:hint="eastAsia"/>
          <w:sz w:val="21"/>
          <w:szCs w:val="21"/>
        </w:rPr>
        <w:t>、资产管理计划未在证券投资基金业协会完成备案手续或不予备案情形所涉风险</w:t>
      </w:r>
    </w:p>
    <w:p w14:paraId="4E66E0C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5BC9BAC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因此，即使本计划成立，并不意味着本计划必然能获得基金业协会的备案。而该等备案过程可能会受到相应监管政策的影响，包括备案所需时间、能否通过备案都存在一定的不确定性。</w:t>
      </w:r>
    </w:p>
    <w:p w14:paraId="650E927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如果在计划成立后不能及时完成备案，将可能导致本计划错过市场行情或投资机会；如果本计划在成立后无法获得基金业协会的备案，则将直接影</w:t>
      </w:r>
      <w:r>
        <w:rPr>
          <w:rFonts w:ascii="宋体" w:eastAsia="宋体" w:hAnsi="宋体" w:cs="宋体" w:hint="eastAsia"/>
          <w:sz w:val="21"/>
          <w:szCs w:val="21"/>
        </w:rPr>
        <w:t>响本计划设立目的的实现。当出现无法通过基金业协会备案的情形，本计划提前终止，由此直接影响资产委托人参与本计划的投资目的。</w:t>
      </w:r>
    </w:p>
    <w:p w14:paraId="7B15F84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9</w:t>
      </w:r>
      <w:r>
        <w:rPr>
          <w:rFonts w:ascii="宋体" w:eastAsia="宋体" w:hAnsi="宋体" w:cs="宋体" w:hint="eastAsia"/>
          <w:sz w:val="21"/>
          <w:szCs w:val="21"/>
        </w:rPr>
        <w:t>、特定的投资方法及资产管理计划财产所投资的特定投资对象可能引起的特定风险</w:t>
      </w:r>
    </w:p>
    <w:p w14:paraId="14E3CC1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1</w:t>
      </w:r>
      <w:r>
        <w:rPr>
          <w:rFonts w:ascii="宋体" w:eastAsia="宋体" w:hAnsi="宋体" w:cs="宋体" w:hint="eastAsia"/>
          <w:sz w:val="21"/>
          <w:szCs w:val="21"/>
        </w:rPr>
        <w:t>）盯市结算风险</w:t>
      </w:r>
      <w:r>
        <w:rPr>
          <w:rFonts w:ascii="宋体" w:eastAsia="宋体" w:hAnsi="宋体" w:cs="宋体" w:hint="eastAsia"/>
          <w:sz w:val="21"/>
          <w:szCs w:val="21"/>
        </w:rPr>
        <w:t xml:space="preserve"> </w:t>
      </w:r>
    </w:p>
    <w:p w14:paraId="021841E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期货采取保证金交易，保证金账户实行当日无负债结算制度，对资金管理要求较高。假如市场走势对本计划财产不利，期货经纪公司会按照期货经纪合同约定的时间和方式通知资产管理人追加保证金，以使资产管理计划财产能继续持有未平仓合约。如出现极端行情，市场持续向不利方向波动导致期货保证金不足，又未能在规定时间</w:t>
      </w:r>
      <w:r>
        <w:rPr>
          <w:rFonts w:ascii="宋体" w:eastAsia="宋体" w:hAnsi="宋体" w:cs="宋体" w:hint="eastAsia"/>
          <w:sz w:val="21"/>
          <w:szCs w:val="21"/>
        </w:rPr>
        <w:t>内补足，按规定保证金账户将被强制平仓，甚至已缴付的所有保证金都不能弥补损失，从而导致超出预期的损失。</w:t>
      </w:r>
      <w:r>
        <w:rPr>
          <w:rFonts w:ascii="宋体" w:eastAsia="宋体" w:hAnsi="宋体" w:cs="宋体" w:hint="eastAsia"/>
          <w:sz w:val="21"/>
          <w:szCs w:val="21"/>
        </w:rPr>
        <w:t xml:space="preserve"> </w:t>
      </w:r>
    </w:p>
    <w:p w14:paraId="77A413D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）平仓风险</w:t>
      </w:r>
      <w:r>
        <w:rPr>
          <w:rFonts w:ascii="宋体" w:eastAsia="宋体" w:hAnsi="宋体" w:cs="宋体" w:hint="eastAsia"/>
          <w:sz w:val="21"/>
          <w:szCs w:val="21"/>
        </w:rPr>
        <w:t xml:space="preserve"> </w:t>
      </w:r>
    </w:p>
    <w:p w14:paraId="6C99839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原因导致期货交易所对期货经纪公司的经纪账户强行平仓，资产管理计划财产可能因被连带强行平仓而遭受损失。因管理</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未在规定</w:t>
      </w:r>
      <w:r>
        <w:rPr>
          <w:rFonts w:ascii="宋体" w:eastAsia="宋体" w:hAnsi="宋体" w:cs="宋体" w:hint="eastAsia"/>
          <w:sz w:val="21"/>
          <w:szCs w:val="21"/>
        </w:rPr>
        <w:t>时间内补足保证金导致被强制平仓，给投资者造成的损失由管理人承担。</w:t>
      </w:r>
      <w:r>
        <w:rPr>
          <w:rFonts w:ascii="宋体" w:eastAsia="宋体" w:hAnsi="宋体" w:cs="宋体" w:hint="eastAsia"/>
          <w:sz w:val="21"/>
          <w:szCs w:val="21"/>
        </w:rPr>
        <w:t xml:space="preserve"> </w:t>
      </w:r>
    </w:p>
    <w:p w14:paraId="585ACF1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）债券回购风险</w:t>
      </w:r>
    </w:p>
    <w:p w14:paraId="2EC8647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w:t>
      </w:r>
      <w:r>
        <w:rPr>
          <w:rFonts w:ascii="宋体" w:eastAsia="宋体" w:hAnsi="宋体" w:cs="宋体" w:hint="eastAsia"/>
          <w:sz w:val="21"/>
          <w:szCs w:val="21"/>
        </w:rPr>
        <w:t>时，也对投资组合的波动性（标准差）进行了放大，即投资组合的风险将会加大。回购比例越高，风险暴露程度也就越高，对计划净值造成损失的可能性也就越大。</w:t>
      </w:r>
    </w:p>
    <w:p w14:paraId="58C3671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10</w:t>
      </w:r>
      <w:r>
        <w:rPr>
          <w:rFonts w:ascii="宋体" w:eastAsia="宋体" w:hAnsi="宋体" w:cs="宋体" w:hint="eastAsia"/>
          <w:sz w:val="21"/>
          <w:szCs w:val="21"/>
        </w:rPr>
        <w:t>、本计划展期或提前终止的风险</w:t>
      </w:r>
    </w:p>
    <w:p w14:paraId="5B570E8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若发生本计划约定展期或提前终止情形时，将可能导致资产委托人无法按照预期安排委托财产投资或无法按时收回委托财产或委托财产收回金额不及预期等风险。</w:t>
      </w:r>
    </w:p>
    <w:p w14:paraId="35D6740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11</w:t>
      </w:r>
      <w:r>
        <w:rPr>
          <w:rFonts w:ascii="宋体" w:eastAsia="宋体" w:hAnsi="宋体" w:cs="宋体" w:hint="eastAsia"/>
          <w:sz w:val="21"/>
          <w:szCs w:val="21"/>
        </w:rPr>
        <w:t>、预警止损的风险</w:t>
      </w:r>
    </w:p>
    <w:p w14:paraId="7F2E99A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本计划虽然设定了预警机制，但该等预警线并不代表本计划最终实际净值。本计划不设置止损操作，计划资产可能发生大幅亏损，甚至本金全部损失。</w:t>
      </w:r>
    </w:p>
    <w:p w14:paraId="39C92C01"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（三）其它风险</w:t>
      </w:r>
      <w:r>
        <w:rPr>
          <w:rFonts w:ascii="宋体" w:eastAsia="宋体" w:hAnsi="宋体" w:cs="宋体" w:hint="eastAsia"/>
          <w:sz w:val="21"/>
          <w:szCs w:val="21"/>
        </w:rPr>
        <w:t xml:space="preserve"> </w:t>
      </w:r>
    </w:p>
    <w:p w14:paraId="75A9ECE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、战争、自然</w:t>
      </w:r>
      <w:r>
        <w:rPr>
          <w:rFonts w:ascii="宋体" w:eastAsia="宋体" w:hAnsi="宋体" w:cs="宋体" w:hint="eastAsia"/>
          <w:sz w:val="21"/>
          <w:szCs w:val="21"/>
        </w:rPr>
        <w:t>灾害等不可抗力因素的出现，将会严重影响证券市场的运行，可能导致委托财产的损</w:t>
      </w:r>
      <w:r>
        <w:rPr>
          <w:rFonts w:ascii="宋体" w:eastAsia="宋体" w:hAnsi="宋体" w:cs="宋体" w:hint="eastAsia"/>
          <w:sz w:val="21"/>
          <w:szCs w:val="21"/>
        </w:rPr>
        <w:lastRenderedPageBreak/>
        <w:t>失；</w:t>
      </w:r>
      <w:r>
        <w:rPr>
          <w:rFonts w:ascii="宋体" w:eastAsia="宋体" w:hAnsi="宋体" w:cs="宋体" w:hint="eastAsia"/>
          <w:sz w:val="21"/>
          <w:szCs w:val="21"/>
        </w:rPr>
        <w:t xml:space="preserve"> </w:t>
      </w:r>
    </w:p>
    <w:p w14:paraId="12F2C2F3"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、金融市场危机、行业竞争、代理商违约等超出资产管理人自身直接控制能力之外的风险，也可能导致资产委托人利益受损。</w:t>
      </w:r>
    </w:p>
    <w:p w14:paraId="062D9429"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发生上述风险事件不代表管理人免于承担责任，如因管理人自身原因引起的并导致资产管理产品发生损失的，由管理人承担相应损失。</w:t>
      </w:r>
    </w:p>
    <w:p w14:paraId="1D999EFF" w14:textId="77777777" w:rsidR="00694F14" w:rsidRDefault="00694F14">
      <w:pPr>
        <w:pStyle w:val="a4"/>
        <w:spacing w:line="360" w:lineRule="auto"/>
        <w:rPr>
          <w:rFonts w:ascii="宋体" w:eastAsia="宋体" w:hAnsi="宋体" w:cs="宋体"/>
          <w:sz w:val="21"/>
          <w:szCs w:val="21"/>
        </w:rPr>
      </w:pPr>
    </w:p>
    <w:p w14:paraId="297555A9" w14:textId="77777777" w:rsidR="00694F14" w:rsidRDefault="00A463B7">
      <w:pPr>
        <w:pStyle w:val="1"/>
        <w:spacing w:before="0" w:after="0" w:line="360" w:lineRule="auto"/>
        <w:jc w:val="center"/>
        <w:rPr>
          <w:rFonts w:ascii="宋体" w:eastAsia="宋体" w:hAnsi="宋体" w:cs="宋体"/>
          <w:sz w:val="21"/>
          <w:szCs w:val="21"/>
        </w:rPr>
      </w:pPr>
      <w:bookmarkStart w:id="74" w:name="_Toc70622204"/>
      <w:r>
        <w:rPr>
          <w:rFonts w:ascii="宋体" w:eastAsia="宋体" w:hAnsi="宋体" w:cs="宋体" w:hint="eastAsia"/>
          <w:sz w:val="21"/>
          <w:szCs w:val="21"/>
        </w:rPr>
        <w:t>二十五、资产管理合同的变更、终止与财产清算</w:t>
      </w:r>
      <w:bookmarkEnd w:id="74"/>
    </w:p>
    <w:p w14:paraId="1563F0A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（一）资产管理合同的变更</w:t>
      </w:r>
    </w:p>
    <w:p w14:paraId="3613788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因法律法规或中国证监会、证券投资基金业协会的相关规定、要求发生变化必须变更资产管理合同的，在必须变更的范围内，资产管理人可以与资产托管人协商后修改资产管理合同，并由资产管理人按照合同约定及时向投资者披露变更的具体内容。</w:t>
      </w:r>
    </w:p>
    <w:p w14:paraId="2404A32C"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、因其他原因需要变更资产管理合同的，资产管理人与资产委托人、资产托管人对合同变更事宜达成一致后，方可对合同内容进行变更。资产管理计划改变投向和比例的，应当事先取得资产委托人同意。</w:t>
      </w:r>
    </w:p>
    <w:p w14:paraId="60F4A2A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、如果资产管理人被依法撤销资产管理业务资格或者依法解散、被撤销、宣告破产，经资产委托人及资产托管人协商一</w:t>
      </w:r>
      <w:r>
        <w:rPr>
          <w:rFonts w:ascii="宋体" w:eastAsia="宋体" w:hAnsi="宋体" w:cs="宋体" w:hint="eastAsia"/>
          <w:sz w:val="21"/>
          <w:szCs w:val="21"/>
        </w:rPr>
        <w:t>致，可选择符合条件的其他资产管理人承接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管理计划项下资产管理人相关权利义务。发生此等情形时，原资产管理人应当向新的资产管理人交接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管理计划资产管理事务。</w:t>
      </w:r>
    </w:p>
    <w:p w14:paraId="2411C2EE"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如果资产托管人被依法撤销基金托管资格或者依法解散、被撤销、宣告破产，经资产委托人及资产管理人协商一致，可选择符合条件的其他资产托管人承接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管理计划项下资产托管人相关权利义务。发生此等情形时，原资产托管人应当向新的资产托管人交接</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管理计划资产托管事务。</w:t>
      </w:r>
    </w:p>
    <w:p w14:paraId="586FF68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、资产管理人应当合理保障合同变更后投资者选择退出资产管理计划的权利，具体以资产管理人经与</w:t>
      </w:r>
      <w:r>
        <w:rPr>
          <w:rFonts w:ascii="宋体" w:eastAsia="宋体" w:hAnsi="宋体" w:cs="宋体" w:hint="eastAsia"/>
          <w:sz w:val="21"/>
          <w:szCs w:val="21"/>
        </w:rPr>
        <w:t>资产委托人协商一致后的届时安排（公告）为准。</w:t>
      </w:r>
    </w:p>
    <w:p w14:paraId="5A50AF1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、资产管理人应当</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管理合同变更之日起五个工作日内</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w:t>
      </w:r>
    </w:p>
    <w:p w14:paraId="645A0BB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（二）本计划终止（含提前终止）的情形包括下列事项：</w:t>
      </w:r>
    </w:p>
    <w:p w14:paraId="6D7FC604"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w:t>
      </w:r>
      <w:proofErr w:type="gramStart"/>
      <w:r>
        <w:rPr>
          <w:rFonts w:ascii="宋体" w:eastAsia="宋体" w:hAnsi="宋体" w:cs="宋体" w:hint="eastAsia"/>
          <w:sz w:val="21"/>
          <w:szCs w:val="21"/>
        </w:rPr>
        <w:t>资管计划</w:t>
      </w:r>
      <w:proofErr w:type="gramEnd"/>
      <w:r>
        <w:rPr>
          <w:rFonts w:ascii="宋体" w:eastAsia="宋体" w:hAnsi="宋体" w:cs="宋体" w:hint="eastAsia"/>
          <w:sz w:val="21"/>
          <w:szCs w:val="21"/>
        </w:rPr>
        <w:t>存续期届满而</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展期的；</w:t>
      </w:r>
    </w:p>
    <w:p w14:paraId="59DC682F"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、资产管理人被依法撤销资产管理业务资格或者依法解散、被撤销、被宣告破产，且在六个月内没有新的资产管理人承接；</w:t>
      </w:r>
    </w:p>
    <w:p w14:paraId="7795C018"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、资产托管人被依法撤销基金托管资格或者依法解散、被撤销、被宣告破产，且在六个月内没有新</w:t>
      </w:r>
      <w:r>
        <w:rPr>
          <w:rFonts w:ascii="宋体" w:eastAsia="宋体" w:hAnsi="宋体" w:cs="宋体" w:hint="eastAsia"/>
          <w:sz w:val="21"/>
          <w:szCs w:val="21"/>
        </w:rPr>
        <w:lastRenderedPageBreak/>
        <w:t>的资产托管人承接；</w:t>
      </w:r>
    </w:p>
    <w:p w14:paraId="46F73D92"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、经资产委托人、资产管理人和托管人协商一致决定终止的</w:t>
      </w:r>
      <w:r>
        <w:rPr>
          <w:rFonts w:ascii="宋体" w:eastAsia="宋体" w:hAnsi="宋体" w:cs="宋体" w:hint="eastAsia"/>
          <w:sz w:val="21"/>
          <w:szCs w:val="21"/>
        </w:rPr>
        <w:t>；</w:t>
      </w:r>
    </w:p>
    <w:p w14:paraId="1601F6C3"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、本计划存续期间内，持续五个工作日投资者少于二人；</w:t>
      </w:r>
    </w:p>
    <w:p w14:paraId="64645FD1"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sz w:val="21"/>
          <w:szCs w:val="21"/>
        </w:rPr>
        <w:t>、本计划在成立后，未在基金业协会完成备案或不予备案的；</w:t>
      </w:r>
    </w:p>
    <w:p w14:paraId="79BCD1FA"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7</w:t>
      </w:r>
      <w:r>
        <w:rPr>
          <w:rFonts w:ascii="宋体" w:eastAsia="宋体" w:hAnsi="宋体" w:cs="宋体" w:hint="eastAsia"/>
          <w:sz w:val="21"/>
          <w:szCs w:val="21"/>
        </w:rPr>
        <w:t>、法律、行政法规及中国证监会规定及本合同约定的其他情形。</w:t>
      </w:r>
    </w:p>
    <w:p w14:paraId="5BD06A17" w14:textId="77777777" w:rsidR="00694F14" w:rsidRDefault="00A463B7">
      <w:pPr>
        <w:spacing w:line="360" w:lineRule="auto"/>
        <w:ind w:firstLine="540"/>
        <w:rPr>
          <w:rFonts w:ascii="宋体" w:eastAsia="宋体" w:hAnsi="宋体" w:cs="宋体"/>
          <w:sz w:val="21"/>
          <w:szCs w:val="21"/>
        </w:rPr>
      </w:pPr>
      <w:r>
        <w:rPr>
          <w:rFonts w:ascii="宋体" w:eastAsia="宋体" w:hAnsi="宋体" w:cs="宋体" w:hint="eastAsia"/>
          <w:sz w:val="21"/>
          <w:szCs w:val="21"/>
        </w:rPr>
        <w:t>资产管理人应当</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管理计划终止之日起五个工作日内</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业协会备案，并抄报中国证监会相关派出机构，前述第</w:t>
      </w:r>
      <w:r>
        <w:rPr>
          <w:rFonts w:ascii="宋体" w:eastAsia="宋体" w:hAnsi="宋体" w:cs="宋体" w:hint="eastAsia"/>
          <w:sz w:val="21"/>
          <w:szCs w:val="21"/>
        </w:rPr>
        <w:t>7</w:t>
      </w:r>
      <w:r>
        <w:rPr>
          <w:rFonts w:ascii="宋体" w:eastAsia="宋体" w:hAnsi="宋体" w:cs="宋体" w:hint="eastAsia"/>
          <w:sz w:val="21"/>
          <w:szCs w:val="21"/>
        </w:rPr>
        <w:t>项约定的情形除外。</w:t>
      </w:r>
    </w:p>
    <w:p w14:paraId="6582E16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（三）本计划的展期</w:t>
      </w:r>
    </w:p>
    <w:p w14:paraId="690D04BA"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如果本计划届时符合如下条件，则视为本计划展期成功：</w:t>
      </w:r>
    </w:p>
    <w:p w14:paraId="337B402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、资产管理计划运作规范，资产管理人、托管人未违反法律、行政法规、中国证监会规定和资产管理合同的约定；</w:t>
      </w:r>
    </w:p>
    <w:p w14:paraId="1A58867D"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、经全体资产委托人、资产管理人和</w:t>
      </w:r>
      <w:r>
        <w:rPr>
          <w:rFonts w:ascii="宋体" w:eastAsia="宋体" w:hAnsi="宋体" w:cs="宋体" w:hint="eastAsia"/>
          <w:sz w:val="21"/>
          <w:szCs w:val="21"/>
        </w:rPr>
        <w:t>资产托管人协商一致后，可以对计划进行延期；</w:t>
      </w:r>
    </w:p>
    <w:p w14:paraId="512C21F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、资产管理计划展期没有损害投资者利益的情形；</w:t>
      </w:r>
    </w:p>
    <w:p w14:paraId="2520795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、符合本合同第七章第（一）条所约定的本计划成立条件；</w:t>
      </w:r>
    </w:p>
    <w:p w14:paraId="69DBF2A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sz w:val="21"/>
          <w:szCs w:val="21"/>
        </w:rPr>
        <w:t>、中国证监会规定的其他条件。</w:t>
      </w:r>
    </w:p>
    <w:p w14:paraId="35F971D3"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（四）财产清算</w:t>
      </w:r>
    </w:p>
    <w:p w14:paraId="3D906E1D"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、清算小组</w:t>
      </w:r>
    </w:p>
    <w:p w14:paraId="68DD2CCB"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管理计划终止（含提前终止）的，资产管理人应当在发生终止（含提前终止）情形之日起五个工作日内开始组织清算资产管理计划财产，具体可由清算小组具体处理。</w:t>
      </w:r>
    </w:p>
    <w:p w14:paraId="080C54E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清算小组成员由资产管理人、资产托管人组成。清算小组可以聘用必要的工作人员。</w:t>
      </w:r>
    </w:p>
    <w:p w14:paraId="5C2287C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清算小组职责：负责资产管理计划财产的保管、清理、估价、变现和分配。资产管理计划财产清算小组可以依法进行必要的民事活动。</w:t>
      </w:r>
    </w:p>
    <w:p w14:paraId="33C0817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、清算程序</w:t>
      </w:r>
    </w:p>
    <w:p w14:paraId="7B3287D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管理计划终止（含提前终止），应当按法律法规和资产管理合同的有关规定对资产管理计划财产进行清算。资产管理计划财产清算程序主要包括：</w:t>
      </w:r>
    </w:p>
    <w:p w14:paraId="5C92415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）资产管</w:t>
      </w:r>
      <w:r>
        <w:rPr>
          <w:rFonts w:ascii="宋体" w:eastAsia="宋体" w:hAnsi="宋体" w:cs="宋体" w:hint="eastAsia"/>
          <w:sz w:val="21"/>
          <w:szCs w:val="21"/>
        </w:rPr>
        <w:t>理计划终止时，由资产管理计划财产清算小组统一接管财产；</w:t>
      </w:r>
    </w:p>
    <w:p w14:paraId="71E242CE"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）对资产管理计划财产进行清理和确认；</w:t>
      </w:r>
    </w:p>
    <w:p w14:paraId="1029D79E"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）对资产管理计划财产进行估价和变现；</w:t>
      </w:r>
    </w:p>
    <w:p w14:paraId="304188C3"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lastRenderedPageBreak/>
        <w:t>（</w:t>
      </w:r>
      <w:r>
        <w:rPr>
          <w:rFonts w:ascii="宋体" w:eastAsia="宋体" w:hAnsi="宋体" w:cs="宋体" w:hint="eastAsia"/>
          <w:sz w:val="21"/>
          <w:szCs w:val="21"/>
        </w:rPr>
        <w:t>4</w:t>
      </w:r>
      <w:r>
        <w:rPr>
          <w:rFonts w:ascii="宋体" w:eastAsia="宋体" w:hAnsi="宋体" w:cs="宋体" w:hint="eastAsia"/>
          <w:sz w:val="21"/>
          <w:szCs w:val="21"/>
        </w:rPr>
        <w:t>）制作清算报告；</w:t>
      </w:r>
    </w:p>
    <w:p w14:paraId="5D287BCD"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）对资产管理计划剩余财产进行分配。</w:t>
      </w:r>
    </w:p>
    <w:p w14:paraId="752254F1"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sz w:val="21"/>
          <w:szCs w:val="21"/>
        </w:rPr>
        <w:t>、清算费用的来源和支付方式</w:t>
      </w:r>
    </w:p>
    <w:p w14:paraId="412189DA"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清算费用是指清算小组在进行资产管理计划财产清算过程中发生的所有合理费用，清算费用由资产管理计划财产清算小组优先从资产管理计划财产中支付。清算费用包括但不限于：</w:t>
      </w:r>
    </w:p>
    <w:p w14:paraId="3EB2440A"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）聘请会计师（如需）、律师（如需），以及其他工作人员所发生的报酬；</w:t>
      </w:r>
    </w:p>
    <w:p w14:paraId="57E91749"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）资产管理计划资产的保管、清理、估价、变现和</w:t>
      </w:r>
      <w:r>
        <w:rPr>
          <w:rFonts w:ascii="宋体" w:eastAsia="宋体" w:hAnsi="宋体" w:cs="宋体" w:hint="eastAsia"/>
          <w:sz w:val="21"/>
          <w:szCs w:val="21"/>
        </w:rPr>
        <w:t>分配产生的费用；</w:t>
      </w:r>
    </w:p>
    <w:p w14:paraId="242F3BB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）信息披露所发生的费用；</w:t>
      </w:r>
    </w:p>
    <w:p w14:paraId="4311A58E"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）诉讼、仲裁、保全等维护计划委托财产利益所发生的费用；</w:t>
      </w:r>
    </w:p>
    <w:p w14:paraId="1709118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）其他与清算事项有关的费用。</w:t>
      </w:r>
    </w:p>
    <w:p w14:paraId="51F232D2"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除交易所、登记结算机构、开户银行等自动扣缴的费用外，所有清算费用由资产管理人向资产托管人出具指令，由资产托管人复核后办理支付。</w:t>
      </w:r>
    </w:p>
    <w:p w14:paraId="539486C4"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sz w:val="21"/>
          <w:szCs w:val="21"/>
        </w:rPr>
        <w:t>、清算剩余财产的支付</w:t>
      </w:r>
    </w:p>
    <w:p w14:paraId="0402FD4D"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依据资产管理计划财产清算的分配方案，将资产管理计划财产清算后的全部剩余资产扣除资产管理计划财产清算费用及各项负债后，向资产委托人进行分配。计划财产按下列顺序清偿：</w:t>
      </w:r>
    </w:p>
    <w:p w14:paraId="01BC1C43"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1</w:t>
      </w:r>
      <w:r>
        <w:rPr>
          <w:rFonts w:ascii="宋体" w:eastAsia="宋体" w:hAnsi="宋体" w:cs="宋体" w:hint="eastAsia"/>
          <w:sz w:val="21"/>
          <w:szCs w:val="21"/>
        </w:rPr>
        <w:t>）支付清算费用；</w:t>
      </w:r>
    </w:p>
    <w:p w14:paraId="2894ED0A"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）交纳所欠税款；</w:t>
      </w:r>
    </w:p>
    <w:p w14:paraId="74566309"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）清偿</w:t>
      </w:r>
      <w:r>
        <w:rPr>
          <w:rFonts w:ascii="宋体" w:eastAsia="宋体" w:hAnsi="宋体" w:cs="宋体" w:hint="eastAsia"/>
          <w:sz w:val="21"/>
          <w:szCs w:val="21"/>
        </w:rPr>
        <w:t>计划债务（包括但不限于管理费、托管费、业绩报酬等）；</w:t>
      </w:r>
    </w:p>
    <w:p w14:paraId="31224F46"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4</w:t>
      </w:r>
      <w:r>
        <w:rPr>
          <w:rFonts w:ascii="宋体" w:eastAsia="宋体" w:hAnsi="宋体" w:cs="宋体" w:hint="eastAsia"/>
          <w:sz w:val="21"/>
          <w:szCs w:val="21"/>
        </w:rPr>
        <w:t>）向资产委托人进行分配。</w:t>
      </w:r>
    </w:p>
    <w:p w14:paraId="0C4805C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计划财产未按前款（</w:t>
      </w:r>
      <w:r>
        <w:rPr>
          <w:rFonts w:ascii="宋体" w:eastAsia="宋体" w:hAnsi="宋体" w:cs="宋体" w:hint="eastAsia"/>
          <w:sz w:val="21"/>
          <w:szCs w:val="21"/>
        </w:rPr>
        <w:t>1</w:t>
      </w: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）项约定清偿前，不分配给计划份额持有人。在完成前款（</w:t>
      </w:r>
      <w:r>
        <w:rPr>
          <w:rFonts w:ascii="宋体" w:eastAsia="宋体" w:hAnsi="宋体" w:cs="宋体" w:hint="eastAsia"/>
          <w:sz w:val="21"/>
          <w:szCs w:val="21"/>
        </w:rPr>
        <w:t>1</w:t>
      </w:r>
      <w:r>
        <w:rPr>
          <w:rFonts w:ascii="宋体" w:eastAsia="宋体" w:hAnsi="宋体" w:cs="宋体" w:hint="eastAsia"/>
          <w:sz w:val="21"/>
          <w:szCs w:val="21"/>
        </w:rPr>
        <w:t>）、（</w:t>
      </w:r>
      <w:r>
        <w:rPr>
          <w:rFonts w:ascii="宋体" w:eastAsia="宋体" w:hAnsi="宋体" w:cs="宋体" w:hint="eastAsia"/>
          <w:sz w:val="21"/>
          <w:szCs w:val="21"/>
        </w:rPr>
        <w:t>2</w:t>
      </w:r>
      <w:r>
        <w:rPr>
          <w:rFonts w:ascii="宋体" w:eastAsia="宋体" w:hAnsi="宋体" w:cs="宋体" w:hint="eastAsia"/>
          <w:sz w:val="21"/>
          <w:szCs w:val="21"/>
        </w:rPr>
        <w:t>）、（</w:t>
      </w:r>
      <w:r>
        <w:rPr>
          <w:rFonts w:ascii="宋体" w:eastAsia="宋体" w:hAnsi="宋体" w:cs="宋体" w:hint="eastAsia"/>
          <w:sz w:val="21"/>
          <w:szCs w:val="21"/>
        </w:rPr>
        <w:t>3</w:t>
      </w:r>
      <w:r>
        <w:rPr>
          <w:rFonts w:ascii="宋体" w:eastAsia="宋体" w:hAnsi="宋体" w:cs="宋体" w:hint="eastAsia"/>
          <w:sz w:val="21"/>
          <w:szCs w:val="21"/>
        </w:rPr>
        <w:t>）</w:t>
      </w:r>
      <w:proofErr w:type="gramStart"/>
      <w:r>
        <w:rPr>
          <w:rFonts w:ascii="宋体" w:eastAsia="宋体" w:hAnsi="宋体" w:cs="宋体" w:hint="eastAsia"/>
          <w:sz w:val="21"/>
          <w:szCs w:val="21"/>
        </w:rPr>
        <w:t>项程序</w:t>
      </w:r>
      <w:proofErr w:type="gramEnd"/>
      <w:r>
        <w:rPr>
          <w:rFonts w:ascii="宋体" w:eastAsia="宋体" w:hAnsi="宋体" w:cs="宋体" w:hint="eastAsia"/>
          <w:sz w:val="21"/>
          <w:szCs w:val="21"/>
        </w:rPr>
        <w:t>后的剩余财产，资产管理人将按照资产委托人所持份额占本计划总份额的比例，以现金形式向资产委托人进行分配。</w:t>
      </w:r>
    </w:p>
    <w:p w14:paraId="4212527F"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计划终止日后，计划财产不应仍持有可</w:t>
      </w:r>
      <w:proofErr w:type="gramStart"/>
      <w:r>
        <w:rPr>
          <w:rFonts w:ascii="宋体" w:eastAsia="宋体" w:hAnsi="宋体" w:cs="宋体" w:hint="eastAsia"/>
          <w:sz w:val="21"/>
          <w:szCs w:val="21"/>
        </w:rPr>
        <w:t>流通非</w:t>
      </w:r>
      <w:proofErr w:type="gramEnd"/>
      <w:r>
        <w:rPr>
          <w:rFonts w:ascii="宋体" w:eastAsia="宋体" w:hAnsi="宋体" w:cs="宋体" w:hint="eastAsia"/>
          <w:sz w:val="21"/>
          <w:szCs w:val="21"/>
        </w:rPr>
        <w:t>现金资产。如遇特殊情况，计划财产仍持有未能流通变现的证券的，资产管理人可采取二次或多次清盘的方式，先对本计划所持有的现金资产进行清算，并按本合同约定的规则向委托人进行分配。</w:t>
      </w:r>
      <w:proofErr w:type="gramStart"/>
      <w:r>
        <w:rPr>
          <w:rFonts w:ascii="宋体" w:eastAsia="宋体" w:hAnsi="宋体" w:cs="宋体" w:hint="eastAsia"/>
          <w:sz w:val="21"/>
          <w:szCs w:val="21"/>
        </w:rPr>
        <w:t>待本计划</w:t>
      </w:r>
      <w:proofErr w:type="gramEnd"/>
      <w:r>
        <w:rPr>
          <w:rFonts w:ascii="宋体" w:eastAsia="宋体" w:hAnsi="宋体" w:cs="宋体" w:hint="eastAsia"/>
          <w:sz w:val="21"/>
          <w:szCs w:val="21"/>
        </w:rPr>
        <w:t>所持资产中剩余流通受限资产的流通限制解除后，资产管理人应及时变现，并对变现资产进行二次或多次清算。每次清算时，资产管理人向资产托管人出具划款指令，将当前剩余现金资产扣除本计划财产当前应付的清算费用、应付税款、各项债务及预留后续或有支出后的剩余现金资产，向委托人进行分配。在进行二次或多次清算的</w:t>
      </w:r>
      <w:r>
        <w:rPr>
          <w:rFonts w:ascii="宋体" w:eastAsia="宋体" w:hAnsi="宋体" w:cs="宋体" w:hint="eastAsia"/>
          <w:sz w:val="21"/>
          <w:szCs w:val="21"/>
        </w:rPr>
        <w:t>变现过程中，变现的资金以现金保存，</w:t>
      </w:r>
      <w:r>
        <w:rPr>
          <w:rFonts w:ascii="宋体" w:eastAsia="宋体" w:hAnsi="宋体" w:cs="宋体" w:hint="eastAsia"/>
          <w:sz w:val="21"/>
          <w:szCs w:val="21"/>
        </w:rPr>
        <w:lastRenderedPageBreak/>
        <w:t>不得再进行投资。计划终止日至本计划财产全部完成变现前，资产管理人、资产托管人继续按本合同第二十一章第（二）条约定的费率及计算方法收取管理费、托管费、业绩报酬。管理费、托管费计提规则是以当日资产净值为基数在下一日计提，对于合同最后一日费用则以当日资产净值为基数在当日计提。</w:t>
      </w:r>
    </w:p>
    <w:p w14:paraId="53F3BC9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在委托财产移交前，由资产托管人负责保管。保管期间，任何当事人均不得运用该委托财产。保管期间产生的收益归委托财产所有，发生的保管费用由委托财产承担。因资产委托人原因导致委托财产无法转移的，资产托管人和资产管理</w:t>
      </w:r>
      <w:r>
        <w:rPr>
          <w:rFonts w:ascii="宋体" w:eastAsia="宋体" w:hAnsi="宋体" w:cs="宋体" w:hint="eastAsia"/>
          <w:sz w:val="21"/>
          <w:szCs w:val="21"/>
        </w:rPr>
        <w:t>人可以在协商一致后按照有关法律法规进行处理。</w:t>
      </w:r>
    </w:p>
    <w:p w14:paraId="48978AC8"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委托财产清算工作结束，并全部划入指定账户后，资产托管人应在资产委托人和资产管理人的配合下，尽快完成本合同项下相关账户的销户工作，并将销</w:t>
      </w:r>
      <w:proofErr w:type="gramStart"/>
      <w:r>
        <w:rPr>
          <w:rFonts w:ascii="宋体" w:eastAsia="宋体" w:hAnsi="宋体" w:cs="宋体" w:hint="eastAsia"/>
          <w:sz w:val="21"/>
          <w:szCs w:val="21"/>
        </w:rPr>
        <w:t>户结果</w:t>
      </w:r>
      <w:proofErr w:type="gramEnd"/>
      <w:r>
        <w:rPr>
          <w:rFonts w:ascii="宋体" w:eastAsia="宋体" w:hAnsi="宋体" w:cs="宋体" w:hint="eastAsia"/>
          <w:sz w:val="21"/>
          <w:szCs w:val="21"/>
        </w:rPr>
        <w:t>通知资产委托人和资产管理人。如因本合同相关当事人故意拖延等行为造成销户不及时而出现直接损失或造成相关费用，应当对各自行为承担赔偿责任。</w:t>
      </w:r>
    </w:p>
    <w:p w14:paraId="78B3F9E3"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资产管理计划因委托财产流动性受限等原因延期清算的，资产管理人应当及时向中国证监会相关派出机构和证券投资基金业协会报告。</w:t>
      </w:r>
    </w:p>
    <w:p w14:paraId="2B86748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资产管理人应当在资产管理计划清算结束后五个工作日内将清算结果</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w:t>
      </w:r>
      <w:r>
        <w:rPr>
          <w:rFonts w:ascii="宋体" w:eastAsia="宋体" w:hAnsi="宋体" w:cs="宋体" w:hint="eastAsia"/>
          <w:sz w:val="21"/>
          <w:szCs w:val="21"/>
        </w:rPr>
        <w:t>会备案，并抄报中国证监会相关派出机构。</w:t>
      </w:r>
    </w:p>
    <w:p w14:paraId="60300FDD"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资产管理人、资产托管人等机构应当按照法律法规、监管机构及自律组织的规定保存资产管理计划的会计账册，妥善保存有关的合同、协议、交易记录等文件、资料和数据，任何人不得隐匿、伪造、篡改或者销毁。保存期限</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管理计划终止之日起不少于二十年。</w:t>
      </w:r>
    </w:p>
    <w:p w14:paraId="2EDD886C" w14:textId="77777777" w:rsidR="00694F14" w:rsidRDefault="00694F14">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p>
    <w:p w14:paraId="03C769BC" w14:textId="77777777" w:rsidR="00694F14" w:rsidRDefault="00A463B7">
      <w:pPr>
        <w:pStyle w:val="1"/>
        <w:spacing w:before="0" w:after="0" w:line="360" w:lineRule="auto"/>
        <w:jc w:val="center"/>
        <w:rPr>
          <w:rFonts w:ascii="宋体" w:eastAsia="宋体" w:hAnsi="宋体" w:cs="宋体"/>
          <w:sz w:val="21"/>
          <w:szCs w:val="21"/>
        </w:rPr>
      </w:pPr>
      <w:bookmarkStart w:id="75" w:name="_Toc70622205"/>
      <w:bookmarkStart w:id="76" w:name="_Toc401668951"/>
      <w:r>
        <w:rPr>
          <w:rFonts w:ascii="宋体" w:eastAsia="宋体" w:hAnsi="宋体" w:cs="宋体" w:hint="eastAsia"/>
          <w:sz w:val="21"/>
          <w:szCs w:val="21"/>
        </w:rPr>
        <w:t>二十六、违约责任</w:t>
      </w:r>
      <w:bookmarkEnd w:id="75"/>
      <w:bookmarkEnd w:id="76"/>
    </w:p>
    <w:p w14:paraId="14300440"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sz w:val="21"/>
          <w:szCs w:val="21"/>
        </w:rPr>
        <w:t>(</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w:t>
      </w:r>
      <w:r>
        <w:rPr>
          <w:rFonts w:ascii="宋体" w:eastAsia="宋体" w:hAnsi="宋体" w:cs="宋体" w:hint="eastAsia"/>
          <w:sz w:val="21"/>
          <w:szCs w:val="21"/>
        </w:rPr>
        <w:t>因本合同当事人的违约行为造成本合同不能履行或者不能完全履行的，由违约的一方承担违约责任；如属当事人双方或多方当事人的违约，根据实际情况，由违约方分别承担各自应负的违约责任。</w:t>
      </w:r>
      <w:r>
        <w:rPr>
          <w:rFonts w:ascii="宋体" w:eastAsia="宋体" w:hAnsi="宋体" w:cs="宋体" w:hint="eastAsia"/>
          <w:b/>
          <w:sz w:val="21"/>
          <w:szCs w:val="21"/>
        </w:rPr>
        <w:t>但是发生下列情况，当事人应当免责：</w:t>
      </w:r>
    </w:p>
    <w:p w14:paraId="111FD283"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1</w:t>
      </w:r>
      <w:r>
        <w:rPr>
          <w:rFonts w:ascii="宋体" w:eastAsia="宋体" w:hAnsi="宋体" w:cs="宋体" w:hint="eastAsia"/>
          <w:b/>
          <w:sz w:val="21"/>
          <w:szCs w:val="21"/>
        </w:rPr>
        <w:t>、对于无法预见、无法抗拒、无法避免且在本合同签署之日后发生的不可抗力事件，包括但不限于战争、自然灾害、政府行为等情形，导致合同当事人方无法全部履行或部分履行本合同的，任何一方当事人不承担违约责任，但是，合同各方当事人应当在合理行为能力范围内勤勉尽责，以降低此类事件对委托财产和其他当事人方的影响；</w:t>
      </w:r>
    </w:p>
    <w:p w14:paraId="0CDB951B"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2.</w:t>
      </w:r>
      <w:r>
        <w:rPr>
          <w:rFonts w:ascii="宋体" w:eastAsia="宋体" w:hAnsi="宋体" w:cs="宋体" w:hint="eastAsia"/>
          <w:b/>
          <w:sz w:val="21"/>
          <w:szCs w:val="21"/>
        </w:rPr>
        <w:t>计算机系统故障、网络故障、通讯故障、电力故障、计算机病毒攻击及其它</w:t>
      </w:r>
      <w:proofErr w:type="gramStart"/>
      <w:r>
        <w:rPr>
          <w:rFonts w:ascii="宋体" w:eastAsia="宋体" w:hAnsi="宋体" w:cs="宋体" w:hint="eastAsia"/>
          <w:b/>
          <w:sz w:val="21"/>
          <w:szCs w:val="21"/>
        </w:rPr>
        <w:t>非资产</w:t>
      </w:r>
      <w:proofErr w:type="gramEnd"/>
      <w:r>
        <w:rPr>
          <w:rFonts w:ascii="宋体" w:eastAsia="宋体" w:hAnsi="宋体" w:cs="宋体" w:hint="eastAsia"/>
          <w:b/>
          <w:sz w:val="21"/>
          <w:szCs w:val="21"/>
        </w:rPr>
        <w:t>管理人、资产托管人故意或过失造成的意外事故；</w:t>
      </w:r>
    </w:p>
    <w:p w14:paraId="5EF3D20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lastRenderedPageBreak/>
        <w:t>3</w:t>
      </w:r>
      <w:r>
        <w:rPr>
          <w:rFonts w:ascii="宋体" w:eastAsia="宋体" w:hAnsi="宋体" w:cs="宋体" w:hint="eastAsia"/>
          <w:b/>
          <w:sz w:val="21"/>
          <w:szCs w:val="21"/>
        </w:rPr>
        <w:t>、资产管理人及</w:t>
      </w:r>
      <w:r>
        <w:rPr>
          <w:rFonts w:ascii="宋体" w:eastAsia="宋体" w:hAnsi="宋体" w:cs="宋体" w:hint="eastAsia"/>
          <w:b/>
          <w:sz w:val="21"/>
          <w:szCs w:val="21"/>
        </w:rPr>
        <w:t>/</w:t>
      </w:r>
      <w:r>
        <w:rPr>
          <w:rFonts w:ascii="宋体" w:eastAsia="宋体" w:hAnsi="宋体" w:cs="宋体" w:hint="eastAsia"/>
          <w:b/>
          <w:sz w:val="21"/>
          <w:szCs w:val="21"/>
        </w:rPr>
        <w:t>或资产托管人按照有效的法律法规或中国证监会的规定作为或不作为而造成的损失</w:t>
      </w:r>
      <w:r>
        <w:rPr>
          <w:rFonts w:ascii="宋体" w:eastAsia="宋体" w:hAnsi="宋体" w:cs="宋体" w:hint="eastAsia"/>
          <w:b/>
          <w:sz w:val="21"/>
          <w:szCs w:val="21"/>
        </w:rPr>
        <w:t>，管理人或托管人存在过错的情形除外；</w:t>
      </w:r>
    </w:p>
    <w:p w14:paraId="4ACDFAC3"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4</w:t>
      </w:r>
      <w:r>
        <w:rPr>
          <w:rFonts w:ascii="宋体" w:eastAsia="宋体" w:hAnsi="宋体" w:cs="宋体" w:hint="eastAsia"/>
          <w:b/>
          <w:sz w:val="21"/>
          <w:szCs w:val="21"/>
        </w:rPr>
        <w:t>、在没有故意或过失的情况下，资产管理人按照本合同规定的投资原则行使或不行使其投资权而造成的损失；</w:t>
      </w:r>
    </w:p>
    <w:p w14:paraId="5B19F3F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b/>
          <w:sz w:val="21"/>
          <w:szCs w:val="21"/>
        </w:rPr>
      </w:pPr>
      <w:r>
        <w:rPr>
          <w:rFonts w:ascii="宋体" w:eastAsia="宋体" w:hAnsi="宋体" w:cs="宋体" w:hint="eastAsia"/>
          <w:b/>
          <w:sz w:val="21"/>
          <w:szCs w:val="21"/>
        </w:rPr>
        <w:t>5</w:t>
      </w:r>
      <w:r>
        <w:rPr>
          <w:rFonts w:ascii="宋体" w:eastAsia="宋体" w:hAnsi="宋体" w:cs="宋体" w:hint="eastAsia"/>
          <w:b/>
          <w:sz w:val="21"/>
          <w:szCs w:val="21"/>
        </w:rPr>
        <w:t>、资产委托人未能事前向资产管理人履行信息披露义务（如告知关联证券或其他禁止交易证券等），致使发生违规投资行为的，资产委托人需就资产管理人与资产托管人由此遭受的损失承担赔偿责任；</w:t>
      </w:r>
    </w:p>
    <w:p w14:paraId="0DB11E81"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6</w:t>
      </w:r>
      <w:r>
        <w:rPr>
          <w:rFonts w:ascii="宋体" w:eastAsia="宋体" w:hAnsi="宋体" w:cs="宋体" w:hint="eastAsia"/>
          <w:b/>
          <w:sz w:val="21"/>
          <w:szCs w:val="21"/>
        </w:rPr>
        <w:t>、因证券市场波动、上市公司合并、计划财产规模变动等资产管理人之外的因素致使计划财产投资不符合本合同项下约定的投资策略的，将</w:t>
      </w:r>
      <w:proofErr w:type="gramStart"/>
      <w:r>
        <w:rPr>
          <w:rFonts w:ascii="宋体" w:eastAsia="宋体" w:hAnsi="宋体" w:cs="宋体" w:hint="eastAsia"/>
          <w:b/>
          <w:sz w:val="21"/>
          <w:szCs w:val="21"/>
        </w:rPr>
        <w:t>不</w:t>
      </w:r>
      <w:proofErr w:type="gramEnd"/>
      <w:r>
        <w:rPr>
          <w:rFonts w:ascii="宋体" w:eastAsia="宋体" w:hAnsi="宋体" w:cs="宋体" w:hint="eastAsia"/>
          <w:b/>
          <w:sz w:val="21"/>
          <w:szCs w:val="21"/>
        </w:rPr>
        <w:t>视为资产管理人的违约行为；</w:t>
      </w:r>
    </w:p>
    <w:p w14:paraId="5EEBF12F"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7</w:t>
      </w:r>
      <w:r>
        <w:rPr>
          <w:rFonts w:ascii="宋体" w:eastAsia="宋体" w:hAnsi="宋体" w:cs="宋体" w:hint="eastAsia"/>
          <w:b/>
          <w:sz w:val="21"/>
          <w:szCs w:val="21"/>
        </w:rPr>
        <w:t>、资产管理人及资产托管人对因所引用的投</w:t>
      </w:r>
      <w:r>
        <w:rPr>
          <w:rFonts w:ascii="宋体" w:eastAsia="宋体" w:hAnsi="宋体" w:cs="宋体" w:hint="eastAsia"/>
          <w:b/>
          <w:sz w:val="21"/>
          <w:szCs w:val="21"/>
        </w:rPr>
        <w:t>资对象、证券经纪商及其他中介机构提供的信息的真实性、准确性和完整性存在瑕疵，管理人和托管人虽然已经采取必要、适当、合理、专业的措施进行检查，但是未能发现该错误的；</w:t>
      </w:r>
    </w:p>
    <w:p w14:paraId="1C908C5E" w14:textId="77777777" w:rsidR="00694F14" w:rsidRDefault="00A463B7">
      <w:pPr>
        <w:spacing w:line="360" w:lineRule="auto"/>
        <w:ind w:firstLine="480"/>
        <w:rPr>
          <w:rFonts w:ascii="宋体" w:eastAsia="宋体" w:hAnsi="宋体" w:cs="宋体"/>
          <w:b/>
          <w:sz w:val="21"/>
          <w:szCs w:val="21"/>
        </w:rPr>
      </w:pPr>
      <w:r>
        <w:rPr>
          <w:rFonts w:ascii="宋体" w:eastAsia="宋体" w:hAnsi="宋体" w:cs="宋体" w:hint="eastAsia"/>
          <w:b/>
          <w:sz w:val="21"/>
          <w:szCs w:val="21"/>
        </w:rPr>
        <w:t>8</w:t>
      </w:r>
      <w:r>
        <w:rPr>
          <w:rFonts w:ascii="宋体" w:eastAsia="宋体" w:hAnsi="宋体" w:cs="宋体" w:hint="eastAsia"/>
          <w:b/>
          <w:sz w:val="21"/>
          <w:szCs w:val="21"/>
        </w:rPr>
        <w:t>、资产委托人理解委托财产的投资、运作、托管面临本合同第二十四章中列举的各类风险，资产管理人就委托财产面临的上述固有风险免于承担责任，资产管理人存在过失或故意导致的除外。</w:t>
      </w:r>
    </w:p>
    <w:p w14:paraId="7065A206" w14:textId="77777777" w:rsidR="00694F14" w:rsidRDefault="00A463B7">
      <w:pPr>
        <w:spacing w:line="360" w:lineRule="auto"/>
        <w:ind w:firstLine="482"/>
        <w:rPr>
          <w:rFonts w:ascii="宋体" w:eastAsia="宋体" w:hAnsi="宋体" w:cs="宋体"/>
          <w:b/>
          <w:sz w:val="21"/>
          <w:szCs w:val="21"/>
        </w:rPr>
      </w:pPr>
      <w:r>
        <w:rPr>
          <w:rFonts w:ascii="宋体" w:eastAsia="宋体" w:hAnsi="宋体" w:cs="宋体" w:hint="eastAsia"/>
          <w:b/>
          <w:sz w:val="21"/>
          <w:szCs w:val="21"/>
        </w:rPr>
        <w:t>9</w:t>
      </w:r>
      <w:r>
        <w:rPr>
          <w:rFonts w:ascii="宋体" w:eastAsia="宋体" w:hAnsi="宋体" w:cs="宋体" w:hint="eastAsia"/>
          <w:b/>
          <w:sz w:val="21"/>
          <w:szCs w:val="21"/>
        </w:rPr>
        <w:t>、在没有故意或过失的情况下，资产托管人由于按照资产管理人符合本合同约定的有效指令执行而造成的损失等。</w:t>
      </w:r>
    </w:p>
    <w:p w14:paraId="0605C302"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（二）资产管理人、资产托管人在履行各自职责的过程中，违反法律法规的规定或</w:t>
      </w:r>
      <w:r>
        <w:rPr>
          <w:rFonts w:ascii="宋体" w:eastAsia="宋体" w:hAnsi="宋体" w:cs="宋体" w:hint="eastAsia"/>
          <w:sz w:val="21"/>
          <w:szCs w:val="21"/>
        </w:rPr>
        <w:t>者本合同约定，给委托财产或者资产委托人造成损害的，应当分别对各自的行为依法承担赔偿责任；因共同行为委托财产或者资产委托人造成损害的，应当分别承担相应赔偿责任。</w:t>
      </w:r>
    </w:p>
    <w:p w14:paraId="2616DCE6"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三）在发生一方或多方违约的情况下，在最大限度地保护资产委托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56252DBC"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（四）一方依据本合同向另一方赔偿的损失，仅限于直接经济损</w:t>
      </w:r>
      <w:r>
        <w:rPr>
          <w:rFonts w:ascii="宋体" w:eastAsia="宋体" w:hAnsi="宋体" w:cs="宋体" w:hint="eastAsia"/>
          <w:sz w:val="21"/>
          <w:szCs w:val="21"/>
        </w:rPr>
        <w:t>失。</w:t>
      </w:r>
    </w:p>
    <w:p w14:paraId="6B585864"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（五）管理人因违反本合同约定管理本集合计划资产或者因违背管理职责、处理资产管理计划事务不当致使本集合计划资产受到损失的，由管理人以固有财产赔偿损失。</w:t>
      </w:r>
    </w:p>
    <w:p w14:paraId="3743DF07"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t>（六）管理人应对提供给投资者的信息（包括但不限于投资标的信息、资产管理计划资产净值和份额净值、业绩报酬数据、资产管理计划年度报告、季度报告、净值报告、临时报告等报告中的相关信息）的</w:t>
      </w:r>
      <w:r>
        <w:rPr>
          <w:rFonts w:ascii="宋体" w:eastAsia="宋体" w:hAnsi="宋体" w:cs="宋体" w:hint="eastAsia"/>
          <w:sz w:val="21"/>
          <w:szCs w:val="21"/>
        </w:rPr>
        <w:lastRenderedPageBreak/>
        <w:t>真实性、准确性、完整性负责。若上述管理人提供给投资者的信息的真实性、准确性或完整性存在瑕疵，委托人有权追究资产管理人的违约责任，并行使本合同项下一项或多项救济措施，包括但不限于</w:t>
      </w:r>
      <w:r>
        <w:rPr>
          <w:rFonts w:ascii="宋体" w:eastAsia="宋体" w:hAnsi="宋体" w:cs="宋体" w:hint="eastAsia"/>
          <w:sz w:val="21"/>
          <w:szCs w:val="21"/>
        </w:rPr>
        <w:t>，资产管理人应当对因信息质量瑕疵给资产管理计划财产或者委托人造成的损失依法承担赔偿责任，并由委托人向资产管理人主张法律法规或有权机关支持的其他权利。但因第三方提供信息质量存在瑕疵等非管理</w:t>
      </w:r>
      <w:proofErr w:type="gramStart"/>
      <w:r>
        <w:rPr>
          <w:rFonts w:ascii="宋体" w:eastAsia="宋体" w:hAnsi="宋体" w:cs="宋体" w:hint="eastAsia"/>
          <w:sz w:val="21"/>
          <w:szCs w:val="21"/>
        </w:rPr>
        <w:t>人原因</w:t>
      </w:r>
      <w:proofErr w:type="gramEnd"/>
      <w:r>
        <w:rPr>
          <w:rFonts w:ascii="宋体" w:eastAsia="宋体" w:hAnsi="宋体" w:cs="宋体" w:hint="eastAsia"/>
          <w:sz w:val="21"/>
          <w:szCs w:val="21"/>
        </w:rPr>
        <w:t>导致管理人提供的信息不符合上述要求的，管理人免责。</w:t>
      </w:r>
    </w:p>
    <w:p w14:paraId="41CFDC32" w14:textId="77777777" w:rsidR="00694F14" w:rsidRDefault="00694F14">
      <w:pPr>
        <w:pStyle w:val="a4"/>
        <w:spacing w:line="360" w:lineRule="auto"/>
        <w:rPr>
          <w:rFonts w:ascii="宋体" w:eastAsia="宋体" w:hAnsi="宋体" w:cs="宋体"/>
          <w:sz w:val="21"/>
          <w:szCs w:val="21"/>
        </w:rPr>
      </w:pPr>
    </w:p>
    <w:p w14:paraId="5E3F3D09" w14:textId="77777777" w:rsidR="00694F14" w:rsidRDefault="00A463B7">
      <w:pPr>
        <w:pStyle w:val="1"/>
        <w:spacing w:before="0" w:after="0" w:line="360" w:lineRule="auto"/>
        <w:jc w:val="center"/>
        <w:rPr>
          <w:rFonts w:ascii="宋体" w:eastAsia="宋体" w:hAnsi="宋体" w:cs="宋体"/>
          <w:sz w:val="21"/>
          <w:szCs w:val="21"/>
        </w:rPr>
      </w:pPr>
      <w:bookmarkStart w:id="77" w:name="_Toc70622206"/>
      <w:r>
        <w:rPr>
          <w:rFonts w:ascii="宋体" w:eastAsia="宋体" w:hAnsi="宋体" w:cs="宋体" w:hint="eastAsia"/>
          <w:sz w:val="21"/>
          <w:szCs w:val="21"/>
        </w:rPr>
        <w:t>二十七、通知与送达</w:t>
      </w:r>
      <w:bookmarkEnd w:id="77"/>
    </w:p>
    <w:p w14:paraId="3B15581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除本合同另有约定外，任何与本合同有关的通知、报告均应以书面形式</w:t>
      </w:r>
      <w:proofErr w:type="gramStart"/>
      <w:r>
        <w:rPr>
          <w:rFonts w:ascii="宋体" w:eastAsia="宋体" w:hAnsi="宋体" w:cs="宋体" w:hint="eastAsia"/>
          <w:sz w:val="21"/>
          <w:szCs w:val="21"/>
        </w:rPr>
        <w:t>作出</w:t>
      </w:r>
      <w:proofErr w:type="gramEnd"/>
      <w:r>
        <w:rPr>
          <w:rFonts w:ascii="宋体" w:eastAsia="宋体" w:hAnsi="宋体" w:cs="宋体" w:hint="eastAsia"/>
          <w:sz w:val="21"/>
          <w:szCs w:val="21"/>
        </w:rPr>
        <w:t>，由本合同一方以传真、邮递、电子邮件、网站公告等方式发出，有效送达至其他各相关方。</w:t>
      </w:r>
    </w:p>
    <w:p w14:paraId="3CE036D4"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除资产管理合同另有约定外，通讯地址或联络方式发生变化的一方（简称“变动方”），应提前</w:t>
      </w:r>
      <w:r>
        <w:rPr>
          <w:rFonts w:ascii="宋体" w:eastAsia="宋体" w:hAnsi="宋体" w:cs="宋体" w:hint="eastAsia"/>
          <w:sz w:val="21"/>
          <w:szCs w:val="21"/>
        </w:rPr>
        <w:t>5</w:t>
      </w:r>
      <w:r>
        <w:rPr>
          <w:rFonts w:ascii="宋体" w:eastAsia="宋体" w:hAnsi="宋体" w:cs="宋体" w:hint="eastAsia"/>
          <w:sz w:val="21"/>
          <w:szCs w:val="21"/>
        </w:rPr>
        <w:t>个工作日以书面形式通知其他各方。如果变动方，未将有关变化及时通知其他各方，变动方应对由此而造成的影响和损失承担责任。</w:t>
      </w:r>
    </w:p>
    <w:p w14:paraId="00A434C4" w14:textId="77777777" w:rsidR="00694F14" w:rsidRDefault="00694F14">
      <w:pPr>
        <w:pStyle w:val="a4"/>
        <w:spacing w:line="360" w:lineRule="auto"/>
        <w:rPr>
          <w:rFonts w:ascii="宋体" w:eastAsia="宋体" w:hAnsi="宋体" w:cs="宋体"/>
          <w:sz w:val="21"/>
          <w:szCs w:val="21"/>
        </w:rPr>
      </w:pPr>
    </w:p>
    <w:p w14:paraId="3688FD33" w14:textId="77777777" w:rsidR="00694F14" w:rsidRDefault="00A463B7">
      <w:pPr>
        <w:pStyle w:val="1"/>
        <w:spacing w:before="0" w:after="0" w:line="360" w:lineRule="auto"/>
        <w:jc w:val="center"/>
        <w:rPr>
          <w:rFonts w:ascii="宋体" w:eastAsia="宋体" w:hAnsi="宋体" w:cs="宋体"/>
          <w:sz w:val="21"/>
          <w:szCs w:val="21"/>
        </w:rPr>
      </w:pPr>
      <w:bookmarkStart w:id="78" w:name="_Toc70622207"/>
      <w:r>
        <w:rPr>
          <w:rFonts w:ascii="宋体" w:eastAsia="宋体" w:hAnsi="宋体" w:cs="宋体" w:hint="eastAsia"/>
          <w:sz w:val="21"/>
          <w:szCs w:val="21"/>
        </w:rPr>
        <w:t>二十八、保密要求</w:t>
      </w:r>
      <w:bookmarkEnd w:id="78"/>
    </w:p>
    <w:p w14:paraId="406657A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本合同各方当事人应对签署和履行本合同过程中所接触和获取的其他方当事人的未公开信息严格保密。除本合同另有规定外，“保密信息”指信息提供方提供</w:t>
      </w:r>
      <w:r>
        <w:rPr>
          <w:rFonts w:ascii="宋体" w:eastAsia="宋体" w:hAnsi="宋体" w:cs="宋体" w:hint="eastAsia"/>
          <w:sz w:val="21"/>
          <w:szCs w:val="21"/>
        </w:rPr>
        <w:t>给信息接受方的有关信息提供方的一切非公开信息，无论该等信息是以任何载体提供给信息接受方，但该等信息在信息接受</w:t>
      </w:r>
      <w:proofErr w:type="gramStart"/>
      <w:r>
        <w:rPr>
          <w:rFonts w:ascii="宋体" w:eastAsia="宋体" w:hAnsi="宋体" w:cs="宋体" w:hint="eastAsia"/>
          <w:sz w:val="21"/>
          <w:szCs w:val="21"/>
        </w:rPr>
        <w:t>方收到</w:t>
      </w:r>
      <w:proofErr w:type="gramEnd"/>
      <w:r>
        <w:rPr>
          <w:rFonts w:ascii="宋体" w:eastAsia="宋体" w:hAnsi="宋体" w:cs="宋体" w:hint="eastAsia"/>
          <w:sz w:val="21"/>
          <w:szCs w:val="21"/>
        </w:rPr>
        <w:t>时已通过合法程序为公众共知的除外。</w:t>
      </w:r>
    </w:p>
    <w:p w14:paraId="313CB97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（一）信息接受方应对其获得的保密信息予以严格保密。</w:t>
      </w:r>
    </w:p>
    <w:p w14:paraId="01A30ADB"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（二）信息接受方仅可为本合同规定的目的使用保密信息，不能将保密信息用于任何其他目的。</w:t>
      </w:r>
    </w:p>
    <w:p w14:paraId="66E42F20"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（三）除非信息提供方事先书面同意，信息接受方不得披露、泄露、转让、许可或其他任何形式将保密信息提供给第三方。</w:t>
      </w:r>
    </w:p>
    <w:p w14:paraId="5AF0C7F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（四）保密信息部分公开时，信息接受方仍有义务对保密信息的未被公开部分履行保密义务。</w:t>
      </w:r>
    </w:p>
    <w:p w14:paraId="62348F9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（五）若根据任何司法管辖权的法</w:t>
      </w:r>
      <w:r>
        <w:rPr>
          <w:rFonts w:ascii="宋体" w:eastAsia="宋体" w:hAnsi="宋体" w:cs="宋体" w:hint="eastAsia"/>
          <w:sz w:val="21"/>
          <w:szCs w:val="21"/>
        </w:rPr>
        <w:t>院或任何有权的司法机构、政府机构、监管机构的要求或规定，或根据任何法律法规要求，信息接受方需要披露保密信息，信息接受方应在获知该等要求后立即通知信息提供方（除非该通知为法律法规或有权机关所禁止），并应配合信息提供方及其关联公司采取适当和合理的措施以依法避免或限制对保密信息的披露。在此情形下，信息接受方应仅将依照法律要求披露的最低部分的信息予以提供，并要求信息接受方对收到的信息予以保密。</w:t>
      </w:r>
    </w:p>
    <w:p w14:paraId="1575A8E4" w14:textId="77777777" w:rsidR="00694F14" w:rsidRDefault="00A463B7">
      <w:pPr>
        <w:tabs>
          <w:tab w:val="left" w:pos="0"/>
          <w:tab w:val="left" w:pos="720"/>
          <w:tab w:val="left" w:pos="1440"/>
          <w:tab w:val="left" w:pos="2160"/>
          <w:tab w:val="left" w:pos="2880"/>
          <w:tab w:val="left" w:pos="3600"/>
          <w:tab w:val="left" w:pos="4320"/>
        </w:tabs>
        <w:spacing w:line="360" w:lineRule="auto"/>
        <w:ind w:firstLine="480"/>
        <w:jc w:val="left"/>
        <w:rPr>
          <w:rFonts w:ascii="宋体" w:eastAsia="宋体" w:hAnsi="宋体" w:cs="宋体"/>
          <w:sz w:val="21"/>
          <w:szCs w:val="21"/>
        </w:rPr>
      </w:pPr>
      <w:r>
        <w:rPr>
          <w:rFonts w:ascii="宋体" w:eastAsia="宋体" w:hAnsi="宋体" w:cs="宋体" w:hint="eastAsia"/>
          <w:sz w:val="21"/>
          <w:szCs w:val="21"/>
        </w:rPr>
        <w:lastRenderedPageBreak/>
        <w:t>（六）本保密义务不因合同终止而终止。</w:t>
      </w:r>
    </w:p>
    <w:p w14:paraId="5DDCF12B" w14:textId="77777777" w:rsidR="00694F14" w:rsidRDefault="00694F14">
      <w:pPr>
        <w:pStyle w:val="a4"/>
        <w:spacing w:line="360" w:lineRule="auto"/>
        <w:rPr>
          <w:rFonts w:ascii="宋体" w:eastAsia="宋体" w:hAnsi="宋体" w:cs="宋体"/>
          <w:sz w:val="21"/>
          <w:szCs w:val="21"/>
        </w:rPr>
      </w:pPr>
    </w:p>
    <w:p w14:paraId="001CDD42" w14:textId="77777777" w:rsidR="00694F14" w:rsidRDefault="00A463B7">
      <w:pPr>
        <w:pStyle w:val="1"/>
        <w:spacing w:before="0" w:after="0" w:line="360" w:lineRule="auto"/>
        <w:jc w:val="center"/>
        <w:rPr>
          <w:rFonts w:ascii="宋体" w:eastAsia="宋体" w:hAnsi="宋体" w:cs="宋体"/>
          <w:sz w:val="21"/>
          <w:szCs w:val="21"/>
        </w:rPr>
      </w:pPr>
      <w:bookmarkStart w:id="79" w:name="_Toc401668952"/>
      <w:bookmarkStart w:id="80" w:name="_Toc70622208"/>
      <w:r>
        <w:rPr>
          <w:rFonts w:ascii="宋体" w:eastAsia="宋体" w:hAnsi="宋体" w:cs="宋体" w:hint="eastAsia"/>
          <w:sz w:val="21"/>
          <w:szCs w:val="21"/>
        </w:rPr>
        <w:t>二十九、法律适用和争议的处理</w:t>
      </w:r>
      <w:bookmarkEnd w:id="79"/>
      <w:bookmarkEnd w:id="80"/>
    </w:p>
    <w:p w14:paraId="6E60F04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（一）对于因本合同的订立、内容、履行和解释或与本合同</w:t>
      </w:r>
      <w:r>
        <w:rPr>
          <w:rFonts w:ascii="宋体" w:eastAsia="宋体" w:hAnsi="宋体" w:cs="宋体" w:hint="eastAsia"/>
          <w:sz w:val="21"/>
          <w:szCs w:val="21"/>
        </w:rPr>
        <w:t>有关的争议，合同当事人应尽量通过协商或调解途径解决。不愿或者不能通过协商或调解解决的，合同签订任何一方均有权将争议提交上海国际经济贸易仲裁委员会，按提交仲裁申请时该会有效之仲裁规则进行仲裁，仲裁地点为上海。仲裁裁决是终局性的并对各方当事人具有约束力，仲裁费用由败诉方承担。争议处理期间，合同当事人应恪守各自的职责，继续忠实、勤勉、尽责地履行资产管理合同规定的义务，维护资产委托人的合法权益。</w:t>
      </w:r>
    </w:p>
    <w:p w14:paraId="17EE1887"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（二）本合同适用中华人民共和国法律并依据其解释。</w:t>
      </w:r>
    </w:p>
    <w:p w14:paraId="242FC158" w14:textId="77777777" w:rsidR="00694F14" w:rsidRDefault="00694F14">
      <w:pPr>
        <w:pStyle w:val="a4"/>
        <w:spacing w:line="360" w:lineRule="auto"/>
        <w:ind w:firstLine="0"/>
        <w:rPr>
          <w:rFonts w:ascii="宋体" w:eastAsia="宋体" w:hAnsi="宋体" w:cs="宋体"/>
          <w:sz w:val="21"/>
          <w:szCs w:val="21"/>
        </w:rPr>
      </w:pPr>
    </w:p>
    <w:p w14:paraId="57191FB0" w14:textId="77777777" w:rsidR="00694F14" w:rsidRDefault="00694F14">
      <w:pPr>
        <w:pStyle w:val="a4"/>
        <w:spacing w:line="360" w:lineRule="auto"/>
        <w:ind w:firstLine="0"/>
        <w:rPr>
          <w:rFonts w:ascii="宋体" w:eastAsia="宋体" w:hAnsi="宋体" w:cs="宋体"/>
          <w:sz w:val="21"/>
          <w:szCs w:val="21"/>
        </w:rPr>
      </w:pPr>
    </w:p>
    <w:p w14:paraId="79E19127" w14:textId="77777777" w:rsidR="00694F14" w:rsidRDefault="00A463B7">
      <w:pPr>
        <w:pStyle w:val="1"/>
        <w:spacing w:before="0" w:after="0" w:line="360" w:lineRule="auto"/>
        <w:jc w:val="center"/>
        <w:rPr>
          <w:rFonts w:ascii="宋体" w:eastAsia="宋体" w:hAnsi="宋体" w:cs="宋体"/>
          <w:sz w:val="21"/>
          <w:szCs w:val="21"/>
        </w:rPr>
      </w:pPr>
      <w:bookmarkStart w:id="81" w:name="_Toc277321602"/>
      <w:bookmarkStart w:id="82" w:name="_Toc401668949"/>
      <w:bookmarkStart w:id="83" w:name="_Toc70622209"/>
      <w:r>
        <w:rPr>
          <w:rFonts w:ascii="宋体" w:eastAsia="宋体" w:hAnsi="宋体" w:cs="宋体" w:hint="eastAsia"/>
          <w:sz w:val="21"/>
          <w:szCs w:val="21"/>
        </w:rPr>
        <w:t>三十、资产管理合同的</w:t>
      </w:r>
      <w:bookmarkEnd w:id="81"/>
      <w:bookmarkEnd w:id="82"/>
      <w:r>
        <w:rPr>
          <w:rFonts w:ascii="宋体" w:eastAsia="宋体" w:hAnsi="宋体" w:cs="宋体" w:hint="eastAsia"/>
          <w:sz w:val="21"/>
          <w:szCs w:val="21"/>
        </w:rPr>
        <w:t>效力</w:t>
      </w:r>
      <w:bookmarkEnd w:id="83"/>
    </w:p>
    <w:p w14:paraId="5D8A8CC9"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（一）资产管理合同是约定资产管理合同当事</w:t>
      </w:r>
      <w:r>
        <w:rPr>
          <w:rFonts w:ascii="宋体" w:eastAsia="宋体" w:hAnsi="宋体" w:cs="宋体" w:hint="eastAsia"/>
          <w:sz w:val="21"/>
          <w:szCs w:val="21"/>
        </w:rPr>
        <w:t>人之间权利义务关系的法律文件。资产委托人为法人的，本合同</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委托人、资产管理人、资产托管人加盖公章或合同专用章以及各方法定代表人</w:t>
      </w:r>
      <w:r>
        <w:rPr>
          <w:rFonts w:ascii="宋体" w:eastAsia="宋体" w:hAnsi="宋体" w:cs="宋体" w:hint="eastAsia"/>
          <w:sz w:val="21"/>
          <w:szCs w:val="21"/>
        </w:rPr>
        <w:t>/</w:t>
      </w:r>
      <w:r>
        <w:rPr>
          <w:rFonts w:ascii="宋体" w:eastAsia="宋体" w:hAnsi="宋体" w:cs="宋体" w:hint="eastAsia"/>
          <w:sz w:val="21"/>
          <w:szCs w:val="21"/>
        </w:rPr>
        <w:t>负责人或授权代表签字或盖章之日起成立；资产委托人为自然人的，本合同</w:t>
      </w:r>
      <w:proofErr w:type="gramStart"/>
      <w:r>
        <w:rPr>
          <w:rFonts w:ascii="宋体" w:eastAsia="宋体" w:hAnsi="宋体" w:cs="宋体" w:hint="eastAsia"/>
          <w:sz w:val="21"/>
          <w:szCs w:val="21"/>
        </w:rPr>
        <w:t>自资产</w:t>
      </w:r>
      <w:proofErr w:type="gramEnd"/>
      <w:r>
        <w:rPr>
          <w:rFonts w:ascii="宋体" w:eastAsia="宋体" w:hAnsi="宋体" w:cs="宋体" w:hint="eastAsia"/>
          <w:sz w:val="21"/>
          <w:szCs w:val="21"/>
        </w:rPr>
        <w:t>委托人本人签字、资产管理人和资产托管人加盖公章或合同专用章并由双方法定代表人或授权代表签字或盖章之日起成立。</w:t>
      </w:r>
    </w:p>
    <w:p w14:paraId="2747F288" w14:textId="77777777" w:rsidR="00694F14" w:rsidRDefault="00A463B7">
      <w:pPr>
        <w:spacing w:line="360" w:lineRule="auto"/>
        <w:ind w:firstLine="480"/>
        <w:rPr>
          <w:rFonts w:ascii="宋体" w:eastAsia="宋体" w:hAnsi="宋体" w:cs="宋体"/>
          <w:b/>
          <w:bCs/>
          <w:sz w:val="21"/>
          <w:szCs w:val="21"/>
        </w:rPr>
      </w:pPr>
      <w:r>
        <w:rPr>
          <w:rFonts w:ascii="宋体" w:eastAsia="宋体" w:hAnsi="宋体" w:cs="宋体" w:hint="eastAsia"/>
          <w:b/>
          <w:bCs/>
          <w:sz w:val="21"/>
          <w:szCs w:val="21"/>
        </w:rPr>
        <w:t>委托人通过销售机构以电子形式签署本合同的，与委托人签署纸质</w:t>
      </w:r>
      <w:proofErr w:type="gramStart"/>
      <w:r>
        <w:rPr>
          <w:rFonts w:ascii="宋体" w:eastAsia="宋体" w:hAnsi="宋体" w:cs="宋体" w:hint="eastAsia"/>
          <w:b/>
          <w:bCs/>
          <w:sz w:val="21"/>
          <w:szCs w:val="21"/>
        </w:rPr>
        <w:t>版资产</w:t>
      </w:r>
      <w:proofErr w:type="gramEnd"/>
      <w:r>
        <w:rPr>
          <w:rFonts w:ascii="宋体" w:eastAsia="宋体" w:hAnsi="宋体" w:cs="宋体" w:hint="eastAsia"/>
          <w:b/>
          <w:bCs/>
          <w:sz w:val="21"/>
          <w:szCs w:val="21"/>
        </w:rPr>
        <w:t>管理合同具备同等法律效力，投资者均受本合同约束。</w:t>
      </w:r>
      <w:r>
        <w:rPr>
          <w:rFonts w:ascii="宋体" w:eastAsia="宋体" w:hAnsi="宋体" w:cs="宋体" w:hint="eastAsia"/>
          <w:b/>
          <w:bCs/>
          <w:color w:val="000000"/>
          <w:sz w:val="21"/>
          <w:szCs w:val="21"/>
        </w:rPr>
        <w:t>投资者应当在签署电子签名合同前认真阅读本合同、计划说明书及风险揭示书；投资者应当妥善保管与身份认证有关的设备、资料以及登录密码、交易密码等相关信息。通过销售机构认可的有效身份验证措施登录相关网络系统后的所有操作均视同投资者本人行为，投资者应当承担由此产生的一切民事责任和法律后果</w:t>
      </w:r>
      <w:r>
        <w:rPr>
          <w:rFonts w:ascii="宋体" w:eastAsia="宋体" w:hAnsi="宋体" w:cs="宋体" w:hint="eastAsia"/>
          <w:color w:val="000000"/>
          <w:sz w:val="21"/>
          <w:szCs w:val="21"/>
        </w:rPr>
        <w:t>。</w:t>
      </w:r>
    </w:p>
    <w:p w14:paraId="0E301A6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管理计划的募集金额缴足之日起十个工作日内，资产管理人应当委托具有证券相关业务资格的会计师事务所进行验资并出具验资报告。</w:t>
      </w:r>
      <w:proofErr w:type="gramStart"/>
      <w:r>
        <w:rPr>
          <w:rFonts w:ascii="宋体" w:eastAsia="宋体" w:hAnsi="宋体" w:cs="宋体" w:hint="eastAsia"/>
          <w:sz w:val="21"/>
          <w:szCs w:val="21"/>
        </w:rPr>
        <w:t>本资产</w:t>
      </w:r>
      <w:proofErr w:type="gramEnd"/>
      <w:r>
        <w:rPr>
          <w:rFonts w:ascii="宋体" w:eastAsia="宋体" w:hAnsi="宋体" w:cs="宋体" w:hint="eastAsia"/>
          <w:sz w:val="21"/>
          <w:szCs w:val="21"/>
        </w:rPr>
        <w:t>管理计划在取得验资报告后，由资产管理人公告资产管理计划成立。资产管理人应当在资产管理计划成立之日起五个工作日内，将资产管理合同、投资者名单与认购金额、验资报告或者资产缴付证明等材料</w:t>
      </w:r>
      <w:proofErr w:type="gramStart"/>
      <w:r>
        <w:rPr>
          <w:rFonts w:ascii="宋体" w:eastAsia="宋体" w:hAnsi="宋体" w:cs="宋体" w:hint="eastAsia"/>
          <w:sz w:val="21"/>
          <w:szCs w:val="21"/>
        </w:rPr>
        <w:t>报基金</w:t>
      </w:r>
      <w:proofErr w:type="gramEnd"/>
      <w:r>
        <w:rPr>
          <w:rFonts w:ascii="宋体" w:eastAsia="宋体" w:hAnsi="宋体" w:cs="宋体" w:hint="eastAsia"/>
          <w:sz w:val="21"/>
          <w:szCs w:val="21"/>
        </w:rPr>
        <w:t>业协会备案，并抄报中国证监会相关派出机构。</w:t>
      </w:r>
    </w:p>
    <w:p w14:paraId="6670E64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（三）本合同自成立之日起生效。</w:t>
      </w:r>
    </w:p>
    <w:p w14:paraId="1440543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（四）本合同自生效之日起对资产委托人、资产管理人、资产托管人具有同等的法律约束力。</w:t>
      </w:r>
    </w:p>
    <w:p w14:paraId="02EAC06F"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（五）本计划的存续期为</w:t>
      </w:r>
      <w:r>
        <w:rPr>
          <w:rFonts w:ascii="宋体" w:eastAsia="宋体" w:hAnsi="宋体" w:cs="宋体" w:hint="eastAsia"/>
          <w:sz w:val="21"/>
          <w:szCs w:val="21"/>
        </w:rPr>
        <w:t>60</w:t>
      </w:r>
      <w:r>
        <w:rPr>
          <w:rFonts w:ascii="宋体" w:eastAsia="宋体" w:hAnsi="宋体" w:cs="宋体" w:hint="eastAsia"/>
          <w:sz w:val="21"/>
          <w:szCs w:val="21"/>
        </w:rPr>
        <w:t>个月</w:t>
      </w:r>
      <w:r>
        <w:rPr>
          <w:rFonts w:ascii="宋体" w:eastAsia="宋体" w:hAnsi="宋体" w:cs="宋体" w:hint="eastAsia"/>
          <w:sz w:val="21"/>
          <w:szCs w:val="21"/>
        </w:rPr>
        <w:t>。本合同另有约定的，从其约定。</w:t>
      </w:r>
      <w:r>
        <w:rPr>
          <w:rFonts w:ascii="宋体" w:eastAsia="宋体" w:hAnsi="宋体" w:cs="宋体" w:hint="eastAsia"/>
          <w:sz w:val="21"/>
          <w:szCs w:val="21"/>
        </w:rPr>
        <w:t xml:space="preserve"> </w:t>
      </w:r>
    </w:p>
    <w:p w14:paraId="02E513A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lastRenderedPageBreak/>
        <w:t>（六）资产委托人自签订资产管理合同即成为资产管理合同的当事人。在本计划存续期间，资产委托人</w:t>
      </w:r>
      <w:proofErr w:type="gramStart"/>
      <w:r>
        <w:rPr>
          <w:rFonts w:ascii="宋体" w:eastAsia="宋体" w:hAnsi="宋体" w:cs="宋体" w:hint="eastAsia"/>
          <w:sz w:val="21"/>
          <w:szCs w:val="21"/>
        </w:rPr>
        <w:t>自全部</w:t>
      </w:r>
      <w:proofErr w:type="gramEnd"/>
      <w:r>
        <w:rPr>
          <w:rFonts w:ascii="宋体" w:eastAsia="宋体" w:hAnsi="宋体" w:cs="宋体" w:hint="eastAsia"/>
          <w:sz w:val="21"/>
          <w:szCs w:val="21"/>
        </w:rPr>
        <w:t>退出资产管理计划之日起，该资产委托人不再是资产管理计划的投资人和资产管理合同的当事人。</w:t>
      </w:r>
    </w:p>
    <w:p w14:paraId="292ECEE6" w14:textId="77777777" w:rsidR="00694F14" w:rsidRDefault="00694F14">
      <w:pPr>
        <w:spacing w:line="360" w:lineRule="auto"/>
        <w:ind w:firstLine="480"/>
        <w:rPr>
          <w:rFonts w:ascii="宋体" w:eastAsia="宋体" w:hAnsi="宋体" w:cs="宋体"/>
          <w:sz w:val="21"/>
          <w:szCs w:val="21"/>
        </w:rPr>
      </w:pPr>
    </w:p>
    <w:p w14:paraId="03C41C01" w14:textId="77777777" w:rsidR="00694F14" w:rsidRDefault="00A463B7">
      <w:pPr>
        <w:pStyle w:val="1"/>
        <w:spacing w:before="0" w:after="0" w:line="360" w:lineRule="auto"/>
        <w:jc w:val="center"/>
        <w:rPr>
          <w:rFonts w:ascii="宋体" w:eastAsia="宋体" w:hAnsi="宋体" w:cs="宋体"/>
          <w:sz w:val="21"/>
          <w:szCs w:val="21"/>
        </w:rPr>
      </w:pPr>
      <w:bookmarkStart w:id="84" w:name="_Toc194741922"/>
      <w:bookmarkStart w:id="85" w:name="_Toc401668953"/>
      <w:bookmarkStart w:id="86" w:name="_Toc70622210"/>
      <w:r>
        <w:rPr>
          <w:rFonts w:ascii="宋体" w:eastAsia="宋体" w:hAnsi="宋体" w:cs="宋体" w:hint="eastAsia"/>
          <w:sz w:val="21"/>
          <w:szCs w:val="21"/>
        </w:rPr>
        <w:t>三十一、</w:t>
      </w:r>
      <w:bookmarkEnd w:id="84"/>
      <w:bookmarkEnd w:id="85"/>
      <w:r>
        <w:rPr>
          <w:rFonts w:ascii="宋体" w:eastAsia="宋体" w:hAnsi="宋体" w:cs="宋体" w:hint="eastAsia"/>
          <w:sz w:val="21"/>
          <w:szCs w:val="21"/>
        </w:rPr>
        <w:t>其他事项</w:t>
      </w:r>
      <w:bookmarkEnd w:id="86"/>
    </w:p>
    <w:p w14:paraId="15730505"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一）如将来法律法规、中国证监会、基金业协会或其他有权机构对资产管理合同的内容与格式有其他要求的，资产委托人、资产管理人和资产托管人应立即展开协商，根据法律法规、中国证监会、基金业协会或其他有权机构的相关要求修改本合同的内容和格式。</w:t>
      </w:r>
    </w:p>
    <w:p w14:paraId="78943C3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（二）本合同如有未尽事宜，由合同当事人各</w:t>
      </w:r>
      <w:r>
        <w:rPr>
          <w:rFonts w:ascii="宋体" w:eastAsia="宋体" w:hAnsi="宋体" w:cs="宋体" w:hint="eastAsia"/>
          <w:sz w:val="21"/>
          <w:szCs w:val="21"/>
        </w:rPr>
        <w:t>方按有关法律法规和规定协商解决。</w:t>
      </w:r>
    </w:p>
    <w:p w14:paraId="69D650E2"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三）如司法或行政机关等有权机关对本协议项下托管专户采取任何查封、冻结、扣押、扣划等措施，资产托管人有权根据该有权机关的要求执行，而无需对资产委托人及资产管理人承担任何责任，资产托管人知悉后，在不违反有权机关要求下应通知资产管理人、资产委托人。</w:t>
      </w:r>
    </w:p>
    <w:p w14:paraId="5DE9DEB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（四）各方承诺，未经其他方书面同意，不得使用对方名称、商标、标识等知识产权及与对方本协议项下的合作关系进行任何对外宣传。</w:t>
      </w:r>
    </w:p>
    <w:p w14:paraId="701212E8" w14:textId="77777777" w:rsidR="00694F14" w:rsidRDefault="00A463B7">
      <w:pPr>
        <w:spacing w:line="360" w:lineRule="auto"/>
        <w:ind w:firstLine="480"/>
        <w:rPr>
          <w:rFonts w:ascii="宋体" w:eastAsia="宋体" w:hAnsi="宋体" w:cs="宋体"/>
          <w:sz w:val="21"/>
          <w:szCs w:val="21"/>
        </w:rPr>
      </w:pPr>
      <w:r>
        <w:rPr>
          <w:rFonts w:ascii="宋体" w:eastAsia="宋体" w:hAnsi="宋体" w:cs="宋体" w:hint="eastAsia"/>
          <w:sz w:val="21"/>
          <w:szCs w:val="21"/>
        </w:rPr>
        <w:t>（五）本合同一式叁份，资产委托人、资产管理人、资产托管人各执壹份，每份具有同等法律效力。</w:t>
      </w:r>
    </w:p>
    <w:p w14:paraId="006C34DD" w14:textId="77777777" w:rsidR="00694F14" w:rsidRDefault="00A463B7">
      <w:pPr>
        <w:spacing w:line="360" w:lineRule="auto"/>
        <w:jc w:val="center"/>
        <w:rPr>
          <w:rFonts w:ascii="宋体" w:eastAsia="宋体" w:hAnsi="宋体" w:cs="宋体"/>
          <w:sz w:val="21"/>
          <w:szCs w:val="21"/>
        </w:rPr>
      </w:pPr>
      <w:r>
        <w:rPr>
          <w:rFonts w:ascii="宋体" w:eastAsia="宋体" w:hAnsi="宋体" w:cs="宋体" w:hint="eastAsia"/>
          <w:sz w:val="21"/>
          <w:szCs w:val="21"/>
        </w:rPr>
        <w:t>（以下无正文）</w:t>
      </w:r>
    </w:p>
    <w:p w14:paraId="5234A906" w14:textId="77777777" w:rsidR="00694F14" w:rsidRDefault="00A463B7">
      <w:pPr>
        <w:adjustRightInd w:val="0"/>
        <w:snapToGrid w:val="0"/>
        <w:spacing w:line="300" w:lineRule="auto"/>
        <w:jc w:val="left"/>
        <w:rPr>
          <w:rFonts w:ascii="宋体" w:eastAsia="宋体" w:hAnsi="宋体" w:cs="宋体"/>
          <w:b/>
          <w:i/>
          <w:sz w:val="21"/>
          <w:szCs w:val="21"/>
        </w:rPr>
      </w:pPr>
      <w:r>
        <w:rPr>
          <w:rFonts w:ascii="华文宋体" w:hAnsi="华文宋体"/>
          <w:szCs w:val="21"/>
        </w:rPr>
        <w:br w:type="page"/>
      </w:r>
      <w:r>
        <w:rPr>
          <w:rFonts w:ascii="宋体" w:eastAsia="宋体" w:hAnsi="宋体" w:cs="宋体" w:hint="eastAsia"/>
          <w:b/>
          <w:i/>
        </w:rPr>
        <w:lastRenderedPageBreak/>
        <w:t>委</w:t>
      </w:r>
      <w:r>
        <w:rPr>
          <w:rFonts w:ascii="宋体" w:eastAsia="宋体" w:hAnsi="宋体" w:cs="宋体" w:hint="eastAsia"/>
          <w:b/>
          <w:i/>
        </w:rPr>
        <w:t>托人填写（务必确保填写的资料正确有效，如因填写错误导致的任何损失由委托人承担）：</w:t>
      </w:r>
    </w:p>
    <w:p w14:paraId="4945217F" w14:textId="77777777" w:rsidR="00694F14" w:rsidRDefault="00A463B7">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（一）资产委托人</w:t>
      </w:r>
    </w:p>
    <w:p w14:paraId="7C22F407"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、自然人</w:t>
      </w:r>
    </w:p>
    <w:p w14:paraId="63F8AA26"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姓名：</w:t>
      </w:r>
      <w:r>
        <w:rPr>
          <w:rFonts w:ascii="宋体" w:eastAsia="宋体" w:hAnsi="宋体" w:cs="宋体" w:hint="eastAsia"/>
          <w:sz w:val="21"/>
          <w:szCs w:val="21"/>
        </w:rPr>
        <w:t xml:space="preserve">                      </w:t>
      </w:r>
    </w:p>
    <w:p w14:paraId="55A46C83"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证件名称：身份证□、其他</w:t>
      </w:r>
      <w:r>
        <w:rPr>
          <w:rFonts w:ascii="宋体" w:eastAsia="宋体" w:hAnsi="宋体" w:cs="宋体" w:hint="eastAsia"/>
          <w:sz w:val="21"/>
          <w:szCs w:val="21"/>
        </w:rPr>
        <w:sym w:font="Wingdings 2" w:char="00A3"/>
      </w:r>
      <w:r>
        <w:rPr>
          <w:rFonts w:ascii="宋体" w:eastAsia="宋体" w:hAnsi="宋体" w:cs="宋体" w:hint="eastAsia"/>
          <w:sz w:val="21"/>
          <w:szCs w:val="21"/>
        </w:rPr>
        <w:t>___________________</w:t>
      </w:r>
    </w:p>
    <w:p w14:paraId="1FE3CF55"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证件号码：□□□□□□□□□□□□□□□□□□</w:t>
      </w:r>
    </w:p>
    <w:p w14:paraId="0195BF62"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住所：</w:t>
      </w:r>
    </w:p>
    <w:p w14:paraId="68DBBB5C"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通讯地址：</w:t>
      </w:r>
    </w:p>
    <w:p w14:paraId="50AFB16E"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电子邮箱：</w:t>
      </w:r>
    </w:p>
    <w:p w14:paraId="7F36BBAC"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联系电话：</w:t>
      </w:r>
    </w:p>
    <w:p w14:paraId="71CAB935"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传真：</w:t>
      </w:r>
    </w:p>
    <w:p w14:paraId="09300CAF"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、法人或其他组织</w:t>
      </w:r>
    </w:p>
    <w:p w14:paraId="136354BE"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名称：</w:t>
      </w:r>
    </w:p>
    <w:p w14:paraId="64B6B538"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统一社会信用代码：</w:t>
      </w:r>
    </w:p>
    <w:p w14:paraId="50530806"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法定代表人或授权代表：</w:t>
      </w:r>
    </w:p>
    <w:p w14:paraId="1C67B07D"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住所：</w:t>
      </w:r>
    </w:p>
    <w:p w14:paraId="50EA6AE0"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通讯地址：</w:t>
      </w:r>
    </w:p>
    <w:p w14:paraId="4C12E772"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联系人：</w:t>
      </w:r>
    </w:p>
    <w:p w14:paraId="0C45D29D"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邮政编码：</w:t>
      </w:r>
    </w:p>
    <w:p w14:paraId="6DAD8E79"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联系电话：</w:t>
      </w:r>
    </w:p>
    <w:p w14:paraId="363FB610"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传真：</w:t>
      </w:r>
    </w:p>
    <w:p w14:paraId="45385243"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电子邮箱：</w:t>
      </w:r>
    </w:p>
    <w:p w14:paraId="1CB8B500" w14:textId="77777777" w:rsidR="00694F14" w:rsidRDefault="00A463B7">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（二）资产委托人认购金额</w:t>
      </w:r>
    </w:p>
    <w:p w14:paraId="7504809C" w14:textId="77777777" w:rsidR="00694F14" w:rsidRDefault="00A463B7">
      <w:pPr>
        <w:adjustRightInd w:val="0"/>
        <w:snapToGrid w:val="0"/>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人民币</w:t>
      </w:r>
      <w:r>
        <w:rPr>
          <w:rFonts w:ascii="宋体" w:eastAsia="宋体" w:hAnsi="宋体" w:cs="宋体" w:hint="eastAsia"/>
          <w:sz w:val="21"/>
          <w:szCs w:val="21"/>
        </w:rPr>
        <w:t xml:space="preserve">                        </w:t>
      </w:r>
      <w:r>
        <w:rPr>
          <w:rFonts w:ascii="宋体" w:eastAsia="宋体" w:hAnsi="宋体" w:cs="宋体" w:hint="eastAsia"/>
          <w:sz w:val="21"/>
          <w:szCs w:val="21"/>
        </w:rPr>
        <w:t>元整（￥</w:t>
      </w:r>
      <w:r>
        <w:rPr>
          <w:rFonts w:ascii="宋体" w:eastAsia="宋体" w:hAnsi="宋体" w:cs="宋体" w:hint="eastAsia"/>
          <w:sz w:val="21"/>
          <w:szCs w:val="21"/>
        </w:rPr>
        <w:t xml:space="preserve">               </w:t>
      </w:r>
      <w:r>
        <w:rPr>
          <w:rFonts w:ascii="宋体" w:eastAsia="宋体" w:hAnsi="宋体" w:cs="宋体" w:hint="eastAsia"/>
          <w:sz w:val="21"/>
          <w:szCs w:val="21"/>
        </w:rPr>
        <w:t>）</w:t>
      </w:r>
    </w:p>
    <w:p w14:paraId="48C6E90B"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（三）资产委托人账户</w:t>
      </w:r>
    </w:p>
    <w:p w14:paraId="11E714F4"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资产委托人认购、参与计划的划出账户与退出计划的划入账户，必须为以资产委托人名义开立的同一个账户。特殊情况导致认购、参与和退出计划的账户名称不一致时，资产委托人应出具符合相关法律法规规定的书面说明并提供相关证明。账户信息如下：</w:t>
      </w:r>
    </w:p>
    <w:p w14:paraId="691B92D4" w14:textId="77777777" w:rsidR="00694F14" w:rsidRDefault="00A463B7">
      <w:pPr>
        <w:adjustRightInd w:val="0"/>
        <w:snapToGrid w:val="0"/>
        <w:spacing w:line="360" w:lineRule="auto"/>
        <w:ind w:firstLine="420"/>
        <w:rPr>
          <w:rFonts w:ascii="宋体" w:eastAsia="宋体" w:hAnsi="宋体" w:cs="宋体"/>
          <w:sz w:val="21"/>
          <w:szCs w:val="21"/>
        </w:rPr>
      </w:pPr>
      <w:r>
        <w:rPr>
          <w:rFonts w:ascii="宋体" w:eastAsia="宋体" w:hAnsi="宋体" w:cs="宋体" w:hint="eastAsia"/>
          <w:sz w:val="21"/>
          <w:szCs w:val="21"/>
        </w:rPr>
        <w:t>账户名称：</w:t>
      </w:r>
      <w:r>
        <w:rPr>
          <w:rFonts w:ascii="宋体" w:eastAsia="宋体" w:hAnsi="宋体" w:cs="宋体" w:hint="eastAsia"/>
          <w:sz w:val="21"/>
          <w:szCs w:val="21"/>
        </w:rPr>
        <w:t xml:space="preserve"> </w:t>
      </w:r>
    </w:p>
    <w:p w14:paraId="61DCC613" w14:textId="77777777" w:rsidR="00694F14" w:rsidRDefault="00A463B7">
      <w:pPr>
        <w:adjustRightInd w:val="0"/>
        <w:snapToGrid w:val="0"/>
        <w:spacing w:line="360" w:lineRule="auto"/>
        <w:ind w:firstLine="420"/>
        <w:jc w:val="left"/>
        <w:rPr>
          <w:rFonts w:ascii="宋体" w:eastAsia="宋体" w:hAnsi="宋体" w:cs="宋体"/>
          <w:sz w:val="21"/>
          <w:szCs w:val="21"/>
        </w:rPr>
      </w:pPr>
      <w:r>
        <w:rPr>
          <w:rFonts w:ascii="宋体" w:eastAsia="宋体" w:hAnsi="宋体" w:cs="宋体" w:hint="eastAsia"/>
          <w:sz w:val="21"/>
          <w:szCs w:val="21"/>
        </w:rPr>
        <w:t>账号：</w:t>
      </w:r>
    </w:p>
    <w:p w14:paraId="6DA7B8CA" w14:textId="77777777" w:rsidR="00694F14" w:rsidRDefault="00A463B7">
      <w:pPr>
        <w:adjustRightInd w:val="0"/>
        <w:snapToGrid w:val="0"/>
        <w:spacing w:line="360" w:lineRule="auto"/>
        <w:ind w:firstLine="420"/>
        <w:jc w:val="left"/>
        <w:rPr>
          <w:rFonts w:ascii="宋体" w:eastAsia="宋体" w:hAnsi="宋体" w:cs="宋体"/>
          <w:sz w:val="21"/>
          <w:szCs w:val="21"/>
        </w:rPr>
      </w:pPr>
      <w:r>
        <w:rPr>
          <w:rFonts w:ascii="宋体" w:eastAsia="宋体" w:hAnsi="宋体" w:cs="宋体" w:hint="eastAsia"/>
          <w:sz w:val="21"/>
          <w:szCs w:val="21"/>
        </w:rPr>
        <w:t>开户银行名称：</w:t>
      </w:r>
    </w:p>
    <w:p w14:paraId="5669212E" w14:textId="77777777" w:rsidR="00694F14" w:rsidRDefault="00694F14">
      <w:pPr>
        <w:pStyle w:val="a4"/>
        <w:rPr>
          <w:rFonts w:ascii="宋体" w:eastAsia="宋体" w:hAnsi="宋体" w:cs="宋体"/>
          <w:szCs w:val="21"/>
        </w:rPr>
      </w:pPr>
    </w:p>
    <w:p w14:paraId="1A2ACF09" w14:textId="77777777" w:rsidR="00694F14" w:rsidRDefault="00694F14">
      <w:pPr>
        <w:pStyle w:val="a4"/>
        <w:rPr>
          <w:rFonts w:ascii="宋体" w:eastAsia="宋体" w:hAnsi="宋体" w:cs="宋体"/>
          <w:szCs w:val="21"/>
        </w:rPr>
      </w:pPr>
    </w:p>
    <w:p w14:paraId="77554044" w14:textId="77777777" w:rsidR="00694F14" w:rsidRDefault="00694F14">
      <w:pPr>
        <w:pStyle w:val="a4"/>
        <w:rPr>
          <w:rFonts w:ascii="宋体" w:eastAsia="宋体" w:hAnsi="宋体" w:cs="宋体"/>
          <w:szCs w:val="21"/>
        </w:rPr>
      </w:pPr>
    </w:p>
    <w:p w14:paraId="1C8F7328" w14:textId="77777777" w:rsidR="00694F14" w:rsidRDefault="00A463B7">
      <w:pPr>
        <w:spacing w:line="300" w:lineRule="auto"/>
        <w:rPr>
          <w:rFonts w:ascii="宋体" w:eastAsia="宋体" w:hAnsi="宋体" w:cs="宋体"/>
          <w:szCs w:val="21"/>
        </w:rPr>
      </w:pPr>
      <w:r>
        <w:rPr>
          <w:rFonts w:ascii="宋体" w:eastAsia="宋体" w:hAnsi="宋体" w:cs="宋体" w:hint="eastAsia"/>
          <w:szCs w:val="21"/>
        </w:rPr>
        <w:t>（本页无正文，为合同编号为【</w:t>
      </w:r>
      <w:r>
        <w:rPr>
          <w:rFonts w:ascii="宋体" w:eastAsia="宋体" w:hAnsi="宋体" w:cs="宋体" w:hint="eastAsia"/>
          <w:szCs w:val="21"/>
        </w:rPr>
        <w:t>GDQH-</w:t>
      </w:r>
      <w:r>
        <w:rPr>
          <w:rFonts w:ascii="宋体" w:eastAsia="宋体" w:hAnsi="宋体" w:cs="宋体" w:hint="eastAsia"/>
          <w:szCs w:val="21"/>
        </w:rPr>
        <w:t>2021JH01</w:t>
      </w:r>
      <w:r>
        <w:rPr>
          <w:rFonts w:ascii="宋体" w:eastAsia="宋体" w:hAnsi="宋体" w:cs="宋体" w:hint="eastAsia"/>
          <w:szCs w:val="21"/>
        </w:rPr>
        <w:t>2</w:t>
      </w:r>
      <w:r>
        <w:rPr>
          <w:rFonts w:ascii="宋体" w:eastAsia="宋体" w:hAnsi="宋体" w:cs="宋体" w:hint="eastAsia"/>
          <w:szCs w:val="21"/>
        </w:rPr>
        <w:t>】的《</w:t>
      </w:r>
      <w:r>
        <w:rPr>
          <w:rFonts w:ascii="宋体" w:eastAsia="宋体" w:hAnsi="宋体" w:cs="宋体" w:hint="eastAsia"/>
          <w:szCs w:val="21"/>
        </w:rPr>
        <w:t>光大期货光大理财阳光橙精选</w:t>
      </w:r>
      <w:r>
        <w:rPr>
          <w:rFonts w:ascii="宋体" w:eastAsia="宋体" w:hAnsi="宋体" w:cs="宋体" w:hint="eastAsia"/>
          <w:szCs w:val="21"/>
        </w:rPr>
        <w:t>1</w:t>
      </w:r>
      <w:r>
        <w:rPr>
          <w:rFonts w:ascii="宋体" w:eastAsia="宋体" w:hAnsi="宋体" w:cs="宋体" w:hint="eastAsia"/>
          <w:szCs w:val="21"/>
        </w:rPr>
        <w:t>号</w:t>
      </w:r>
      <w:r>
        <w:rPr>
          <w:rFonts w:ascii="宋体" w:eastAsia="宋体" w:hAnsi="宋体" w:cs="宋体" w:hint="eastAsia"/>
          <w:szCs w:val="21"/>
        </w:rPr>
        <w:t>集合资产管理计划资产管理合同》签署页。）</w:t>
      </w:r>
    </w:p>
    <w:p w14:paraId="46418226" w14:textId="77777777" w:rsidR="00694F14" w:rsidRDefault="00694F14">
      <w:pPr>
        <w:spacing w:line="300" w:lineRule="auto"/>
        <w:rPr>
          <w:rFonts w:ascii="宋体" w:eastAsia="宋体" w:hAnsi="宋体" w:cs="宋体"/>
          <w:b/>
          <w:szCs w:val="21"/>
        </w:rPr>
      </w:pPr>
    </w:p>
    <w:p w14:paraId="5A2AC39F"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资产委托人：</w:t>
      </w:r>
    </w:p>
    <w:p w14:paraId="359F801B" w14:textId="77777777" w:rsidR="00694F14" w:rsidRDefault="00694F14">
      <w:pPr>
        <w:spacing w:line="300" w:lineRule="auto"/>
        <w:rPr>
          <w:rFonts w:ascii="宋体" w:eastAsia="宋体" w:hAnsi="宋体" w:cs="宋体"/>
          <w:b/>
          <w:szCs w:val="21"/>
        </w:rPr>
      </w:pPr>
    </w:p>
    <w:p w14:paraId="43026160"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自然人（签字）：</w:t>
      </w:r>
      <w:r>
        <w:rPr>
          <w:rFonts w:ascii="宋体" w:eastAsia="宋体" w:hAnsi="宋体" w:cs="宋体" w:hint="eastAsia"/>
          <w:b/>
          <w:szCs w:val="21"/>
        </w:rPr>
        <w:t xml:space="preserve">                </w:t>
      </w:r>
      <w:r>
        <w:rPr>
          <w:rFonts w:ascii="宋体" w:eastAsia="宋体" w:hAnsi="宋体" w:cs="宋体" w:hint="eastAsia"/>
          <w:b/>
          <w:szCs w:val="21"/>
        </w:rPr>
        <w:t>或</w:t>
      </w:r>
      <w:r>
        <w:rPr>
          <w:rFonts w:ascii="宋体" w:eastAsia="宋体" w:hAnsi="宋体" w:cs="宋体" w:hint="eastAsia"/>
          <w:b/>
          <w:szCs w:val="21"/>
        </w:rPr>
        <w:t xml:space="preserve">  </w:t>
      </w:r>
      <w:r>
        <w:rPr>
          <w:rFonts w:ascii="宋体" w:eastAsia="宋体" w:hAnsi="宋体" w:cs="宋体" w:hint="eastAsia"/>
          <w:b/>
          <w:szCs w:val="21"/>
        </w:rPr>
        <w:t>法人或其他组织（盖章）：</w:t>
      </w:r>
    </w:p>
    <w:p w14:paraId="4D5E8A59" w14:textId="77777777" w:rsidR="00694F14" w:rsidRDefault="00694F14">
      <w:pPr>
        <w:spacing w:line="300" w:lineRule="auto"/>
        <w:rPr>
          <w:rFonts w:ascii="宋体" w:eastAsia="宋体" w:hAnsi="宋体" w:cs="宋体"/>
          <w:b/>
          <w:szCs w:val="21"/>
        </w:rPr>
      </w:pPr>
    </w:p>
    <w:p w14:paraId="3EEE5671"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 xml:space="preserve">                                   </w:t>
      </w:r>
      <w:r>
        <w:rPr>
          <w:rFonts w:ascii="宋体" w:eastAsia="宋体" w:hAnsi="宋体" w:cs="宋体" w:hint="eastAsia"/>
          <w:b/>
          <w:szCs w:val="21"/>
        </w:rPr>
        <w:t>法定代表人或授权代表（签字或盖章）：</w:t>
      </w:r>
      <w:r>
        <w:rPr>
          <w:rFonts w:ascii="宋体" w:eastAsia="宋体" w:hAnsi="宋体" w:cs="宋体" w:hint="eastAsia"/>
          <w:b/>
          <w:szCs w:val="21"/>
        </w:rPr>
        <w:t xml:space="preserve"> </w:t>
      </w:r>
    </w:p>
    <w:p w14:paraId="58770C49" w14:textId="77777777" w:rsidR="00694F14" w:rsidRDefault="00A463B7">
      <w:pPr>
        <w:spacing w:line="300" w:lineRule="auto"/>
        <w:jc w:val="left"/>
        <w:rPr>
          <w:rFonts w:ascii="宋体" w:eastAsia="宋体" w:hAnsi="宋体" w:cs="宋体"/>
          <w:b/>
          <w:szCs w:val="21"/>
        </w:rPr>
      </w:pPr>
      <w:r>
        <w:rPr>
          <w:rFonts w:ascii="宋体" w:eastAsia="宋体" w:hAnsi="宋体" w:cs="宋体" w:hint="eastAsia"/>
          <w:b/>
          <w:szCs w:val="21"/>
        </w:rPr>
        <w:t>签署日期：</w:t>
      </w:r>
      <w:r>
        <w:rPr>
          <w:rFonts w:ascii="宋体" w:eastAsia="宋体" w:hAnsi="宋体" w:cs="宋体" w:hint="eastAsia"/>
          <w:b/>
          <w:szCs w:val="21"/>
        </w:rPr>
        <w:t xml:space="preserve">    </w:t>
      </w:r>
      <w:r>
        <w:rPr>
          <w:rFonts w:ascii="宋体" w:eastAsia="宋体" w:hAnsi="宋体" w:cs="宋体" w:hint="eastAsia"/>
          <w:b/>
          <w:szCs w:val="21"/>
        </w:rPr>
        <w:t>年</w:t>
      </w:r>
      <w:r>
        <w:rPr>
          <w:rFonts w:ascii="宋体" w:eastAsia="宋体" w:hAnsi="宋体" w:cs="宋体" w:hint="eastAsia"/>
          <w:b/>
          <w:szCs w:val="21"/>
        </w:rPr>
        <w:t xml:space="preserve">    </w:t>
      </w:r>
      <w:r>
        <w:rPr>
          <w:rFonts w:ascii="宋体" w:eastAsia="宋体" w:hAnsi="宋体" w:cs="宋体" w:hint="eastAsia"/>
          <w:b/>
          <w:szCs w:val="21"/>
        </w:rPr>
        <w:t>月</w:t>
      </w:r>
      <w:r>
        <w:rPr>
          <w:rFonts w:ascii="宋体" w:eastAsia="宋体" w:hAnsi="宋体" w:cs="宋体" w:hint="eastAsia"/>
          <w:b/>
          <w:szCs w:val="21"/>
        </w:rPr>
        <w:t xml:space="preserve">    </w:t>
      </w:r>
      <w:r>
        <w:rPr>
          <w:rFonts w:ascii="宋体" w:eastAsia="宋体" w:hAnsi="宋体" w:cs="宋体" w:hint="eastAsia"/>
          <w:b/>
          <w:szCs w:val="21"/>
        </w:rPr>
        <w:t>日</w:t>
      </w:r>
      <w:r>
        <w:rPr>
          <w:rFonts w:ascii="宋体" w:eastAsia="宋体" w:hAnsi="宋体" w:cs="宋体" w:hint="eastAsia"/>
          <w:b/>
          <w:szCs w:val="21"/>
        </w:rPr>
        <w:t xml:space="preserve"> </w:t>
      </w:r>
    </w:p>
    <w:p w14:paraId="6A1F2130" w14:textId="77777777" w:rsidR="00694F14" w:rsidRDefault="00694F14">
      <w:pPr>
        <w:spacing w:line="300" w:lineRule="auto"/>
        <w:ind w:right="210"/>
        <w:jc w:val="left"/>
        <w:rPr>
          <w:rFonts w:ascii="宋体" w:eastAsia="宋体" w:hAnsi="宋体" w:cs="宋体"/>
          <w:szCs w:val="21"/>
        </w:rPr>
      </w:pPr>
    </w:p>
    <w:p w14:paraId="47491204" w14:textId="77777777" w:rsidR="00694F14" w:rsidRDefault="00694F14">
      <w:pPr>
        <w:pStyle w:val="a4"/>
      </w:pPr>
    </w:p>
    <w:p w14:paraId="59450CA7" w14:textId="77777777" w:rsidR="00694F14" w:rsidRDefault="00694F14">
      <w:pPr>
        <w:pStyle w:val="a4"/>
        <w:rPr>
          <w:rFonts w:ascii="宋体" w:eastAsia="宋体" w:hAnsi="宋体" w:cs="宋体"/>
          <w:szCs w:val="21"/>
        </w:rPr>
      </w:pPr>
    </w:p>
    <w:p w14:paraId="49033D68" w14:textId="77777777" w:rsidR="00694F14" w:rsidRDefault="00694F14">
      <w:pPr>
        <w:pStyle w:val="a4"/>
        <w:rPr>
          <w:rFonts w:ascii="宋体" w:eastAsia="宋体" w:hAnsi="宋体" w:cs="宋体"/>
          <w:szCs w:val="21"/>
        </w:rPr>
      </w:pPr>
    </w:p>
    <w:p w14:paraId="1C579759"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资产管理人：【光大期货有限公司】（盖章）：</w:t>
      </w:r>
    </w:p>
    <w:p w14:paraId="6755FFA1" w14:textId="77777777" w:rsidR="00694F14" w:rsidRDefault="00694F14">
      <w:pPr>
        <w:spacing w:line="300" w:lineRule="auto"/>
        <w:rPr>
          <w:rFonts w:ascii="宋体" w:eastAsia="宋体" w:hAnsi="宋体" w:cs="宋体"/>
          <w:b/>
          <w:szCs w:val="21"/>
        </w:rPr>
      </w:pPr>
    </w:p>
    <w:p w14:paraId="693CBC92" w14:textId="77777777" w:rsidR="00694F14" w:rsidRDefault="00694F14">
      <w:pPr>
        <w:pStyle w:val="a4"/>
      </w:pPr>
    </w:p>
    <w:p w14:paraId="5A1B1B42"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法定代表人或授权代表：</w:t>
      </w:r>
    </w:p>
    <w:p w14:paraId="5CF1943B" w14:textId="77777777" w:rsidR="00694F14" w:rsidRDefault="00694F14">
      <w:pPr>
        <w:spacing w:line="300" w:lineRule="auto"/>
        <w:rPr>
          <w:rFonts w:ascii="宋体" w:eastAsia="宋体" w:hAnsi="宋体" w:cs="宋体"/>
          <w:b/>
          <w:szCs w:val="21"/>
        </w:rPr>
      </w:pPr>
    </w:p>
    <w:p w14:paraId="3AD092CC" w14:textId="77777777" w:rsidR="00694F14" w:rsidRDefault="00694F14">
      <w:pPr>
        <w:pStyle w:val="a4"/>
      </w:pPr>
    </w:p>
    <w:p w14:paraId="6E9C5D25" w14:textId="77777777" w:rsidR="00694F14" w:rsidRDefault="00A463B7">
      <w:pPr>
        <w:spacing w:line="300" w:lineRule="auto"/>
        <w:ind w:right="480"/>
        <w:jc w:val="left"/>
        <w:rPr>
          <w:rFonts w:ascii="宋体" w:eastAsia="宋体" w:hAnsi="宋体" w:cs="宋体"/>
          <w:b/>
          <w:szCs w:val="21"/>
        </w:rPr>
      </w:pPr>
      <w:r>
        <w:rPr>
          <w:rFonts w:ascii="宋体" w:eastAsia="宋体" w:hAnsi="宋体" w:cs="宋体" w:hint="eastAsia"/>
          <w:b/>
          <w:szCs w:val="21"/>
        </w:rPr>
        <w:t>签署日期：</w:t>
      </w:r>
      <w:r>
        <w:rPr>
          <w:rFonts w:ascii="宋体" w:eastAsia="宋体" w:hAnsi="宋体" w:cs="宋体" w:hint="eastAsia"/>
          <w:b/>
          <w:szCs w:val="21"/>
        </w:rPr>
        <w:t xml:space="preserve">    </w:t>
      </w:r>
      <w:r>
        <w:rPr>
          <w:rFonts w:ascii="宋体" w:eastAsia="宋体" w:hAnsi="宋体" w:cs="宋体" w:hint="eastAsia"/>
          <w:b/>
          <w:szCs w:val="21"/>
        </w:rPr>
        <w:t>年</w:t>
      </w:r>
      <w:r>
        <w:rPr>
          <w:rFonts w:ascii="宋体" w:eastAsia="宋体" w:hAnsi="宋体" w:cs="宋体" w:hint="eastAsia"/>
          <w:b/>
          <w:szCs w:val="21"/>
        </w:rPr>
        <w:t xml:space="preserve">    </w:t>
      </w:r>
      <w:r>
        <w:rPr>
          <w:rFonts w:ascii="宋体" w:eastAsia="宋体" w:hAnsi="宋体" w:cs="宋体" w:hint="eastAsia"/>
          <w:b/>
          <w:szCs w:val="21"/>
        </w:rPr>
        <w:t>月</w:t>
      </w:r>
      <w:r>
        <w:rPr>
          <w:rFonts w:ascii="宋体" w:eastAsia="宋体" w:hAnsi="宋体" w:cs="宋体" w:hint="eastAsia"/>
          <w:b/>
          <w:szCs w:val="21"/>
        </w:rPr>
        <w:t xml:space="preserve">    </w:t>
      </w:r>
      <w:r>
        <w:rPr>
          <w:rFonts w:ascii="宋体" w:eastAsia="宋体" w:hAnsi="宋体" w:cs="宋体" w:hint="eastAsia"/>
          <w:b/>
          <w:szCs w:val="21"/>
        </w:rPr>
        <w:t>日</w:t>
      </w:r>
      <w:r>
        <w:rPr>
          <w:rFonts w:ascii="宋体" w:eastAsia="宋体" w:hAnsi="宋体" w:cs="宋体" w:hint="eastAsia"/>
          <w:b/>
          <w:szCs w:val="21"/>
        </w:rPr>
        <w:t xml:space="preserve"> </w:t>
      </w:r>
    </w:p>
    <w:p w14:paraId="7FAE47C1" w14:textId="77777777" w:rsidR="00694F14" w:rsidRDefault="00694F14">
      <w:pPr>
        <w:spacing w:line="300" w:lineRule="auto"/>
        <w:rPr>
          <w:rFonts w:ascii="宋体" w:eastAsia="宋体" w:hAnsi="宋体" w:cs="宋体"/>
          <w:b/>
          <w:szCs w:val="21"/>
        </w:rPr>
      </w:pPr>
    </w:p>
    <w:p w14:paraId="5C03A5EE" w14:textId="77777777" w:rsidR="00694F14" w:rsidRDefault="00694F14">
      <w:pPr>
        <w:pStyle w:val="a4"/>
      </w:pPr>
    </w:p>
    <w:p w14:paraId="13018E2E" w14:textId="77777777" w:rsidR="00694F14" w:rsidRDefault="00694F14">
      <w:pPr>
        <w:spacing w:line="300" w:lineRule="auto"/>
        <w:rPr>
          <w:rFonts w:ascii="宋体" w:eastAsia="宋体" w:hAnsi="宋体" w:cs="宋体"/>
          <w:b/>
          <w:szCs w:val="21"/>
        </w:rPr>
      </w:pPr>
    </w:p>
    <w:p w14:paraId="3DB831B5" w14:textId="77777777" w:rsidR="00694F14" w:rsidRDefault="00694F14">
      <w:pPr>
        <w:spacing w:line="300" w:lineRule="auto"/>
        <w:rPr>
          <w:rFonts w:ascii="宋体" w:eastAsia="宋体" w:hAnsi="宋体" w:cs="宋体"/>
          <w:b/>
          <w:szCs w:val="21"/>
        </w:rPr>
      </w:pPr>
    </w:p>
    <w:p w14:paraId="5E57D308"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资产托管人：【</w:t>
      </w:r>
      <w:r>
        <w:rPr>
          <w:rFonts w:ascii="宋体" w:eastAsia="宋体" w:hAnsi="宋体" w:cs="宋体" w:hint="eastAsia"/>
          <w:b/>
          <w:szCs w:val="21"/>
        </w:rPr>
        <w:t>中国光大银行股份有限公司青岛分行</w:t>
      </w:r>
      <w:r>
        <w:rPr>
          <w:rFonts w:ascii="宋体" w:eastAsia="宋体" w:hAnsi="宋体" w:cs="宋体" w:hint="eastAsia"/>
          <w:b/>
          <w:szCs w:val="21"/>
        </w:rPr>
        <w:t>】（盖章）：</w:t>
      </w:r>
    </w:p>
    <w:p w14:paraId="6A47B16C" w14:textId="77777777" w:rsidR="00694F14" w:rsidRDefault="00694F14">
      <w:pPr>
        <w:spacing w:line="300" w:lineRule="auto"/>
        <w:rPr>
          <w:rFonts w:ascii="宋体" w:eastAsia="宋体" w:hAnsi="宋体" w:cs="宋体"/>
          <w:b/>
          <w:szCs w:val="21"/>
        </w:rPr>
      </w:pPr>
    </w:p>
    <w:p w14:paraId="5B6E5C11" w14:textId="77777777" w:rsidR="00694F14" w:rsidRDefault="00694F14">
      <w:pPr>
        <w:pStyle w:val="a4"/>
      </w:pPr>
    </w:p>
    <w:p w14:paraId="33CEDE3B" w14:textId="77777777" w:rsidR="00694F14" w:rsidRDefault="00A463B7">
      <w:pPr>
        <w:spacing w:line="300" w:lineRule="auto"/>
        <w:rPr>
          <w:rFonts w:ascii="宋体" w:eastAsia="宋体" w:hAnsi="宋体" w:cs="宋体"/>
          <w:b/>
          <w:szCs w:val="21"/>
        </w:rPr>
      </w:pPr>
      <w:r>
        <w:rPr>
          <w:rFonts w:ascii="宋体" w:eastAsia="宋体" w:hAnsi="宋体" w:cs="宋体" w:hint="eastAsia"/>
          <w:b/>
          <w:szCs w:val="21"/>
        </w:rPr>
        <w:t>负责人或授权代表：</w:t>
      </w:r>
    </w:p>
    <w:p w14:paraId="2230400C" w14:textId="77777777" w:rsidR="00694F14" w:rsidRDefault="00694F14">
      <w:pPr>
        <w:spacing w:line="300" w:lineRule="auto"/>
        <w:ind w:right="480"/>
        <w:jc w:val="right"/>
        <w:rPr>
          <w:rFonts w:ascii="宋体" w:eastAsia="宋体" w:hAnsi="宋体" w:cs="宋体"/>
          <w:b/>
          <w:szCs w:val="21"/>
        </w:rPr>
      </w:pPr>
    </w:p>
    <w:p w14:paraId="3015D232" w14:textId="77777777" w:rsidR="00694F14" w:rsidRDefault="00694F14">
      <w:pPr>
        <w:pStyle w:val="a4"/>
      </w:pPr>
    </w:p>
    <w:p w14:paraId="502D86BB" w14:textId="77777777" w:rsidR="00694F14" w:rsidRDefault="00A463B7">
      <w:pPr>
        <w:spacing w:line="300" w:lineRule="auto"/>
        <w:ind w:right="480"/>
        <w:rPr>
          <w:rFonts w:ascii="宋体" w:eastAsia="宋体" w:hAnsi="宋体" w:cs="宋体"/>
          <w:b/>
          <w:szCs w:val="21"/>
        </w:rPr>
      </w:pPr>
      <w:r>
        <w:rPr>
          <w:rFonts w:ascii="宋体" w:eastAsia="宋体" w:hAnsi="宋体" w:cs="宋体" w:hint="eastAsia"/>
          <w:b/>
          <w:szCs w:val="21"/>
        </w:rPr>
        <w:t>签署日期：</w:t>
      </w:r>
      <w:r>
        <w:rPr>
          <w:rFonts w:ascii="宋体" w:eastAsia="宋体" w:hAnsi="宋体" w:cs="宋体" w:hint="eastAsia"/>
          <w:b/>
          <w:szCs w:val="21"/>
        </w:rPr>
        <w:t xml:space="preserve">    </w:t>
      </w:r>
      <w:r>
        <w:rPr>
          <w:rFonts w:ascii="宋体" w:eastAsia="宋体" w:hAnsi="宋体" w:cs="宋体" w:hint="eastAsia"/>
          <w:b/>
          <w:szCs w:val="21"/>
        </w:rPr>
        <w:t>年</w:t>
      </w:r>
      <w:r>
        <w:rPr>
          <w:rFonts w:ascii="宋体" w:eastAsia="宋体" w:hAnsi="宋体" w:cs="宋体" w:hint="eastAsia"/>
          <w:b/>
          <w:szCs w:val="21"/>
        </w:rPr>
        <w:t xml:space="preserve">    </w:t>
      </w:r>
      <w:r>
        <w:rPr>
          <w:rFonts w:ascii="宋体" w:eastAsia="宋体" w:hAnsi="宋体" w:cs="宋体" w:hint="eastAsia"/>
          <w:b/>
          <w:szCs w:val="21"/>
        </w:rPr>
        <w:t>月</w:t>
      </w:r>
      <w:r>
        <w:rPr>
          <w:rFonts w:ascii="宋体" w:eastAsia="宋体" w:hAnsi="宋体" w:cs="宋体" w:hint="eastAsia"/>
          <w:b/>
          <w:szCs w:val="21"/>
        </w:rPr>
        <w:t xml:space="preserve">    </w:t>
      </w:r>
      <w:r>
        <w:rPr>
          <w:rFonts w:ascii="宋体" w:eastAsia="宋体" w:hAnsi="宋体" w:cs="宋体" w:hint="eastAsia"/>
          <w:b/>
          <w:szCs w:val="21"/>
        </w:rPr>
        <w:t>日</w:t>
      </w:r>
      <w:r>
        <w:rPr>
          <w:rFonts w:ascii="宋体" w:eastAsia="宋体" w:hAnsi="宋体" w:cs="宋体" w:hint="eastAsia"/>
          <w:b/>
          <w:szCs w:val="21"/>
        </w:rPr>
        <w:t xml:space="preserve"> </w:t>
      </w:r>
    </w:p>
    <w:p w14:paraId="7D96811B" w14:textId="77777777" w:rsidR="00694F14" w:rsidRDefault="00694F14">
      <w:pPr>
        <w:pStyle w:val="a4"/>
        <w:rPr>
          <w:rFonts w:ascii="宋体" w:eastAsia="宋体" w:hAnsi="宋体" w:cs="宋体"/>
          <w:b/>
          <w:szCs w:val="21"/>
        </w:rPr>
      </w:pPr>
    </w:p>
    <w:p w14:paraId="11E3EC76" w14:textId="77777777" w:rsidR="00694F14" w:rsidRDefault="00694F14">
      <w:pPr>
        <w:pStyle w:val="a4"/>
        <w:rPr>
          <w:rFonts w:ascii="宋体" w:eastAsia="宋体" w:hAnsi="宋体" w:cs="宋体"/>
          <w:b/>
          <w:szCs w:val="21"/>
        </w:rPr>
      </w:pPr>
    </w:p>
    <w:p w14:paraId="6FF323E3" w14:textId="77777777" w:rsidR="00694F14" w:rsidRDefault="00694F14">
      <w:pPr>
        <w:pStyle w:val="a4"/>
        <w:rPr>
          <w:rFonts w:ascii="宋体" w:eastAsia="宋体" w:hAnsi="宋体" w:cs="宋体"/>
          <w:b/>
          <w:szCs w:val="21"/>
        </w:rPr>
      </w:pPr>
    </w:p>
    <w:p w14:paraId="5DB49E12" w14:textId="77777777" w:rsidR="00694F14" w:rsidRDefault="00694F14">
      <w:pPr>
        <w:pStyle w:val="a4"/>
        <w:rPr>
          <w:rFonts w:ascii="宋体" w:eastAsia="宋体" w:hAnsi="宋体" w:cs="宋体"/>
          <w:b/>
          <w:szCs w:val="21"/>
        </w:rPr>
      </w:pPr>
    </w:p>
    <w:p w14:paraId="7520F3E0" w14:textId="77777777" w:rsidR="00694F14" w:rsidRDefault="00694F14">
      <w:pPr>
        <w:pStyle w:val="a4"/>
        <w:rPr>
          <w:rFonts w:ascii="宋体" w:eastAsia="宋体" w:hAnsi="宋体" w:cs="宋体"/>
          <w:b/>
          <w:szCs w:val="21"/>
        </w:rPr>
      </w:pPr>
    </w:p>
    <w:p w14:paraId="0C38C254" w14:textId="77777777" w:rsidR="00694F14" w:rsidRDefault="00A463B7">
      <w:pPr>
        <w:pStyle w:val="1"/>
        <w:rPr>
          <w:rFonts w:ascii="宋体" w:eastAsia="宋体" w:hAnsi="宋体" w:cs="宋体"/>
          <w:sz w:val="24"/>
        </w:rPr>
      </w:pPr>
      <w:bookmarkStart w:id="87" w:name="_Toc70622211"/>
      <w:bookmarkStart w:id="88" w:name="_Toc40283668"/>
      <w:r>
        <w:rPr>
          <w:rFonts w:ascii="宋体" w:eastAsia="宋体" w:hAnsi="宋体" w:cs="宋体" w:hint="eastAsia"/>
          <w:sz w:val="24"/>
        </w:rPr>
        <w:t>附件一</w:t>
      </w:r>
      <w:bookmarkEnd w:id="87"/>
    </w:p>
    <w:p w14:paraId="7883BDFE" w14:textId="77777777" w:rsidR="00694F14" w:rsidRDefault="00A463B7">
      <w:pPr>
        <w:spacing w:line="360" w:lineRule="auto"/>
        <w:jc w:val="center"/>
        <w:rPr>
          <w:rFonts w:ascii="宋体" w:eastAsia="宋体" w:hAnsi="宋体" w:cs="宋体"/>
        </w:rPr>
      </w:pPr>
      <w:r>
        <w:rPr>
          <w:rFonts w:ascii="宋体" w:eastAsia="宋体" w:hAnsi="宋体" w:cs="宋体" w:hint="eastAsia"/>
          <w:b/>
        </w:rPr>
        <w:t>交易监控合</w:t>
      </w:r>
      <w:proofErr w:type="gramStart"/>
      <w:r>
        <w:rPr>
          <w:rFonts w:ascii="宋体" w:eastAsia="宋体" w:hAnsi="宋体" w:cs="宋体" w:hint="eastAsia"/>
          <w:b/>
        </w:rPr>
        <w:t>规</w:t>
      </w:r>
      <w:proofErr w:type="gramEnd"/>
      <w:r>
        <w:rPr>
          <w:rFonts w:ascii="宋体" w:eastAsia="宋体" w:hAnsi="宋体" w:cs="宋体" w:hint="eastAsia"/>
          <w:b/>
        </w:rPr>
        <w:t>表</w:t>
      </w:r>
    </w:p>
    <w:tbl>
      <w:tblPr>
        <w:tblStyle w:val="af5"/>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7444"/>
      </w:tblGrid>
      <w:tr w:rsidR="00694F14" w14:paraId="20CEE94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vAlign w:val="center"/>
          </w:tcPr>
          <w:p w14:paraId="711CC34A" w14:textId="77777777" w:rsidR="00694F14" w:rsidRDefault="00A463B7">
            <w:pPr>
              <w:spacing w:line="300" w:lineRule="auto"/>
              <w:ind w:right="-108"/>
              <w:jc w:val="center"/>
              <w:rPr>
                <w:rFonts w:ascii="宋体" w:eastAsia="宋体" w:hAnsi="宋体" w:cs="宋体"/>
                <w:b/>
                <w:sz w:val="21"/>
                <w:szCs w:val="21"/>
              </w:rPr>
            </w:pPr>
            <w:r>
              <w:rPr>
                <w:rFonts w:ascii="宋体" w:eastAsia="宋体" w:hAnsi="宋体" w:cs="宋体" w:hint="eastAsia"/>
                <w:b/>
                <w:sz w:val="21"/>
                <w:szCs w:val="21"/>
              </w:rPr>
              <w:t>序号</w:t>
            </w:r>
          </w:p>
        </w:tc>
        <w:tc>
          <w:tcPr>
            <w:tcW w:w="1417" w:type="dxa"/>
            <w:vAlign w:val="center"/>
          </w:tcPr>
          <w:p w14:paraId="777CDE33" w14:textId="77777777" w:rsidR="00694F14" w:rsidRDefault="00A463B7">
            <w:pPr>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sz w:val="21"/>
                <w:szCs w:val="21"/>
              </w:rPr>
            </w:pPr>
            <w:r>
              <w:rPr>
                <w:rFonts w:ascii="宋体" w:eastAsia="宋体" w:hAnsi="宋体" w:cs="宋体" w:hint="eastAsia"/>
                <w:b/>
                <w:sz w:val="21"/>
                <w:szCs w:val="21"/>
              </w:rPr>
              <w:t>项目</w:t>
            </w:r>
          </w:p>
        </w:tc>
        <w:tc>
          <w:tcPr>
            <w:tcW w:w="7444" w:type="dxa"/>
            <w:vAlign w:val="center"/>
          </w:tcPr>
          <w:p w14:paraId="0C652F29" w14:textId="77777777" w:rsidR="00694F14" w:rsidRDefault="00A463B7">
            <w:pPr>
              <w:spacing w:line="300" w:lineRule="auto"/>
              <w:ind w:right="48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sz w:val="21"/>
                <w:szCs w:val="21"/>
              </w:rPr>
            </w:pPr>
            <w:r>
              <w:rPr>
                <w:rFonts w:ascii="宋体" w:eastAsia="宋体" w:hAnsi="宋体" w:cs="宋体" w:hint="eastAsia"/>
                <w:b/>
                <w:sz w:val="21"/>
                <w:szCs w:val="21"/>
              </w:rPr>
              <w:t>监控内容</w:t>
            </w:r>
          </w:p>
        </w:tc>
      </w:tr>
      <w:tr w:rsidR="00694F14" w14:paraId="055B305A" w14:textId="77777777">
        <w:trPr>
          <w:trHeight w:val="144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CD7F0CE" w14:textId="77777777" w:rsidR="00694F14" w:rsidRDefault="00A463B7">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1</w:t>
            </w:r>
          </w:p>
        </w:tc>
        <w:tc>
          <w:tcPr>
            <w:tcW w:w="1417" w:type="dxa"/>
            <w:vAlign w:val="center"/>
          </w:tcPr>
          <w:p w14:paraId="433DE886" w14:textId="77777777" w:rsidR="00694F14" w:rsidRDefault="00A463B7">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监控范围</w:t>
            </w:r>
          </w:p>
        </w:tc>
        <w:tc>
          <w:tcPr>
            <w:tcW w:w="7444" w:type="dxa"/>
            <w:vAlign w:val="center"/>
          </w:tcPr>
          <w:p w14:paraId="390E46C7"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本计划成立之日起至完成备案前，资产管理人以现金管理为目的，可投资于银行活期存款、货币市场基金。</w:t>
            </w:r>
          </w:p>
          <w:p w14:paraId="73BE21EC"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本计划完成备案后，主要投资于：</w:t>
            </w:r>
          </w:p>
          <w:p w14:paraId="60284E92"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沪深交易所发行上市的股票（包括主板、中小板、创业板、</w:t>
            </w:r>
            <w:proofErr w:type="gramStart"/>
            <w:r>
              <w:rPr>
                <w:rFonts w:ascii="宋体" w:eastAsia="宋体" w:hAnsi="宋体" w:cs="宋体" w:hint="eastAsia"/>
                <w:bCs/>
                <w:sz w:val="21"/>
                <w:szCs w:val="21"/>
              </w:rPr>
              <w:t>科创板</w:t>
            </w:r>
            <w:proofErr w:type="gramEnd"/>
            <w:r>
              <w:rPr>
                <w:rFonts w:ascii="宋体" w:eastAsia="宋体" w:hAnsi="宋体" w:cs="宋体" w:hint="eastAsia"/>
                <w:bCs/>
                <w:sz w:val="21"/>
                <w:szCs w:val="21"/>
              </w:rPr>
              <w:t>及其他经中国证监会核准上市的股票，含新股申购）；港股通标的范围内的股票；银行间及交易所债券、中央银行票据、资产支持证券、资产支持票据；公募证券投资基金（含封闭式及开放式证券投资基金、</w:t>
            </w:r>
            <w:r>
              <w:rPr>
                <w:rFonts w:ascii="宋体" w:eastAsia="宋体" w:hAnsi="宋体" w:cs="宋体" w:hint="eastAsia"/>
                <w:bCs/>
                <w:sz w:val="21"/>
                <w:szCs w:val="21"/>
              </w:rPr>
              <w:t>LOF</w:t>
            </w:r>
            <w:r>
              <w:rPr>
                <w:rFonts w:ascii="宋体" w:eastAsia="宋体" w:hAnsi="宋体" w:cs="宋体" w:hint="eastAsia"/>
                <w:bCs/>
                <w:sz w:val="21"/>
                <w:szCs w:val="21"/>
              </w:rPr>
              <w:t>、</w:t>
            </w:r>
            <w:r>
              <w:rPr>
                <w:rFonts w:ascii="宋体" w:eastAsia="宋体" w:hAnsi="宋体" w:cs="宋体" w:hint="eastAsia"/>
                <w:bCs/>
                <w:sz w:val="21"/>
                <w:szCs w:val="21"/>
              </w:rPr>
              <w:t>ETF</w:t>
            </w:r>
            <w:r>
              <w:rPr>
                <w:rFonts w:ascii="宋体" w:eastAsia="宋体" w:hAnsi="宋体" w:cs="宋体" w:hint="eastAsia"/>
                <w:bCs/>
                <w:sz w:val="21"/>
                <w:szCs w:val="21"/>
              </w:rPr>
              <w:t>基金）；银行存款（含现金、定期存款、活期存款、协议存款）、债券逆回购、债券正回购、货币市场基金；股指期货、商品期货、国债期货、交易所上市的期权。特别予以说明，本计划可进行债券回购（债券正回购、债券逆回购）、融资融券、转融通证券出借交易。</w:t>
            </w:r>
          </w:p>
        </w:tc>
      </w:tr>
      <w:tr w:rsidR="00694F14" w14:paraId="721C1C74" w14:textId="77777777">
        <w:trPr>
          <w:trHeight w:val="183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65AA319" w14:textId="77777777" w:rsidR="00694F14" w:rsidRDefault="00A463B7">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2</w:t>
            </w:r>
          </w:p>
        </w:tc>
        <w:tc>
          <w:tcPr>
            <w:tcW w:w="1417" w:type="dxa"/>
            <w:vAlign w:val="center"/>
          </w:tcPr>
          <w:p w14:paraId="2E2FA49D" w14:textId="77777777" w:rsidR="00694F14" w:rsidRDefault="00A463B7">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监控比例</w:t>
            </w:r>
          </w:p>
        </w:tc>
        <w:tc>
          <w:tcPr>
            <w:tcW w:w="7444" w:type="dxa"/>
            <w:vAlign w:val="center"/>
          </w:tcPr>
          <w:p w14:paraId="74CAED27"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w:t>
            </w:r>
            <w:r>
              <w:rPr>
                <w:rFonts w:ascii="宋体" w:eastAsia="宋体" w:hAnsi="宋体" w:cs="宋体" w:hint="eastAsia"/>
                <w:bCs/>
                <w:sz w:val="21"/>
                <w:szCs w:val="21"/>
              </w:rPr>
              <w:t>1</w:t>
            </w:r>
            <w:r>
              <w:rPr>
                <w:rFonts w:ascii="宋体" w:eastAsia="宋体" w:hAnsi="宋体" w:cs="宋体" w:hint="eastAsia"/>
                <w:bCs/>
                <w:sz w:val="21"/>
                <w:szCs w:val="21"/>
              </w:rPr>
              <w:t>）投资于存款、债券等债权类资产的比例低于资产管理计划总资产的</w:t>
            </w:r>
            <w:r>
              <w:rPr>
                <w:rFonts w:ascii="宋体" w:eastAsia="宋体" w:hAnsi="宋体" w:cs="宋体" w:hint="eastAsia"/>
                <w:bCs/>
                <w:sz w:val="21"/>
                <w:szCs w:val="21"/>
              </w:rPr>
              <w:t>80%</w:t>
            </w:r>
            <w:r>
              <w:rPr>
                <w:rFonts w:ascii="宋体" w:eastAsia="宋体" w:hAnsi="宋体" w:cs="宋体" w:hint="eastAsia"/>
                <w:bCs/>
                <w:sz w:val="21"/>
                <w:szCs w:val="21"/>
              </w:rPr>
              <w:t>；</w:t>
            </w:r>
          </w:p>
          <w:p w14:paraId="27F8F45F"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w:t>
            </w:r>
            <w:r>
              <w:rPr>
                <w:rFonts w:ascii="宋体" w:eastAsia="宋体" w:hAnsi="宋体" w:cs="宋体" w:hint="eastAsia"/>
                <w:bCs/>
                <w:sz w:val="21"/>
                <w:szCs w:val="21"/>
              </w:rPr>
              <w:t>2</w:t>
            </w:r>
            <w:r>
              <w:rPr>
                <w:rFonts w:ascii="宋体" w:eastAsia="宋体" w:hAnsi="宋体" w:cs="宋体" w:hint="eastAsia"/>
                <w:bCs/>
                <w:sz w:val="21"/>
                <w:szCs w:val="21"/>
              </w:rPr>
              <w:t>）投资于股票等权益类资产的比例低于资产管理计划总资产的</w:t>
            </w:r>
            <w:r>
              <w:rPr>
                <w:rFonts w:ascii="宋体" w:eastAsia="宋体" w:hAnsi="宋体" w:cs="宋体" w:hint="eastAsia"/>
                <w:bCs/>
                <w:sz w:val="21"/>
                <w:szCs w:val="21"/>
              </w:rPr>
              <w:t>80%</w:t>
            </w:r>
            <w:r>
              <w:rPr>
                <w:rFonts w:ascii="宋体" w:eastAsia="宋体" w:hAnsi="宋体" w:cs="宋体" w:hint="eastAsia"/>
                <w:bCs/>
                <w:sz w:val="21"/>
                <w:szCs w:val="21"/>
              </w:rPr>
              <w:t>；</w:t>
            </w:r>
          </w:p>
          <w:p w14:paraId="14C39617"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w:t>
            </w:r>
            <w:r>
              <w:rPr>
                <w:rFonts w:ascii="宋体" w:eastAsia="宋体" w:hAnsi="宋体" w:cs="宋体" w:hint="eastAsia"/>
                <w:bCs/>
                <w:sz w:val="21"/>
                <w:szCs w:val="21"/>
              </w:rPr>
              <w:t>3</w:t>
            </w:r>
            <w:r>
              <w:rPr>
                <w:rFonts w:ascii="宋体" w:eastAsia="宋体" w:hAnsi="宋体" w:cs="宋体" w:hint="eastAsia"/>
                <w:bCs/>
                <w:sz w:val="21"/>
                <w:szCs w:val="21"/>
              </w:rPr>
              <w:t>）投资于商品及金融衍生品的持仓合约价值比例低于资产管理计划总资产</w:t>
            </w:r>
            <w:r>
              <w:rPr>
                <w:rFonts w:ascii="宋体" w:eastAsia="宋体" w:hAnsi="宋体" w:cs="宋体" w:hint="eastAsia"/>
                <w:bCs/>
                <w:sz w:val="21"/>
                <w:szCs w:val="21"/>
              </w:rPr>
              <w:t>80%</w:t>
            </w:r>
            <w:r>
              <w:rPr>
                <w:rFonts w:ascii="宋体" w:eastAsia="宋体" w:hAnsi="宋体" w:cs="宋体" w:hint="eastAsia"/>
                <w:bCs/>
                <w:sz w:val="21"/>
                <w:szCs w:val="21"/>
              </w:rPr>
              <w:t>，或衍生品账户权益不超过资产管理计划总资产的</w:t>
            </w:r>
            <w:r>
              <w:rPr>
                <w:rFonts w:ascii="宋体" w:eastAsia="宋体" w:hAnsi="宋体" w:cs="宋体" w:hint="eastAsia"/>
                <w:bCs/>
                <w:sz w:val="21"/>
                <w:szCs w:val="21"/>
              </w:rPr>
              <w:t>20%</w:t>
            </w:r>
            <w:r>
              <w:rPr>
                <w:rFonts w:ascii="宋体" w:eastAsia="宋体" w:hAnsi="宋体" w:cs="宋体" w:hint="eastAsia"/>
                <w:bCs/>
                <w:sz w:val="21"/>
                <w:szCs w:val="21"/>
              </w:rPr>
              <w:t>；</w:t>
            </w:r>
          </w:p>
          <w:p w14:paraId="2E619EF6"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w:t>
            </w:r>
            <w:r>
              <w:rPr>
                <w:rFonts w:ascii="宋体" w:eastAsia="宋体" w:hAnsi="宋体" w:cs="宋体" w:hint="eastAsia"/>
                <w:bCs/>
                <w:sz w:val="21"/>
                <w:szCs w:val="21"/>
              </w:rPr>
              <w:t>4</w:t>
            </w:r>
            <w:r>
              <w:rPr>
                <w:rFonts w:ascii="宋体" w:eastAsia="宋体" w:hAnsi="宋体" w:cs="宋体" w:hint="eastAsia"/>
                <w:bCs/>
                <w:sz w:val="21"/>
                <w:szCs w:val="21"/>
              </w:rPr>
              <w:t>）投资于同一资产的资金，不得超过计划资产净值的</w:t>
            </w:r>
            <w:r>
              <w:rPr>
                <w:rFonts w:ascii="宋体" w:eastAsia="宋体" w:hAnsi="宋体" w:cs="宋体" w:hint="eastAsia"/>
                <w:bCs/>
                <w:sz w:val="21"/>
                <w:szCs w:val="21"/>
              </w:rPr>
              <w:t>25%</w:t>
            </w:r>
            <w:r>
              <w:rPr>
                <w:rFonts w:ascii="宋体" w:eastAsia="宋体" w:hAnsi="宋体" w:cs="宋体" w:hint="eastAsia"/>
                <w:bCs/>
                <w:sz w:val="21"/>
                <w:szCs w:val="21"/>
              </w:rPr>
              <w:t>，管理人管理的全部集合资产管理计划投资于同一资产的资金，不得超过该资产的</w:t>
            </w:r>
            <w:r>
              <w:rPr>
                <w:rFonts w:ascii="宋体" w:eastAsia="宋体" w:hAnsi="宋体" w:cs="宋体" w:hint="eastAsia"/>
                <w:bCs/>
                <w:sz w:val="21"/>
                <w:szCs w:val="21"/>
              </w:rPr>
              <w:t>25%</w:t>
            </w:r>
            <w:r>
              <w:rPr>
                <w:rFonts w:ascii="宋体" w:eastAsia="宋体" w:hAnsi="宋体" w:cs="宋体" w:hint="eastAsia"/>
                <w:bCs/>
                <w:sz w:val="21"/>
                <w:szCs w:val="21"/>
              </w:rPr>
              <w:t>，银行活期存款、国债、中央银行票据、政策性金融债、地方政府债券等中国证监会认可的投资品种除外。</w:t>
            </w:r>
          </w:p>
        </w:tc>
      </w:tr>
      <w:tr w:rsidR="00694F14" w14:paraId="75B691C5" w14:textId="77777777">
        <w:trPr>
          <w:trHeight w:val="48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B7C8D38" w14:textId="77777777" w:rsidR="00694F14" w:rsidRDefault="00A463B7">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t>3</w:t>
            </w:r>
          </w:p>
        </w:tc>
        <w:tc>
          <w:tcPr>
            <w:tcW w:w="1417" w:type="dxa"/>
            <w:vAlign w:val="center"/>
          </w:tcPr>
          <w:p w14:paraId="34427995" w14:textId="77777777" w:rsidR="00694F14" w:rsidRDefault="00A463B7">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投资限制</w:t>
            </w:r>
          </w:p>
        </w:tc>
        <w:tc>
          <w:tcPr>
            <w:tcW w:w="7444" w:type="dxa"/>
            <w:vAlign w:val="center"/>
          </w:tcPr>
          <w:p w14:paraId="753F139B"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1</w:t>
            </w:r>
            <w:r>
              <w:rPr>
                <w:rFonts w:ascii="宋体" w:eastAsia="宋体" w:hAnsi="宋体" w:cs="宋体" w:hint="eastAsia"/>
                <w:bCs/>
                <w:sz w:val="21"/>
                <w:szCs w:val="21"/>
              </w:rPr>
              <w:t>、本计划不得投资除公</w:t>
            </w:r>
            <w:proofErr w:type="gramStart"/>
            <w:r>
              <w:rPr>
                <w:rFonts w:ascii="宋体" w:eastAsia="宋体" w:hAnsi="宋体" w:cs="宋体" w:hint="eastAsia"/>
                <w:bCs/>
                <w:sz w:val="21"/>
                <w:szCs w:val="21"/>
              </w:rPr>
              <w:t>募基金</w:t>
            </w:r>
            <w:proofErr w:type="gramEnd"/>
            <w:r>
              <w:rPr>
                <w:rFonts w:ascii="宋体" w:eastAsia="宋体" w:hAnsi="宋体" w:cs="宋体" w:hint="eastAsia"/>
                <w:bCs/>
                <w:sz w:val="21"/>
                <w:szCs w:val="21"/>
              </w:rPr>
              <w:t>以外的其他资产管理产品；</w:t>
            </w:r>
          </w:p>
          <w:p w14:paraId="0FE01048"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2</w:t>
            </w:r>
            <w:r>
              <w:rPr>
                <w:rFonts w:ascii="宋体" w:eastAsia="宋体" w:hAnsi="宋体" w:cs="宋体" w:hint="eastAsia"/>
                <w:bCs/>
                <w:sz w:val="21"/>
                <w:szCs w:val="21"/>
              </w:rPr>
              <w:t>、本计划不得主动投资</w:t>
            </w:r>
            <w:r>
              <w:rPr>
                <w:rFonts w:ascii="宋体" w:eastAsia="宋体" w:hAnsi="宋体" w:cs="宋体" w:hint="eastAsia"/>
                <w:bCs/>
                <w:sz w:val="21"/>
                <w:szCs w:val="21"/>
              </w:rPr>
              <w:t>S</w:t>
            </w:r>
            <w:r>
              <w:rPr>
                <w:rFonts w:ascii="宋体" w:eastAsia="宋体" w:hAnsi="宋体" w:cs="宋体" w:hint="eastAsia"/>
                <w:bCs/>
                <w:sz w:val="21"/>
                <w:szCs w:val="21"/>
              </w:rPr>
              <w:t>、</w:t>
            </w:r>
            <w:r>
              <w:rPr>
                <w:rFonts w:ascii="宋体" w:eastAsia="宋体" w:hAnsi="宋体" w:cs="宋体" w:hint="eastAsia"/>
                <w:bCs/>
                <w:sz w:val="21"/>
                <w:szCs w:val="21"/>
              </w:rPr>
              <w:t>ST</w:t>
            </w:r>
            <w:r>
              <w:rPr>
                <w:rFonts w:ascii="宋体" w:eastAsia="宋体" w:hAnsi="宋体" w:cs="宋体" w:hint="eastAsia"/>
                <w:bCs/>
                <w:sz w:val="21"/>
                <w:szCs w:val="21"/>
              </w:rPr>
              <w:t>、</w:t>
            </w:r>
            <w:r>
              <w:rPr>
                <w:rFonts w:ascii="宋体" w:eastAsia="宋体" w:hAnsi="宋体" w:cs="宋体" w:hint="eastAsia"/>
                <w:bCs/>
                <w:sz w:val="21"/>
                <w:szCs w:val="21"/>
              </w:rPr>
              <w:t>*ST</w:t>
            </w:r>
            <w:r>
              <w:rPr>
                <w:rFonts w:ascii="宋体" w:eastAsia="宋体" w:hAnsi="宋体" w:cs="宋体" w:hint="eastAsia"/>
                <w:bCs/>
                <w:sz w:val="21"/>
                <w:szCs w:val="21"/>
              </w:rPr>
              <w:t>、</w:t>
            </w:r>
            <w:r>
              <w:rPr>
                <w:rFonts w:ascii="宋体" w:eastAsia="宋体" w:hAnsi="宋体" w:cs="宋体" w:hint="eastAsia"/>
                <w:bCs/>
                <w:sz w:val="21"/>
                <w:szCs w:val="21"/>
              </w:rPr>
              <w:t>S*ST</w:t>
            </w:r>
            <w:r>
              <w:rPr>
                <w:rFonts w:ascii="宋体" w:eastAsia="宋体" w:hAnsi="宋体" w:cs="宋体" w:hint="eastAsia"/>
                <w:bCs/>
                <w:sz w:val="21"/>
                <w:szCs w:val="21"/>
              </w:rPr>
              <w:t>及</w:t>
            </w:r>
            <w:r>
              <w:rPr>
                <w:rFonts w:ascii="宋体" w:eastAsia="宋体" w:hAnsi="宋体" w:cs="宋体" w:hint="eastAsia"/>
                <w:bCs/>
                <w:sz w:val="21"/>
                <w:szCs w:val="21"/>
              </w:rPr>
              <w:t>SST</w:t>
            </w:r>
            <w:r>
              <w:rPr>
                <w:rFonts w:ascii="宋体" w:eastAsia="宋体" w:hAnsi="宋体" w:cs="宋体" w:hint="eastAsia"/>
                <w:bCs/>
                <w:sz w:val="21"/>
                <w:szCs w:val="21"/>
              </w:rPr>
              <w:t>类股票；</w:t>
            </w:r>
          </w:p>
          <w:p w14:paraId="21DD4E15"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3</w:t>
            </w:r>
            <w:r>
              <w:rPr>
                <w:rFonts w:ascii="宋体" w:eastAsia="宋体" w:hAnsi="宋体" w:cs="宋体" w:hint="eastAsia"/>
                <w:bCs/>
                <w:sz w:val="21"/>
                <w:szCs w:val="21"/>
              </w:rPr>
              <w:t>、参与股票等证券发行申购时，所申报的金额不得超过计划的总资产，所申报的数量不得超过拟发行公司本次发行的总量；</w:t>
            </w:r>
          </w:p>
          <w:p w14:paraId="420950BF"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4</w:t>
            </w:r>
            <w:r>
              <w:rPr>
                <w:rFonts w:ascii="宋体" w:eastAsia="宋体" w:hAnsi="宋体" w:cs="宋体" w:hint="eastAsia"/>
                <w:bCs/>
                <w:sz w:val="21"/>
                <w:szCs w:val="21"/>
              </w:rPr>
              <w:t>、本计划总资产不得超过本计划净资产的</w:t>
            </w:r>
            <w:r>
              <w:rPr>
                <w:rFonts w:ascii="宋体" w:eastAsia="宋体" w:hAnsi="宋体" w:cs="宋体" w:hint="eastAsia"/>
                <w:bCs/>
                <w:sz w:val="21"/>
                <w:szCs w:val="21"/>
              </w:rPr>
              <w:t>200%</w:t>
            </w:r>
            <w:r>
              <w:rPr>
                <w:rFonts w:ascii="宋体" w:eastAsia="宋体" w:hAnsi="宋体" w:cs="宋体" w:hint="eastAsia"/>
                <w:bCs/>
                <w:sz w:val="21"/>
                <w:szCs w:val="21"/>
              </w:rPr>
              <w:t>；</w:t>
            </w:r>
          </w:p>
          <w:p w14:paraId="7A6B9669"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5</w:t>
            </w:r>
            <w:r>
              <w:rPr>
                <w:rFonts w:ascii="宋体" w:eastAsia="宋体" w:hAnsi="宋体" w:cs="宋体" w:hint="eastAsia"/>
                <w:bCs/>
                <w:sz w:val="21"/>
                <w:szCs w:val="21"/>
              </w:rPr>
              <w:t>、本计划开放退出期内，资产组合中</w:t>
            </w:r>
            <w:r>
              <w:rPr>
                <w:rFonts w:ascii="宋体" w:eastAsia="宋体" w:hAnsi="宋体" w:cs="宋体" w:hint="eastAsia"/>
                <w:bCs/>
                <w:sz w:val="21"/>
                <w:szCs w:val="21"/>
              </w:rPr>
              <w:t>7</w:t>
            </w:r>
            <w:r>
              <w:rPr>
                <w:rFonts w:ascii="宋体" w:eastAsia="宋体" w:hAnsi="宋体" w:cs="宋体" w:hint="eastAsia"/>
                <w:bCs/>
                <w:sz w:val="21"/>
                <w:szCs w:val="21"/>
              </w:rPr>
              <w:t>个工作日可变现资产的价值，不低于本计划资产净值的</w:t>
            </w:r>
            <w:r>
              <w:rPr>
                <w:rFonts w:ascii="宋体" w:eastAsia="宋体" w:hAnsi="宋体" w:cs="宋体" w:hint="eastAsia"/>
                <w:bCs/>
                <w:sz w:val="21"/>
                <w:szCs w:val="21"/>
              </w:rPr>
              <w:t>10%</w:t>
            </w:r>
            <w:r>
              <w:rPr>
                <w:rFonts w:ascii="宋体" w:eastAsia="宋体" w:hAnsi="宋体" w:cs="宋体" w:hint="eastAsia"/>
                <w:bCs/>
                <w:sz w:val="21"/>
                <w:szCs w:val="21"/>
              </w:rPr>
              <w:t>；</w:t>
            </w:r>
          </w:p>
          <w:p w14:paraId="0C7630FC"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lastRenderedPageBreak/>
              <w:t>6</w:t>
            </w:r>
            <w:r>
              <w:rPr>
                <w:rFonts w:ascii="宋体" w:eastAsia="宋体" w:hAnsi="宋体" w:cs="宋体" w:hint="eastAsia"/>
                <w:bCs/>
                <w:sz w:val="21"/>
                <w:szCs w:val="21"/>
              </w:rPr>
              <w:t>、本计划主动投资于流动性受限资产的市值在开放退出期内合计不得超过本计划资产净值的</w:t>
            </w:r>
            <w:r>
              <w:rPr>
                <w:rFonts w:ascii="宋体" w:eastAsia="宋体" w:hAnsi="宋体" w:cs="宋体" w:hint="eastAsia"/>
                <w:bCs/>
                <w:sz w:val="21"/>
                <w:szCs w:val="21"/>
              </w:rPr>
              <w:t>20%</w:t>
            </w:r>
            <w:r>
              <w:rPr>
                <w:rFonts w:ascii="宋体" w:eastAsia="宋体" w:hAnsi="宋体" w:cs="宋体" w:hint="eastAsia"/>
                <w:bCs/>
                <w:sz w:val="21"/>
                <w:szCs w:val="21"/>
              </w:rPr>
              <w:t>；</w:t>
            </w:r>
          </w:p>
          <w:p w14:paraId="2D41EA52"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7</w:t>
            </w:r>
            <w:r>
              <w:rPr>
                <w:rFonts w:ascii="宋体" w:eastAsia="宋体" w:hAnsi="宋体" w:cs="宋体" w:hint="eastAsia"/>
                <w:bCs/>
                <w:sz w:val="21"/>
                <w:szCs w:val="21"/>
              </w:rPr>
              <w:t>、本计划投资资产支持证券所</w:t>
            </w:r>
            <w:r>
              <w:rPr>
                <w:rFonts w:ascii="宋体" w:eastAsia="宋体" w:hAnsi="宋体" w:cs="宋体" w:hint="eastAsia"/>
                <w:bCs/>
                <w:sz w:val="21"/>
                <w:szCs w:val="21"/>
              </w:rPr>
              <w:t>投资基础资产不包含信托计划、私募基金、</w:t>
            </w:r>
            <w:proofErr w:type="gramStart"/>
            <w:r>
              <w:rPr>
                <w:rFonts w:ascii="宋体" w:eastAsia="宋体" w:hAnsi="宋体" w:cs="宋体" w:hint="eastAsia"/>
                <w:bCs/>
                <w:sz w:val="21"/>
                <w:szCs w:val="21"/>
              </w:rPr>
              <w:t>资管产品</w:t>
            </w:r>
            <w:proofErr w:type="gramEnd"/>
            <w:r>
              <w:rPr>
                <w:rFonts w:ascii="宋体" w:eastAsia="宋体" w:hAnsi="宋体" w:cs="宋体" w:hint="eastAsia"/>
                <w:bCs/>
                <w:sz w:val="21"/>
                <w:szCs w:val="21"/>
              </w:rPr>
              <w:t>和其他收（受）益权</w:t>
            </w:r>
            <w:r>
              <w:rPr>
                <w:rFonts w:ascii="宋体" w:eastAsia="宋体" w:hAnsi="宋体" w:cs="宋体" w:hint="eastAsia"/>
                <w:bCs/>
                <w:sz w:val="21"/>
                <w:szCs w:val="21"/>
              </w:rPr>
              <w:t>；</w:t>
            </w:r>
          </w:p>
          <w:p w14:paraId="54C71D29" w14:textId="77777777" w:rsidR="00694F14" w:rsidRDefault="00A463B7">
            <w:pPr>
              <w:spacing w:line="300" w:lineRule="auto"/>
              <w:ind w:right="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8</w:t>
            </w:r>
            <w:r>
              <w:rPr>
                <w:rFonts w:ascii="宋体" w:eastAsia="宋体" w:hAnsi="宋体" w:cs="宋体" w:hint="eastAsia"/>
                <w:bCs/>
                <w:sz w:val="21"/>
                <w:szCs w:val="21"/>
              </w:rPr>
              <w:t>、本计划不得投资资产支持证券、资产支持票据的劣后级</w:t>
            </w:r>
            <w:r>
              <w:rPr>
                <w:rFonts w:ascii="宋体" w:eastAsia="宋体" w:hAnsi="宋体" w:cs="宋体" w:hint="eastAsia"/>
                <w:bCs/>
                <w:sz w:val="21"/>
                <w:szCs w:val="21"/>
              </w:rPr>
              <w:t>。</w:t>
            </w:r>
          </w:p>
        </w:tc>
      </w:tr>
      <w:tr w:rsidR="00694F14" w14:paraId="18A95E80"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80337A3" w14:textId="77777777" w:rsidR="00694F14" w:rsidRDefault="00A463B7">
            <w:pPr>
              <w:spacing w:line="300" w:lineRule="auto"/>
              <w:ind w:right="34"/>
              <w:jc w:val="center"/>
              <w:rPr>
                <w:rFonts w:ascii="宋体" w:eastAsia="宋体" w:hAnsi="宋体" w:cs="宋体"/>
                <w:bCs/>
                <w:sz w:val="21"/>
                <w:szCs w:val="21"/>
              </w:rPr>
            </w:pPr>
            <w:r>
              <w:rPr>
                <w:rFonts w:ascii="宋体" w:eastAsia="宋体" w:hAnsi="宋体" w:cs="宋体" w:hint="eastAsia"/>
                <w:bCs/>
                <w:sz w:val="21"/>
                <w:szCs w:val="21"/>
              </w:rPr>
              <w:lastRenderedPageBreak/>
              <w:t>4</w:t>
            </w:r>
          </w:p>
        </w:tc>
        <w:tc>
          <w:tcPr>
            <w:tcW w:w="1417" w:type="dxa"/>
            <w:vAlign w:val="center"/>
          </w:tcPr>
          <w:p w14:paraId="2E7A58D5" w14:textId="77777777" w:rsidR="00694F14" w:rsidRDefault="00A463B7">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预警</w:t>
            </w:r>
          </w:p>
        </w:tc>
        <w:tc>
          <w:tcPr>
            <w:tcW w:w="7444" w:type="dxa"/>
            <w:vAlign w:val="center"/>
          </w:tcPr>
          <w:p w14:paraId="26AEBD85" w14:textId="77777777" w:rsidR="00694F14" w:rsidRDefault="00A463B7">
            <w:pPr>
              <w:spacing w:line="300" w:lineRule="auto"/>
              <w:ind w:right="480"/>
              <w:cnfStyle w:val="000000000000" w:firstRow="0" w:lastRow="0" w:firstColumn="0" w:lastColumn="0" w:oddVBand="0" w:evenVBand="0" w:oddHBand="0" w:evenHBand="0" w:firstRowFirstColumn="0" w:firstRowLastColumn="0" w:lastRowFirstColumn="0" w:lastRowLastColumn="0"/>
              <w:rPr>
                <w:rFonts w:ascii="宋体" w:eastAsia="宋体" w:hAnsi="宋体" w:cs="宋体"/>
                <w:bCs/>
                <w:sz w:val="21"/>
                <w:szCs w:val="21"/>
              </w:rPr>
            </w:pPr>
            <w:r>
              <w:rPr>
                <w:rFonts w:ascii="宋体" w:eastAsia="宋体" w:hAnsi="宋体" w:cs="宋体" w:hint="eastAsia"/>
                <w:bCs/>
                <w:sz w:val="21"/>
                <w:szCs w:val="21"/>
              </w:rPr>
              <w:t>预警线：本计划份额净值【</w:t>
            </w:r>
            <w:r>
              <w:rPr>
                <w:rFonts w:ascii="宋体" w:eastAsia="宋体" w:hAnsi="宋体" w:cs="宋体" w:hint="eastAsia"/>
                <w:bCs/>
                <w:sz w:val="21"/>
                <w:szCs w:val="21"/>
              </w:rPr>
              <w:t>0.7500</w:t>
            </w:r>
            <w:r>
              <w:rPr>
                <w:rFonts w:ascii="宋体" w:eastAsia="宋体" w:hAnsi="宋体" w:cs="宋体" w:hint="eastAsia"/>
                <w:bCs/>
                <w:sz w:val="21"/>
                <w:szCs w:val="21"/>
              </w:rPr>
              <w:t>】元</w:t>
            </w:r>
          </w:p>
        </w:tc>
      </w:tr>
    </w:tbl>
    <w:p w14:paraId="349B1D68" w14:textId="77777777" w:rsidR="00694F14" w:rsidRDefault="00694F14">
      <w:pPr>
        <w:spacing w:line="300" w:lineRule="auto"/>
        <w:ind w:right="480"/>
        <w:rPr>
          <w:rFonts w:ascii="宋体" w:eastAsia="宋体" w:hAnsi="宋体" w:cs="宋体"/>
          <w:b/>
          <w:szCs w:val="21"/>
        </w:rPr>
      </w:pPr>
    </w:p>
    <w:p w14:paraId="3DC3EE81" w14:textId="77777777" w:rsidR="00694F14" w:rsidRDefault="00A463B7">
      <w:pPr>
        <w:ind w:right="482"/>
        <w:rPr>
          <w:rFonts w:ascii="宋体" w:eastAsia="宋体" w:hAnsi="宋体" w:cs="宋体"/>
          <w:b/>
          <w:sz w:val="21"/>
          <w:szCs w:val="21"/>
        </w:rPr>
      </w:pPr>
      <w:r>
        <w:rPr>
          <w:rFonts w:ascii="宋体" w:eastAsia="宋体" w:hAnsi="宋体" w:cs="宋体" w:hint="eastAsia"/>
          <w:b/>
          <w:sz w:val="21"/>
          <w:szCs w:val="21"/>
        </w:rPr>
        <w:t>备注：</w:t>
      </w:r>
    </w:p>
    <w:p w14:paraId="20A1AEE5" w14:textId="77777777" w:rsidR="00694F14" w:rsidRDefault="00A463B7">
      <w:pPr>
        <w:ind w:right="482"/>
        <w:rPr>
          <w:rFonts w:ascii="宋体" w:eastAsia="宋体" w:hAnsi="宋体" w:cs="宋体"/>
          <w:b/>
          <w:sz w:val="21"/>
          <w:szCs w:val="21"/>
        </w:rPr>
      </w:pPr>
      <w:r>
        <w:rPr>
          <w:rFonts w:ascii="宋体" w:eastAsia="宋体" w:hAnsi="宋体" w:cs="宋体" w:hint="eastAsia"/>
          <w:b/>
          <w:sz w:val="21"/>
          <w:szCs w:val="21"/>
        </w:rPr>
        <w:t>1</w:t>
      </w:r>
      <w:r>
        <w:rPr>
          <w:rFonts w:ascii="宋体" w:eastAsia="宋体" w:hAnsi="宋体" w:cs="宋体" w:hint="eastAsia"/>
          <w:b/>
          <w:sz w:val="21"/>
          <w:szCs w:val="21"/>
        </w:rPr>
        <w:t>、托管人负责场外债券分销买入时，债项信用等级或主体信用等级的控制，其它时点的债项或主体的信用等级由管理人负责。</w:t>
      </w:r>
    </w:p>
    <w:p w14:paraId="75BF4D79" w14:textId="77777777" w:rsidR="00694F14" w:rsidRDefault="00A463B7">
      <w:pPr>
        <w:ind w:right="482"/>
        <w:rPr>
          <w:rFonts w:ascii="宋体" w:eastAsia="宋体" w:hAnsi="宋体" w:cs="宋体"/>
          <w:sz w:val="21"/>
          <w:szCs w:val="21"/>
        </w:rPr>
      </w:pPr>
      <w:r>
        <w:rPr>
          <w:rFonts w:ascii="宋体" w:eastAsia="宋体" w:hAnsi="宋体" w:cs="宋体" w:hint="eastAsia"/>
          <w:b/>
          <w:sz w:val="21"/>
          <w:szCs w:val="21"/>
        </w:rPr>
        <w:t>2</w:t>
      </w:r>
      <w:r>
        <w:rPr>
          <w:rFonts w:ascii="宋体" w:eastAsia="宋体" w:hAnsi="宋体" w:cs="宋体" w:hint="eastAsia"/>
          <w:b/>
          <w:sz w:val="21"/>
          <w:szCs w:val="21"/>
        </w:rPr>
        <w:t>、托管人越权交易监督的真实性、准确性、及时性和完整性受限于管理人、证券经纪商、期货经纪商及其他中介机构提供的数据和信息，合</w:t>
      </w:r>
      <w:proofErr w:type="gramStart"/>
      <w:r>
        <w:rPr>
          <w:rFonts w:ascii="宋体" w:eastAsia="宋体" w:hAnsi="宋体" w:cs="宋体" w:hint="eastAsia"/>
          <w:b/>
          <w:sz w:val="21"/>
          <w:szCs w:val="21"/>
        </w:rPr>
        <w:t>规</w:t>
      </w:r>
      <w:proofErr w:type="gramEnd"/>
      <w:r>
        <w:rPr>
          <w:rFonts w:ascii="宋体" w:eastAsia="宋体" w:hAnsi="宋体" w:cs="宋体" w:hint="eastAsia"/>
          <w:b/>
          <w:sz w:val="21"/>
          <w:szCs w:val="21"/>
        </w:rPr>
        <w:t>投资的责任在管理人。由对上述机构提供信息的错误、遗漏或延迟所引起的损失由过错方承担责任。</w:t>
      </w:r>
    </w:p>
    <w:p w14:paraId="470C0355" w14:textId="77777777" w:rsidR="00694F14" w:rsidRDefault="00A463B7">
      <w:pPr>
        <w:widowControl/>
        <w:jc w:val="left"/>
        <w:rPr>
          <w:rFonts w:ascii="华文宋体" w:hAnsi="华文宋体"/>
        </w:rPr>
      </w:pPr>
      <w:r>
        <w:rPr>
          <w:rFonts w:ascii="华文宋体" w:hAnsi="华文宋体"/>
        </w:rPr>
        <w:br w:type="page"/>
      </w:r>
    </w:p>
    <w:p w14:paraId="32E8AEC5" w14:textId="77777777" w:rsidR="00694F14" w:rsidRDefault="00A463B7">
      <w:pPr>
        <w:pStyle w:val="1"/>
        <w:rPr>
          <w:rFonts w:ascii="宋体" w:eastAsia="宋体" w:hAnsi="宋体" w:cs="宋体"/>
          <w:b w:val="0"/>
        </w:rPr>
      </w:pPr>
      <w:bookmarkStart w:id="89" w:name="_Toc70622212"/>
      <w:r>
        <w:rPr>
          <w:rFonts w:ascii="宋体" w:eastAsia="宋体" w:hAnsi="宋体" w:cs="宋体" w:hint="eastAsia"/>
          <w:sz w:val="24"/>
        </w:rPr>
        <w:lastRenderedPageBreak/>
        <w:t>附件</w:t>
      </w:r>
      <w:bookmarkEnd w:id="88"/>
      <w:r>
        <w:rPr>
          <w:rFonts w:ascii="宋体" w:eastAsia="宋体" w:hAnsi="宋体" w:cs="宋体" w:hint="eastAsia"/>
          <w:sz w:val="24"/>
        </w:rPr>
        <w:t>二</w:t>
      </w:r>
      <w:bookmarkEnd w:id="89"/>
    </w:p>
    <w:p w14:paraId="23857BB5" w14:textId="77777777" w:rsidR="00694F14" w:rsidRDefault="00A463B7">
      <w:pPr>
        <w:spacing w:line="360" w:lineRule="auto"/>
        <w:jc w:val="center"/>
        <w:rPr>
          <w:rFonts w:ascii="宋体" w:eastAsia="宋体" w:hAnsi="宋体" w:cs="宋体"/>
          <w:b/>
          <w:sz w:val="30"/>
          <w:szCs w:val="30"/>
        </w:rPr>
      </w:pPr>
      <w:r>
        <w:rPr>
          <w:rFonts w:ascii="宋体" w:eastAsia="宋体" w:hAnsi="宋体" w:cs="宋体" w:hint="eastAsia"/>
          <w:b/>
          <w:sz w:val="30"/>
          <w:szCs w:val="30"/>
        </w:rPr>
        <w:t>光大期货光大理财阳光</w:t>
      </w:r>
      <w:proofErr w:type="gramStart"/>
      <w:r>
        <w:rPr>
          <w:rFonts w:ascii="宋体" w:eastAsia="宋体" w:hAnsi="宋体" w:cs="宋体" w:hint="eastAsia"/>
          <w:b/>
          <w:sz w:val="30"/>
          <w:szCs w:val="30"/>
        </w:rPr>
        <w:t>橙</w:t>
      </w:r>
      <w:proofErr w:type="gramEnd"/>
      <w:r>
        <w:rPr>
          <w:rFonts w:ascii="宋体" w:eastAsia="宋体" w:hAnsi="宋体" w:cs="宋体" w:hint="eastAsia"/>
          <w:b/>
          <w:sz w:val="30"/>
          <w:szCs w:val="30"/>
        </w:rPr>
        <w:t>精选</w:t>
      </w:r>
      <w:r>
        <w:rPr>
          <w:rFonts w:ascii="宋体" w:eastAsia="宋体" w:hAnsi="宋体" w:cs="宋体" w:hint="eastAsia"/>
          <w:b/>
          <w:sz w:val="30"/>
          <w:szCs w:val="30"/>
        </w:rPr>
        <w:t>1</w:t>
      </w:r>
      <w:r>
        <w:rPr>
          <w:rFonts w:ascii="宋体" w:eastAsia="宋体" w:hAnsi="宋体" w:cs="宋体" w:hint="eastAsia"/>
          <w:b/>
          <w:sz w:val="30"/>
          <w:szCs w:val="30"/>
        </w:rPr>
        <w:t>号</w:t>
      </w:r>
      <w:r>
        <w:rPr>
          <w:rFonts w:ascii="宋体" w:eastAsia="宋体" w:hAnsi="宋体" w:cs="宋体" w:hint="eastAsia"/>
          <w:b/>
          <w:sz w:val="30"/>
          <w:szCs w:val="30"/>
        </w:rPr>
        <w:t>集合资产管理计划</w:t>
      </w:r>
    </w:p>
    <w:p w14:paraId="52E794D0" w14:textId="77777777" w:rsidR="00694F14" w:rsidRDefault="00A463B7">
      <w:pPr>
        <w:spacing w:line="360" w:lineRule="auto"/>
        <w:jc w:val="center"/>
        <w:rPr>
          <w:rFonts w:ascii="宋体" w:eastAsia="宋体" w:hAnsi="宋体" w:cs="宋体"/>
          <w:b/>
          <w:sz w:val="30"/>
          <w:szCs w:val="30"/>
        </w:rPr>
      </w:pPr>
      <w:r>
        <w:rPr>
          <w:rFonts w:ascii="宋体" w:eastAsia="宋体" w:hAnsi="宋体" w:cs="宋体" w:hint="eastAsia"/>
          <w:b/>
          <w:sz w:val="30"/>
          <w:szCs w:val="30"/>
        </w:rPr>
        <w:t>风险揭示书</w:t>
      </w:r>
    </w:p>
    <w:p w14:paraId="1944C309" w14:textId="77777777" w:rsidR="00694F14" w:rsidRDefault="00694F14">
      <w:pPr>
        <w:pStyle w:val="a4"/>
        <w:rPr>
          <w:rFonts w:ascii="宋体" w:eastAsia="宋体" w:hAnsi="宋体" w:cs="宋体"/>
          <w:b/>
          <w:szCs w:val="24"/>
        </w:rPr>
      </w:pPr>
    </w:p>
    <w:p w14:paraId="7DFAF114" w14:textId="77777777" w:rsidR="00694F14" w:rsidRDefault="00694F14">
      <w:pPr>
        <w:pStyle w:val="a4"/>
        <w:rPr>
          <w:rFonts w:ascii="宋体" w:eastAsia="宋体" w:hAnsi="宋体" w:cs="宋体"/>
          <w:b/>
          <w:szCs w:val="24"/>
        </w:rPr>
      </w:pPr>
    </w:p>
    <w:p w14:paraId="1EFF910A" w14:textId="77777777" w:rsidR="00694F14" w:rsidRDefault="00694F14">
      <w:pPr>
        <w:rPr>
          <w:rFonts w:ascii="宋体" w:eastAsia="宋体" w:hAnsi="宋体" w:cs="宋体"/>
          <w:szCs w:val="21"/>
        </w:rPr>
      </w:pPr>
    </w:p>
    <w:p w14:paraId="4D6C0160" w14:textId="77777777" w:rsidR="00694F14" w:rsidRDefault="00A463B7">
      <w:pPr>
        <w:pStyle w:val="aff"/>
        <w:spacing w:line="360" w:lineRule="auto"/>
        <w:ind w:firstLine="0"/>
        <w:rPr>
          <w:rFonts w:hAnsi="宋体" w:cs="宋体"/>
          <w:szCs w:val="21"/>
        </w:rPr>
      </w:pPr>
      <w:r>
        <w:rPr>
          <w:rFonts w:hAnsi="宋体" w:cs="宋体" w:hint="eastAsia"/>
          <w:szCs w:val="21"/>
        </w:rPr>
        <w:t>尊敬的投资者：</w:t>
      </w:r>
    </w:p>
    <w:p w14:paraId="437DAA6C" w14:textId="77777777" w:rsidR="00694F14" w:rsidRDefault="00A463B7">
      <w:pPr>
        <w:pStyle w:val="aff"/>
        <w:spacing w:line="360" w:lineRule="auto"/>
        <w:ind w:firstLine="420"/>
        <w:rPr>
          <w:rFonts w:hAnsi="宋体" w:cs="宋体"/>
          <w:szCs w:val="21"/>
        </w:rPr>
      </w:pPr>
      <w:r>
        <w:rPr>
          <w:rFonts w:hAnsi="宋体" w:cs="宋体" w:hint="eastAsia"/>
          <w:szCs w:val="21"/>
        </w:rPr>
        <w:t>投资有风险。当您</w:t>
      </w:r>
      <w:r>
        <w:rPr>
          <w:rFonts w:hAnsi="宋体" w:cs="宋体" w:hint="eastAsia"/>
          <w:szCs w:val="21"/>
        </w:rPr>
        <w:t>/</w:t>
      </w:r>
      <w:proofErr w:type="gramStart"/>
      <w:r>
        <w:rPr>
          <w:rFonts w:hAnsi="宋体" w:cs="宋体" w:hint="eastAsia"/>
          <w:szCs w:val="21"/>
        </w:rPr>
        <w:t>贵机构</w:t>
      </w:r>
      <w:proofErr w:type="gramEnd"/>
      <w:r>
        <w:rPr>
          <w:rFonts w:hAnsi="宋体" w:cs="宋体" w:hint="eastAsia"/>
          <w:szCs w:val="21"/>
        </w:rPr>
        <w:t>参与资产管理计划时，可能获得投资收益，但同时也面临着投资亏损的风险。您</w:t>
      </w:r>
      <w:r>
        <w:rPr>
          <w:rFonts w:hAnsi="宋体" w:cs="宋体" w:hint="eastAsia"/>
          <w:szCs w:val="21"/>
        </w:rPr>
        <w:t>/</w:t>
      </w:r>
      <w:proofErr w:type="gramStart"/>
      <w:r>
        <w:rPr>
          <w:rFonts w:hAnsi="宋体" w:cs="宋体" w:hint="eastAsia"/>
          <w:szCs w:val="21"/>
        </w:rPr>
        <w:t>贵机构</w:t>
      </w:r>
      <w:proofErr w:type="gramEnd"/>
      <w:r>
        <w:rPr>
          <w:rFonts w:hAnsi="宋体" w:cs="宋体" w:hint="eastAsia"/>
          <w:szCs w:val="21"/>
        </w:rPr>
        <w:t>在</w:t>
      </w:r>
      <w:proofErr w:type="gramStart"/>
      <w:r>
        <w:rPr>
          <w:rFonts w:hAnsi="宋体" w:cs="宋体" w:hint="eastAsia"/>
          <w:szCs w:val="21"/>
        </w:rPr>
        <w:t>作出</w:t>
      </w:r>
      <w:proofErr w:type="gramEnd"/>
      <w:r>
        <w:rPr>
          <w:rFonts w:hAnsi="宋体" w:cs="宋体" w:hint="eastAsia"/>
          <w:szCs w:val="21"/>
        </w:rPr>
        <w:t>投资决策之前，请仔细阅读</w:t>
      </w:r>
      <w:proofErr w:type="gramStart"/>
      <w:r>
        <w:rPr>
          <w:rFonts w:hAnsi="宋体" w:cs="宋体" w:hint="eastAsia"/>
          <w:szCs w:val="21"/>
        </w:rPr>
        <w:t>本风险</w:t>
      </w:r>
      <w:proofErr w:type="gramEnd"/>
      <w:r>
        <w:rPr>
          <w:rFonts w:hAnsi="宋体" w:cs="宋体" w:hint="eastAsia"/>
          <w:szCs w:val="21"/>
        </w:rPr>
        <w:t>揭示书和资产管理合同，充分认识本计划的风险收益特征和产品特性，认真考虑资产管理计划存在的各项风险因素，并充分考虑自身的风险承受能力，理性判断并谨慎</w:t>
      </w:r>
      <w:proofErr w:type="gramStart"/>
      <w:r>
        <w:rPr>
          <w:rFonts w:hAnsi="宋体" w:cs="宋体" w:hint="eastAsia"/>
          <w:szCs w:val="21"/>
        </w:rPr>
        <w:t>作出</w:t>
      </w:r>
      <w:proofErr w:type="gramEnd"/>
      <w:r>
        <w:rPr>
          <w:rFonts w:hAnsi="宋体" w:cs="宋体" w:hint="eastAsia"/>
          <w:szCs w:val="21"/>
        </w:rPr>
        <w:t>投资决策。</w:t>
      </w:r>
    </w:p>
    <w:p w14:paraId="46FFD650" w14:textId="77777777" w:rsidR="00694F14" w:rsidRDefault="00A463B7">
      <w:pPr>
        <w:pStyle w:val="aff"/>
        <w:spacing w:line="360" w:lineRule="auto"/>
        <w:ind w:firstLine="420"/>
        <w:rPr>
          <w:rFonts w:hAnsi="宋体" w:cs="宋体"/>
          <w:szCs w:val="21"/>
        </w:rPr>
      </w:pPr>
      <w:r>
        <w:rPr>
          <w:rFonts w:hAnsi="宋体" w:cs="宋体" w:hint="eastAsia"/>
          <w:szCs w:val="21"/>
        </w:rPr>
        <w:t>根据有关法律法规，管理人</w:t>
      </w:r>
      <w:r>
        <w:rPr>
          <w:rFonts w:hAnsi="宋体" w:cs="宋体" w:hint="eastAsia"/>
          <w:szCs w:val="21"/>
        </w:rPr>
        <w:t>[</w:t>
      </w:r>
      <w:r>
        <w:rPr>
          <w:rFonts w:hAnsi="宋体" w:cs="宋体" w:hint="eastAsia"/>
          <w:szCs w:val="21"/>
        </w:rPr>
        <w:t>光大期货有限公司</w:t>
      </w:r>
      <w:r>
        <w:rPr>
          <w:rFonts w:hAnsi="宋体" w:cs="宋体" w:hint="eastAsia"/>
          <w:szCs w:val="21"/>
        </w:rPr>
        <w:t>]</w:t>
      </w:r>
      <w:r>
        <w:rPr>
          <w:rFonts w:hAnsi="宋体" w:cs="宋体" w:hint="eastAsia"/>
          <w:szCs w:val="21"/>
        </w:rPr>
        <w:t>及投资者分别</w:t>
      </w:r>
      <w:proofErr w:type="gramStart"/>
      <w:r>
        <w:rPr>
          <w:rFonts w:hAnsi="宋体" w:cs="宋体" w:hint="eastAsia"/>
          <w:szCs w:val="21"/>
        </w:rPr>
        <w:t>作出</w:t>
      </w:r>
      <w:proofErr w:type="gramEnd"/>
      <w:r>
        <w:rPr>
          <w:rFonts w:hAnsi="宋体" w:cs="宋体" w:hint="eastAsia"/>
          <w:szCs w:val="21"/>
        </w:rPr>
        <w:t>如下承诺、风险揭示及声明：</w:t>
      </w:r>
    </w:p>
    <w:p w14:paraId="5FCD962C" w14:textId="77777777" w:rsidR="00694F14" w:rsidRDefault="00A463B7">
      <w:pPr>
        <w:pStyle w:val="aff"/>
        <w:spacing w:line="360" w:lineRule="auto"/>
        <w:ind w:firstLine="420"/>
        <w:rPr>
          <w:rFonts w:hAnsi="宋体" w:cs="宋体"/>
          <w:szCs w:val="21"/>
        </w:rPr>
      </w:pPr>
      <w:r>
        <w:rPr>
          <w:rFonts w:hAnsi="宋体" w:cs="宋体" w:hint="eastAsia"/>
          <w:szCs w:val="21"/>
        </w:rPr>
        <w:t>一、管理人声明与承诺</w:t>
      </w:r>
    </w:p>
    <w:p w14:paraId="6D071164" w14:textId="77777777" w:rsidR="00694F14" w:rsidRDefault="00A463B7">
      <w:pPr>
        <w:pStyle w:val="aff"/>
        <w:spacing w:line="360" w:lineRule="auto"/>
        <w:ind w:firstLine="420"/>
        <w:rPr>
          <w:rFonts w:hAnsi="宋体" w:cs="宋体"/>
          <w:szCs w:val="21"/>
        </w:rPr>
      </w:pPr>
      <w:r>
        <w:rPr>
          <w:rFonts w:hAnsi="宋体" w:cs="宋体" w:hint="eastAsia"/>
          <w:szCs w:val="21"/>
        </w:rPr>
        <w:t>（一）管理人向投资者声明，中国证券投资基金业协会（以下简称“证券投资基金业协会”）为资产管理计划办理备</w:t>
      </w:r>
      <w:r>
        <w:rPr>
          <w:rFonts w:hAnsi="宋体" w:cs="宋体" w:hint="eastAsia"/>
          <w:szCs w:val="21"/>
        </w:rPr>
        <w:t>案不构成对管理人投资能力、持续合</w:t>
      </w:r>
      <w:proofErr w:type="gramStart"/>
      <w:r>
        <w:rPr>
          <w:rFonts w:hAnsi="宋体" w:cs="宋体" w:hint="eastAsia"/>
          <w:szCs w:val="21"/>
        </w:rPr>
        <w:t>规</w:t>
      </w:r>
      <w:proofErr w:type="gramEnd"/>
      <w:r>
        <w:rPr>
          <w:rFonts w:hAnsi="宋体" w:cs="宋体" w:hint="eastAsia"/>
          <w:szCs w:val="21"/>
        </w:rPr>
        <w:t>情况的认可；不作为对资产管理计划财产安全的保证。</w:t>
      </w:r>
    </w:p>
    <w:p w14:paraId="43330963" w14:textId="77777777" w:rsidR="00694F14" w:rsidRDefault="00A463B7">
      <w:pPr>
        <w:pStyle w:val="aff"/>
        <w:spacing w:line="360" w:lineRule="auto"/>
        <w:ind w:firstLine="420"/>
        <w:rPr>
          <w:rFonts w:hAnsi="宋体" w:cs="宋体"/>
          <w:szCs w:val="21"/>
        </w:rPr>
      </w:pPr>
      <w:r>
        <w:rPr>
          <w:rFonts w:hAnsi="宋体" w:cs="宋体" w:hint="eastAsia"/>
          <w:szCs w:val="21"/>
        </w:rPr>
        <w:t>（二）管理人保证在投资者签署资产管理合同前已（或已委托销售机构）向投资者揭示了相关风险；已经了解投资者的风险偏好、风险认知能力和承受能力。</w:t>
      </w:r>
    </w:p>
    <w:p w14:paraId="17FBEFB6" w14:textId="77777777" w:rsidR="00694F14" w:rsidRDefault="00A463B7">
      <w:pPr>
        <w:pStyle w:val="aff"/>
        <w:spacing w:line="360" w:lineRule="auto"/>
        <w:ind w:firstLine="420"/>
        <w:rPr>
          <w:rFonts w:hAnsi="宋体" w:cs="宋体"/>
          <w:szCs w:val="21"/>
        </w:rPr>
      </w:pPr>
      <w:r>
        <w:rPr>
          <w:rFonts w:hAnsi="宋体" w:cs="宋体" w:hint="eastAsia"/>
          <w:szCs w:val="21"/>
        </w:rPr>
        <w:t>（三）管理人承诺按照恪尽职守、诚实信用、谨慎勤勉的原则管理运用资产管理计划财产，不保证资产管理计划财产一定盈利，也不保证最低收益。</w:t>
      </w:r>
    </w:p>
    <w:p w14:paraId="3727DD4E" w14:textId="77777777" w:rsidR="00694F14" w:rsidRDefault="00A463B7">
      <w:pPr>
        <w:pStyle w:val="aff"/>
        <w:spacing w:line="360" w:lineRule="auto"/>
        <w:ind w:firstLine="420"/>
        <w:rPr>
          <w:rFonts w:hAnsi="宋体" w:cs="宋体"/>
          <w:szCs w:val="21"/>
        </w:rPr>
      </w:pPr>
      <w:r>
        <w:rPr>
          <w:rFonts w:hAnsi="宋体" w:cs="宋体" w:hint="eastAsia"/>
          <w:szCs w:val="21"/>
        </w:rPr>
        <w:t xml:space="preserve">   </w:t>
      </w:r>
      <w:r>
        <w:rPr>
          <w:rFonts w:hAnsi="宋体" w:cs="宋体" w:hint="eastAsia"/>
          <w:szCs w:val="21"/>
        </w:rPr>
        <w:t>二、风险揭示</w:t>
      </w:r>
    </w:p>
    <w:p w14:paraId="0F61B80E" w14:textId="77777777" w:rsidR="00694F14" w:rsidRDefault="00A463B7">
      <w:pPr>
        <w:pStyle w:val="aff"/>
        <w:spacing w:line="360" w:lineRule="auto"/>
        <w:ind w:firstLine="420"/>
        <w:rPr>
          <w:rFonts w:hAnsi="宋体" w:cs="宋体"/>
          <w:szCs w:val="21"/>
        </w:rPr>
      </w:pPr>
      <w:r>
        <w:rPr>
          <w:rFonts w:hAnsi="宋体" w:cs="宋体" w:hint="eastAsia"/>
          <w:szCs w:val="21"/>
        </w:rPr>
        <w:t>（一）特殊风险揭示</w:t>
      </w:r>
    </w:p>
    <w:p w14:paraId="32DEA5D6" w14:textId="77777777" w:rsidR="00694F14" w:rsidRDefault="00A463B7">
      <w:pPr>
        <w:pStyle w:val="aff"/>
        <w:spacing w:line="360" w:lineRule="auto"/>
        <w:ind w:firstLine="420"/>
        <w:rPr>
          <w:rFonts w:hAnsi="宋体" w:cs="宋体"/>
          <w:szCs w:val="21"/>
        </w:rPr>
      </w:pPr>
      <w:r>
        <w:rPr>
          <w:rFonts w:hAnsi="宋体" w:cs="宋体" w:hint="eastAsia"/>
          <w:szCs w:val="21"/>
        </w:rPr>
        <w:t>若存在以下事项，应特别揭示风险：</w:t>
      </w:r>
    </w:p>
    <w:p w14:paraId="228CD7CA" w14:textId="77777777" w:rsidR="00694F14" w:rsidRDefault="00A463B7">
      <w:pPr>
        <w:pStyle w:val="aff"/>
        <w:spacing w:line="360" w:lineRule="auto"/>
        <w:ind w:firstLine="420"/>
        <w:rPr>
          <w:rFonts w:hAnsi="宋体" w:cs="宋体"/>
          <w:szCs w:val="21"/>
        </w:rPr>
      </w:pPr>
      <w:r>
        <w:rPr>
          <w:rFonts w:hAnsi="宋体" w:cs="宋体" w:hint="eastAsia"/>
          <w:szCs w:val="21"/>
        </w:rPr>
        <w:t>1</w:t>
      </w:r>
      <w:r>
        <w:rPr>
          <w:rFonts w:hAnsi="宋体" w:cs="宋体" w:hint="eastAsia"/>
          <w:szCs w:val="21"/>
        </w:rPr>
        <w:t>、资产管理合同与证券投资基金业协会合同指引不一致所涉风险</w:t>
      </w:r>
    </w:p>
    <w:p w14:paraId="103F1A15" w14:textId="77777777" w:rsidR="00694F14" w:rsidRDefault="00A463B7">
      <w:pPr>
        <w:pStyle w:val="aff"/>
        <w:spacing w:line="360" w:lineRule="auto"/>
        <w:ind w:firstLine="420"/>
        <w:rPr>
          <w:rFonts w:hAnsi="宋体" w:cs="宋体"/>
          <w:szCs w:val="21"/>
        </w:rPr>
      </w:pPr>
      <w:r>
        <w:rPr>
          <w:rFonts w:hAnsi="宋体" w:cs="宋体" w:hint="eastAsia"/>
          <w:szCs w:val="21"/>
        </w:rPr>
        <w:t>资产管理合同参照证券投</w:t>
      </w:r>
      <w:r>
        <w:rPr>
          <w:rFonts w:hAnsi="宋体" w:cs="宋体" w:hint="eastAsia"/>
          <w:szCs w:val="21"/>
        </w:rPr>
        <w:t>资基金业协会合同指引进行编制，并根据资产管理计划实际运作管理需求及各方协商情况约定合同条款，</w:t>
      </w:r>
      <w:proofErr w:type="gramStart"/>
      <w:r>
        <w:rPr>
          <w:rFonts w:hAnsi="宋体" w:cs="宋体" w:hint="eastAsia"/>
          <w:szCs w:val="21"/>
        </w:rPr>
        <w:t>故资产</w:t>
      </w:r>
      <w:proofErr w:type="gramEnd"/>
      <w:r>
        <w:rPr>
          <w:rFonts w:hAnsi="宋体" w:cs="宋体" w:hint="eastAsia"/>
          <w:szCs w:val="21"/>
        </w:rPr>
        <w:t>管理合同可能存在与证券投资基金业协会合同指引不一致情形。投资者应当认真阅读</w:t>
      </w:r>
      <w:proofErr w:type="gramStart"/>
      <w:r>
        <w:rPr>
          <w:rFonts w:hAnsi="宋体" w:cs="宋体" w:hint="eastAsia"/>
          <w:szCs w:val="21"/>
        </w:rPr>
        <w:t>本资产</w:t>
      </w:r>
      <w:proofErr w:type="gramEnd"/>
      <w:r>
        <w:rPr>
          <w:rFonts w:hAnsi="宋体" w:cs="宋体" w:hint="eastAsia"/>
          <w:szCs w:val="21"/>
        </w:rPr>
        <w:t>管理合同，理解</w:t>
      </w:r>
      <w:proofErr w:type="gramStart"/>
      <w:r>
        <w:rPr>
          <w:rFonts w:hAnsi="宋体" w:cs="宋体" w:hint="eastAsia"/>
          <w:szCs w:val="21"/>
        </w:rPr>
        <w:t>本资产</w:t>
      </w:r>
      <w:proofErr w:type="gramEnd"/>
      <w:r>
        <w:rPr>
          <w:rFonts w:hAnsi="宋体" w:cs="宋体" w:hint="eastAsia"/>
          <w:szCs w:val="21"/>
        </w:rPr>
        <w:t>管理合同的全部条款，独立做出是否签署</w:t>
      </w:r>
      <w:proofErr w:type="gramStart"/>
      <w:r>
        <w:rPr>
          <w:rFonts w:hAnsi="宋体" w:cs="宋体" w:hint="eastAsia"/>
          <w:szCs w:val="21"/>
        </w:rPr>
        <w:t>本资产</w:t>
      </w:r>
      <w:proofErr w:type="gramEnd"/>
      <w:r>
        <w:rPr>
          <w:rFonts w:hAnsi="宋体" w:cs="宋体" w:hint="eastAsia"/>
          <w:szCs w:val="21"/>
        </w:rPr>
        <w:t>管理合同的</w:t>
      </w:r>
      <w:r>
        <w:rPr>
          <w:rFonts w:hAnsi="宋体" w:cs="宋体" w:hint="eastAsia"/>
          <w:szCs w:val="21"/>
        </w:rPr>
        <w:lastRenderedPageBreak/>
        <w:t>决定。但是资产委托人签署</w:t>
      </w:r>
      <w:proofErr w:type="gramStart"/>
      <w:r>
        <w:rPr>
          <w:rFonts w:hAnsi="宋体" w:cs="宋体" w:hint="eastAsia"/>
          <w:szCs w:val="21"/>
        </w:rPr>
        <w:t>本资产</w:t>
      </w:r>
      <w:proofErr w:type="gramEnd"/>
      <w:r>
        <w:rPr>
          <w:rFonts w:hAnsi="宋体" w:cs="宋体" w:hint="eastAsia"/>
          <w:szCs w:val="21"/>
        </w:rPr>
        <w:t>管理合同不代表资产委托人接受因资产管理合同违反法律法规、监管机构和行业自律规则进而导致</w:t>
      </w:r>
      <w:proofErr w:type="gramStart"/>
      <w:r>
        <w:rPr>
          <w:rFonts w:hAnsi="宋体" w:cs="宋体" w:hint="eastAsia"/>
          <w:szCs w:val="21"/>
        </w:rPr>
        <w:t>本资产</w:t>
      </w:r>
      <w:proofErr w:type="gramEnd"/>
      <w:r>
        <w:rPr>
          <w:rFonts w:hAnsi="宋体" w:cs="宋体" w:hint="eastAsia"/>
          <w:szCs w:val="21"/>
        </w:rPr>
        <w:t>管理计划下的损失。因资产管理人过错或过失导致资产管理合同违反法律法规、监管机构规定和行业自律规则或资产管理合同的约定进而导致</w:t>
      </w:r>
      <w:proofErr w:type="gramStart"/>
      <w:r>
        <w:rPr>
          <w:rFonts w:hAnsi="宋体" w:cs="宋体" w:hint="eastAsia"/>
          <w:szCs w:val="21"/>
        </w:rPr>
        <w:t>本资产</w:t>
      </w:r>
      <w:proofErr w:type="gramEnd"/>
      <w:r>
        <w:rPr>
          <w:rFonts w:hAnsi="宋体" w:cs="宋体" w:hint="eastAsia"/>
          <w:szCs w:val="21"/>
        </w:rPr>
        <w:t>管理计划下</w:t>
      </w:r>
      <w:r>
        <w:rPr>
          <w:rFonts w:hAnsi="宋体" w:cs="宋体" w:hint="eastAsia"/>
          <w:szCs w:val="21"/>
        </w:rPr>
        <w:t>的损失，由资产管理人承担相应的责任。</w:t>
      </w:r>
    </w:p>
    <w:p w14:paraId="5FD845DC" w14:textId="77777777" w:rsidR="00694F14" w:rsidRDefault="00A463B7">
      <w:pPr>
        <w:pStyle w:val="aff"/>
        <w:spacing w:line="360" w:lineRule="auto"/>
        <w:ind w:firstLine="420"/>
        <w:rPr>
          <w:rFonts w:hAnsi="宋体" w:cs="宋体"/>
          <w:szCs w:val="21"/>
        </w:rPr>
      </w:pPr>
      <w:r>
        <w:rPr>
          <w:rFonts w:hAnsi="宋体" w:cs="宋体" w:hint="eastAsia"/>
          <w:szCs w:val="21"/>
        </w:rPr>
        <w:t>2</w:t>
      </w:r>
      <w:r>
        <w:rPr>
          <w:rFonts w:hAnsi="宋体" w:cs="宋体" w:hint="eastAsia"/>
          <w:szCs w:val="21"/>
        </w:rPr>
        <w:t>、资产管理计划未托管所涉风险</w:t>
      </w:r>
    </w:p>
    <w:p w14:paraId="06FCE589" w14:textId="77777777" w:rsidR="00694F14" w:rsidRDefault="00A463B7">
      <w:pPr>
        <w:pStyle w:val="aff"/>
        <w:spacing w:line="360" w:lineRule="auto"/>
        <w:ind w:firstLine="420"/>
        <w:rPr>
          <w:rFonts w:hAnsi="宋体" w:cs="宋体"/>
          <w:szCs w:val="21"/>
        </w:rPr>
      </w:pPr>
      <w:r>
        <w:rPr>
          <w:rFonts w:hAnsi="宋体" w:cs="宋体" w:hint="eastAsia"/>
          <w:szCs w:val="21"/>
        </w:rPr>
        <w:t>不适用。</w:t>
      </w:r>
    </w:p>
    <w:p w14:paraId="2EFE7FBA" w14:textId="77777777" w:rsidR="00694F14" w:rsidRDefault="00A463B7">
      <w:pPr>
        <w:pStyle w:val="aff"/>
        <w:spacing w:line="360" w:lineRule="auto"/>
        <w:ind w:firstLine="420"/>
        <w:rPr>
          <w:rFonts w:hAnsi="宋体" w:cs="宋体"/>
          <w:szCs w:val="21"/>
        </w:rPr>
      </w:pPr>
      <w:r>
        <w:rPr>
          <w:rFonts w:hAnsi="宋体" w:cs="宋体" w:hint="eastAsia"/>
          <w:szCs w:val="21"/>
        </w:rPr>
        <w:t>3</w:t>
      </w:r>
      <w:r>
        <w:rPr>
          <w:rFonts w:hAnsi="宋体" w:cs="宋体" w:hint="eastAsia"/>
          <w:szCs w:val="21"/>
        </w:rPr>
        <w:t>、资产管理计划委托募集所涉风险</w:t>
      </w:r>
    </w:p>
    <w:p w14:paraId="7476DCEE" w14:textId="77777777" w:rsidR="00694F14" w:rsidRDefault="00A463B7">
      <w:pPr>
        <w:pStyle w:val="aff"/>
        <w:spacing w:line="360" w:lineRule="auto"/>
        <w:ind w:firstLine="420"/>
        <w:rPr>
          <w:rFonts w:hAnsi="宋体" w:cs="宋体"/>
          <w:szCs w:val="21"/>
        </w:rPr>
      </w:pPr>
      <w:r>
        <w:rPr>
          <w:rFonts w:hAnsi="宋体" w:cs="宋体" w:hint="eastAsia"/>
          <w:szCs w:val="21"/>
        </w:rPr>
        <w:t>资产管理计划由管理人委托代理销售机构进行募集的，相关投资者适当性工作亦由管理人委托的代理销售机构进行核查验证，代理销售机构未能尽职核查的，可能会对投资者产生不利影响。因资产管理人、管理人委托的代理销售机构过错或过失导致</w:t>
      </w:r>
      <w:proofErr w:type="gramStart"/>
      <w:r>
        <w:rPr>
          <w:rFonts w:hAnsi="宋体" w:cs="宋体" w:hint="eastAsia"/>
          <w:szCs w:val="21"/>
        </w:rPr>
        <w:t>本资产</w:t>
      </w:r>
      <w:proofErr w:type="gramEnd"/>
      <w:r>
        <w:rPr>
          <w:rFonts w:hAnsi="宋体" w:cs="宋体" w:hint="eastAsia"/>
          <w:szCs w:val="21"/>
        </w:rPr>
        <w:t>管理计划下的损失，由相关责任方承担相应的责任。</w:t>
      </w:r>
    </w:p>
    <w:p w14:paraId="0F0698EA" w14:textId="77777777" w:rsidR="00694F14" w:rsidRDefault="00A463B7">
      <w:pPr>
        <w:pStyle w:val="aff"/>
        <w:spacing w:line="360" w:lineRule="auto"/>
        <w:ind w:firstLine="420"/>
        <w:rPr>
          <w:rFonts w:hAnsi="宋体" w:cs="宋体"/>
          <w:szCs w:val="21"/>
        </w:rPr>
      </w:pPr>
      <w:r>
        <w:rPr>
          <w:rFonts w:hAnsi="宋体" w:cs="宋体" w:hint="eastAsia"/>
          <w:szCs w:val="21"/>
        </w:rPr>
        <w:t>4</w:t>
      </w:r>
      <w:r>
        <w:rPr>
          <w:rFonts w:hAnsi="宋体" w:cs="宋体" w:hint="eastAsia"/>
          <w:szCs w:val="21"/>
        </w:rPr>
        <w:t>、资产管理计划外包事项所涉风险</w:t>
      </w:r>
    </w:p>
    <w:p w14:paraId="0B2505A1" w14:textId="77777777" w:rsidR="00694F14" w:rsidRDefault="00A463B7">
      <w:pPr>
        <w:pStyle w:val="aff"/>
        <w:spacing w:line="360" w:lineRule="auto"/>
        <w:ind w:firstLine="420"/>
        <w:rPr>
          <w:rFonts w:hAnsi="宋体" w:cs="宋体"/>
          <w:szCs w:val="21"/>
        </w:rPr>
      </w:pPr>
      <w:r>
        <w:rPr>
          <w:rFonts w:hAnsi="宋体" w:cs="宋体" w:hint="eastAsia"/>
          <w:szCs w:val="21"/>
        </w:rPr>
        <w:t>资产管理人可委托具备相应资质的外包服务机构【光大证券股份有限公司】提供份额登记和估值核算服务</w:t>
      </w:r>
      <w:proofErr w:type="gramStart"/>
      <w:r>
        <w:rPr>
          <w:rFonts w:hAnsi="宋体" w:cs="宋体" w:hint="eastAsia"/>
          <w:szCs w:val="21"/>
        </w:rPr>
        <w:t>等资管计划</w:t>
      </w:r>
      <w:proofErr w:type="gramEnd"/>
      <w:r>
        <w:rPr>
          <w:rFonts w:hAnsi="宋体" w:cs="宋体" w:hint="eastAsia"/>
          <w:szCs w:val="21"/>
        </w:rPr>
        <w:t>外包服务。外包服务机构相信其本身将按照相关法律的规定进行营运及管理，但无法保证其本身可以永久维持符合监管部门的金融监管法律。如在计划存续期间外包服务机构无法继续从事</w:t>
      </w:r>
      <w:proofErr w:type="gramStart"/>
      <w:r>
        <w:rPr>
          <w:rFonts w:hAnsi="宋体" w:cs="宋体" w:hint="eastAsia"/>
          <w:szCs w:val="21"/>
        </w:rPr>
        <w:t>资管计划</w:t>
      </w:r>
      <w:proofErr w:type="gramEnd"/>
      <w:r>
        <w:rPr>
          <w:rFonts w:hAnsi="宋体" w:cs="宋体" w:hint="eastAsia"/>
          <w:szCs w:val="21"/>
        </w:rPr>
        <w:t>外包服务，则可能会对</w:t>
      </w:r>
      <w:proofErr w:type="gramStart"/>
      <w:r>
        <w:rPr>
          <w:rFonts w:hAnsi="宋体" w:cs="宋体" w:hint="eastAsia"/>
          <w:szCs w:val="21"/>
        </w:rPr>
        <w:t>资管计划</w:t>
      </w:r>
      <w:proofErr w:type="gramEnd"/>
      <w:r>
        <w:rPr>
          <w:rFonts w:hAnsi="宋体" w:cs="宋体" w:hint="eastAsia"/>
          <w:szCs w:val="21"/>
        </w:rPr>
        <w:t>产生不利影响。</w:t>
      </w:r>
    </w:p>
    <w:p w14:paraId="2655A2F1" w14:textId="77777777" w:rsidR="00694F14" w:rsidRDefault="00A463B7">
      <w:pPr>
        <w:pStyle w:val="aff"/>
        <w:spacing w:line="360" w:lineRule="auto"/>
        <w:ind w:firstLine="420"/>
        <w:rPr>
          <w:rFonts w:hAnsi="宋体" w:cs="宋体"/>
          <w:szCs w:val="21"/>
        </w:rPr>
      </w:pPr>
      <w:r>
        <w:rPr>
          <w:rFonts w:hAnsi="宋体" w:cs="宋体" w:hint="eastAsia"/>
          <w:szCs w:val="21"/>
        </w:rPr>
        <w:t>5</w:t>
      </w:r>
      <w:r>
        <w:rPr>
          <w:rFonts w:hAnsi="宋体" w:cs="宋体" w:hint="eastAsia"/>
          <w:szCs w:val="21"/>
        </w:rPr>
        <w:t>、资产管理计划聘请投资顾问所涉风险</w:t>
      </w:r>
    </w:p>
    <w:p w14:paraId="3E58CCE5" w14:textId="77777777" w:rsidR="00694F14" w:rsidRDefault="00A463B7">
      <w:pPr>
        <w:pStyle w:val="aff"/>
        <w:spacing w:line="360" w:lineRule="auto"/>
        <w:ind w:firstLine="420"/>
        <w:rPr>
          <w:rFonts w:hAnsi="宋体" w:cs="宋体"/>
          <w:szCs w:val="21"/>
        </w:rPr>
      </w:pPr>
      <w:r>
        <w:rPr>
          <w:rFonts w:hAnsi="宋体" w:cs="宋体" w:hint="eastAsia"/>
          <w:szCs w:val="21"/>
        </w:rPr>
        <w:t>不适用</w:t>
      </w:r>
      <w:r>
        <w:rPr>
          <w:rFonts w:hAnsi="宋体" w:cs="宋体" w:hint="eastAsia"/>
          <w:szCs w:val="21"/>
        </w:rPr>
        <w:t>。</w:t>
      </w:r>
    </w:p>
    <w:p w14:paraId="6FB942C2" w14:textId="77777777" w:rsidR="00694F14" w:rsidRDefault="00A463B7">
      <w:pPr>
        <w:pStyle w:val="aff"/>
        <w:spacing w:line="360" w:lineRule="auto"/>
        <w:ind w:firstLine="420"/>
        <w:rPr>
          <w:rFonts w:hAnsi="宋体" w:cs="宋体"/>
          <w:szCs w:val="21"/>
        </w:rPr>
      </w:pPr>
      <w:r>
        <w:rPr>
          <w:rFonts w:hAnsi="宋体" w:cs="宋体" w:hint="eastAsia"/>
          <w:szCs w:val="21"/>
        </w:rPr>
        <w:t>6</w:t>
      </w:r>
      <w:r>
        <w:rPr>
          <w:rFonts w:hAnsi="宋体" w:cs="宋体" w:hint="eastAsia"/>
          <w:szCs w:val="21"/>
        </w:rPr>
        <w:t>、资产管理计划份额转让所涉风险</w:t>
      </w:r>
    </w:p>
    <w:p w14:paraId="3142F6F3" w14:textId="77777777" w:rsidR="00694F14" w:rsidRDefault="00A463B7">
      <w:pPr>
        <w:pStyle w:val="aff"/>
        <w:spacing w:line="360" w:lineRule="auto"/>
        <w:ind w:firstLine="420"/>
        <w:rPr>
          <w:rFonts w:hAnsi="宋体" w:cs="宋体"/>
          <w:szCs w:val="21"/>
        </w:rPr>
      </w:pPr>
      <w:r>
        <w:rPr>
          <w:rFonts w:hAnsi="宋体" w:cs="宋体" w:hint="eastAsia"/>
          <w:szCs w:val="21"/>
        </w:rPr>
        <w:t>在具备可行条件且经管理人公告或通知后，投资者可以按照法律法规及资产管理合同的规定进行份额转让。资产管理计划份额转</w:t>
      </w:r>
      <w:r>
        <w:rPr>
          <w:rFonts w:hAnsi="宋体" w:cs="宋体" w:hint="eastAsia"/>
          <w:szCs w:val="21"/>
        </w:rPr>
        <w:t>让的交易平台可以是证券交易所，也可以是中国证监会认可的其他交易平台。</w:t>
      </w:r>
    </w:p>
    <w:p w14:paraId="7108A676" w14:textId="77777777" w:rsidR="00694F14" w:rsidRDefault="00A463B7">
      <w:pPr>
        <w:pStyle w:val="aff"/>
        <w:spacing w:line="360" w:lineRule="auto"/>
        <w:ind w:firstLine="420"/>
        <w:rPr>
          <w:rFonts w:hAnsi="宋体" w:cs="宋体"/>
          <w:szCs w:val="21"/>
        </w:rPr>
      </w:pPr>
      <w:r>
        <w:rPr>
          <w:rFonts w:hAnsi="宋体" w:cs="宋体" w:hint="eastAsia"/>
          <w:szCs w:val="21"/>
        </w:rPr>
        <w:t>受限于份额受让方须满足合格投资者要求、投资者合计不得超过</w:t>
      </w:r>
      <w:r>
        <w:rPr>
          <w:rFonts w:hAnsi="宋体" w:cs="宋体" w:hint="eastAsia"/>
          <w:szCs w:val="21"/>
        </w:rPr>
        <w:t>200</w:t>
      </w:r>
      <w:r>
        <w:rPr>
          <w:rFonts w:hAnsi="宋体" w:cs="宋体" w:hint="eastAsia"/>
          <w:szCs w:val="21"/>
        </w:rPr>
        <w:t>人以及届时计划份额流动性不足等相关限制因素的影响，都可能导致投资者届时可能无法顺利及时转让其所持有的计划份额。而且，计划份额转让须遵守交易场所的相关规定及要求，并按资产管理人的规定办理份额变更登记手续。由此，在办理该等份额转让过程中，投资者须履行相关程序性要求并不排除需要支付相关份额转让费用。</w:t>
      </w:r>
    </w:p>
    <w:p w14:paraId="73E6E311" w14:textId="77777777" w:rsidR="00694F14" w:rsidRDefault="00A463B7">
      <w:pPr>
        <w:pStyle w:val="aff"/>
        <w:spacing w:line="360" w:lineRule="auto"/>
        <w:ind w:firstLine="420"/>
        <w:rPr>
          <w:rFonts w:hAnsi="宋体" w:cs="宋体"/>
          <w:szCs w:val="21"/>
        </w:rPr>
      </w:pPr>
      <w:r>
        <w:rPr>
          <w:rFonts w:hAnsi="宋体" w:cs="宋体" w:hint="eastAsia"/>
          <w:szCs w:val="21"/>
        </w:rPr>
        <w:t>7</w:t>
      </w:r>
      <w:r>
        <w:rPr>
          <w:rFonts w:hAnsi="宋体" w:cs="宋体" w:hint="eastAsia"/>
          <w:szCs w:val="21"/>
        </w:rPr>
        <w:t>、资产管理计划设置份额持有人大会所涉风险</w:t>
      </w:r>
    </w:p>
    <w:p w14:paraId="7BA1FA15" w14:textId="77777777" w:rsidR="00694F14" w:rsidRDefault="00A463B7">
      <w:pPr>
        <w:pStyle w:val="aff"/>
        <w:spacing w:line="360" w:lineRule="auto"/>
        <w:ind w:firstLine="420"/>
        <w:rPr>
          <w:rFonts w:hAnsi="宋体" w:cs="宋体"/>
          <w:szCs w:val="21"/>
        </w:rPr>
      </w:pPr>
      <w:r>
        <w:rPr>
          <w:rFonts w:hAnsi="宋体" w:cs="宋体" w:hint="eastAsia"/>
          <w:szCs w:val="21"/>
        </w:rPr>
        <w:t>不适用。</w:t>
      </w:r>
    </w:p>
    <w:p w14:paraId="10040206" w14:textId="77777777" w:rsidR="00694F14" w:rsidRDefault="00A463B7">
      <w:pPr>
        <w:pStyle w:val="aff"/>
        <w:spacing w:line="360" w:lineRule="auto"/>
        <w:ind w:firstLine="420"/>
        <w:rPr>
          <w:rFonts w:hAnsi="宋体" w:cs="宋体"/>
          <w:szCs w:val="21"/>
        </w:rPr>
      </w:pPr>
      <w:r>
        <w:rPr>
          <w:rFonts w:hAnsi="宋体" w:cs="宋体" w:hint="eastAsia"/>
          <w:szCs w:val="21"/>
        </w:rPr>
        <w:t>8</w:t>
      </w:r>
      <w:r>
        <w:rPr>
          <w:rFonts w:hAnsi="宋体" w:cs="宋体" w:hint="eastAsia"/>
          <w:szCs w:val="21"/>
        </w:rPr>
        <w:t>、资产管理计划未在证券投资基</w:t>
      </w:r>
      <w:r>
        <w:rPr>
          <w:rFonts w:hAnsi="宋体" w:cs="宋体" w:hint="eastAsia"/>
          <w:szCs w:val="21"/>
        </w:rPr>
        <w:t>金业协会完成备案手续或不予备案情形所涉风险</w:t>
      </w:r>
    </w:p>
    <w:p w14:paraId="04CE668B"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14:paraId="7D40851C" w14:textId="77777777" w:rsidR="00694F14" w:rsidRDefault="00A463B7">
      <w:pPr>
        <w:pStyle w:val="aff"/>
        <w:spacing w:line="360" w:lineRule="auto"/>
        <w:ind w:firstLine="420"/>
        <w:rPr>
          <w:rFonts w:hAnsi="宋体" w:cs="宋体"/>
          <w:szCs w:val="21"/>
        </w:rPr>
      </w:pPr>
      <w:r>
        <w:rPr>
          <w:rFonts w:hAnsi="宋体" w:cs="宋体" w:hint="eastAsia"/>
          <w:szCs w:val="21"/>
        </w:rPr>
        <w:t>因此，即使本计划成立，并不意味着本计划必然能获得基金业协会的备案。而该等备案过程可能会受到相应监管政策的影响，包括备案时间所需时间、能否通过备案都存在一定的不确定性</w:t>
      </w:r>
      <w:r>
        <w:rPr>
          <w:rFonts w:hAnsi="宋体" w:cs="宋体" w:hint="eastAsia"/>
          <w:szCs w:val="21"/>
        </w:rPr>
        <w:t xml:space="preserve">, </w:t>
      </w:r>
      <w:proofErr w:type="gramStart"/>
      <w:r>
        <w:rPr>
          <w:rFonts w:hAnsi="宋体" w:cs="宋体" w:hint="eastAsia"/>
          <w:szCs w:val="21"/>
        </w:rPr>
        <w:t>故资产</w:t>
      </w:r>
      <w:proofErr w:type="gramEnd"/>
      <w:r>
        <w:rPr>
          <w:rFonts w:hAnsi="宋体" w:cs="宋体" w:hint="eastAsia"/>
          <w:szCs w:val="21"/>
        </w:rPr>
        <w:t>管理计划存在备案期限延长或备案不通过的风险。</w:t>
      </w:r>
    </w:p>
    <w:p w14:paraId="2F3F803B" w14:textId="77777777" w:rsidR="00694F14" w:rsidRDefault="00A463B7">
      <w:pPr>
        <w:pStyle w:val="aff"/>
        <w:spacing w:line="360" w:lineRule="auto"/>
        <w:ind w:firstLine="420"/>
        <w:rPr>
          <w:rFonts w:hAnsi="宋体" w:cs="宋体"/>
          <w:szCs w:val="21"/>
        </w:rPr>
      </w:pPr>
      <w:r>
        <w:rPr>
          <w:rFonts w:hAnsi="宋体" w:cs="宋体" w:hint="eastAsia"/>
          <w:szCs w:val="21"/>
        </w:rPr>
        <w:t>如果在计划成立后不能及时完成</w:t>
      </w:r>
      <w:r>
        <w:rPr>
          <w:rFonts w:hAnsi="宋体" w:cs="宋体" w:hint="eastAsia"/>
          <w:szCs w:val="21"/>
        </w:rPr>
        <w:t>备案，将可能导致本计划错过市场行情或投资机会；如果本计划在成立后无法获得基金业协会的备案或不予备案，则将直接影响本计划设立目的的实现。当出现无法通过基金业协会备案或不予备案的情形，本计划提前终止，由此直接影响资产委托人参与本计划的投资目的。</w:t>
      </w:r>
    </w:p>
    <w:p w14:paraId="3227110E" w14:textId="77777777" w:rsidR="00694F14" w:rsidRDefault="00A463B7">
      <w:pPr>
        <w:pStyle w:val="aff"/>
        <w:spacing w:line="360" w:lineRule="auto"/>
        <w:ind w:firstLine="420"/>
        <w:rPr>
          <w:rFonts w:hAnsi="宋体" w:cs="宋体"/>
          <w:szCs w:val="21"/>
        </w:rPr>
      </w:pPr>
      <w:r>
        <w:rPr>
          <w:rFonts w:hAnsi="宋体" w:cs="宋体" w:hint="eastAsia"/>
          <w:szCs w:val="21"/>
        </w:rPr>
        <w:t>9</w:t>
      </w:r>
      <w:r>
        <w:rPr>
          <w:rFonts w:hAnsi="宋体" w:cs="宋体" w:hint="eastAsia"/>
          <w:szCs w:val="21"/>
        </w:rPr>
        <w:t>、特定的投资方法及资产管理计划财产所投资的特定投资对象可能引起的特定风险</w:t>
      </w:r>
    </w:p>
    <w:p w14:paraId="1FC613B7"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1</w:t>
      </w:r>
      <w:r>
        <w:rPr>
          <w:rFonts w:hAnsi="宋体" w:cs="宋体" w:hint="eastAsia"/>
          <w:szCs w:val="21"/>
        </w:rPr>
        <w:t>）盯市结算风险</w:t>
      </w:r>
      <w:r>
        <w:rPr>
          <w:rFonts w:hAnsi="宋体" w:cs="宋体" w:hint="eastAsia"/>
          <w:szCs w:val="21"/>
        </w:rPr>
        <w:t xml:space="preserve"> </w:t>
      </w:r>
    </w:p>
    <w:p w14:paraId="0CEF0DDA" w14:textId="77777777" w:rsidR="00694F14" w:rsidRDefault="00A463B7">
      <w:pPr>
        <w:pStyle w:val="aff"/>
        <w:spacing w:line="360" w:lineRule="auto"/>
        <w:ind w:firstLine="420"/>
        <w:rPr>
          <w:rFonts w:hAnsi="宋体" w:cs="宋体"/>
          <w:szCs w:val="21"/>
        </w:rPr>
      </w:pPr>
      <w:r>
        <w:rPr>
          <w:rFonts w:hAnsi="宋体" w:cs="宋体" w:hint="eastAsia"/>
          <w:szCs w:val="21"/>
        </w:rPr>
        <w:t>期货采取保证金交易，保证金账户实行当日无负债结算制度，对资金管理要求较高。假如市场走势对本计划财产不利，期货经纪公司会按照期货经纪合同约定的时间和方式通知资产管理人追加保证</w:t>
      </w:r>
      <w:r>
        <w:rPr>
          <w:rFonts w:hAnsi="宋体" w:cs="宋体" w:hint="eastAsia"/>
          <w:szCs w:val="21"/>
        </w:rPr>
        <w:t>金，以使资产管理计划财产能继续持有未平仓合约。如出现极端行情，市场持续向不利方向波动导致期货保证金不足，又未能在规定时间内补足，按规定保证金账户将被强制平仓，甚至已缴付的所有保证金都不能弥补损失，从而导致超出预期的损失。</w:t>
      </w:r>
      <w:r>
        <w:rPr>
          <w:rFonts w:hAnsi="宋体" w:cs="宋体" w:hint="eastAsia"/>
          <w:szCs w:val="21"/>
        </w:rPr>
        <w:t xml:space="preserve"> </w:t>
      </w:r>
    </w:p>
    <w:p w14:paraId="49F32AC7"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2</w:t>
      </w:r>
      <w:r>
        <w:rPr>
          <w:rFonts w:hAnsi="宋体" w:cs="宋体" w:hint="eastAsia"/>
          <w:szCs w:val="21"/>
        </w:rPr>
        <w:t>）平仓风险</w:t>
      </w:r>
      <w:r>
        <w:rPr>
          <w:rFonts w:hAnsi="宋体" w:cs="宋体" w:hint="eastAsia"/>
          <w:szCs w:val="21"/>
        </w:rPr>
        <w:t xml:space="preserve"> </w:t>
      </w:r>
    </w:p>
    <w:p w14:paraId="10BCF22E" w14:textId="77777777" w:rsidR="00694F14" w:rsidRDefault="00A463B7">
      <w:pPr>
        <w:pStyle w:val="aff"/>
        <w:spacing w:line="360" w:lineRule="auto"/>
        <w:ind w:firstLine="420"/>
        <w:rPr>
          <w:rFonts w:hAnsi="宋体" w:cs="宋体"/>
          <w:szCs w:val="21"/>
        </w:rPr>
      </w:pPr>
      <w:r>
        <w:rPr>
          <w:rFonts w:hAnsi="宋体" w:cs="宋体" w:hint="eastAsia"/>
          <w:szCs w:val="21"/>
        </w:rPr>
        <w:t>在某些市场情况下，计划财产可能会难以或无法将持有的未平仓合约平仓，例如，这种情况可能在市场达到涨跌停板时出现。出现这类情况，计划财产缴付的所有保证金有可能无法弥补全部损失，委托人还必须承担由此导致的损失。期货经纪公司或其客户保证金不足，又未能在规定的时间内补足，或因其他</w:t>
      </w:r>
      <w:r>
        <w:rPr>
          <w:rFonts w:hAnsi="宋体" w:cs="宋体" w:hint="eastAsia"/>
          <w:szCs w:val="21"/>
        </w:rPr>
        <w:t>原因导致期货交易所对期货经纪公司的经纪账户强行平仓，资产管理计划财产可能因被连带强行平仓而遭受损失。因管理</w:t>
      </w:r>
      <w:proofErr w:type="gramStart"/>
      <w:r>
        <w:rPr>
          <w:rFonts w:hAnsi="宋体" w:cs="宋体" w:hint="eastAsia"/>
          <w:szCs w:val="21"/>
        </w:rPr>
        <w:t>人原因</w:t>
      </w:r>
      <w:proofErr w:type="gramEnd"/>
      <w:r>
        <w:rPr>
          <w:rFonts w:hAnsi="宋体" w:cs="宋体" w:hint="eastAsia"/>
          <w:szCs w:val="21"/>
        </w:rPr>
        <w:t>未在规定时间内补足保证金导致被强制平仓，给投资者造成的损失由管理人承担。</w:t>
      </w:r>
      <w:r>
        <w:rPr>
          <w:rFonts w:hAnsi="宋体" w:cs="宋体" w:hint="eastAsia"/>
          <w:szCs w:val="21"/>
        </w:rPr>
        <w:t xml:space="preserve"> </w:t>
      </w:r>
    </w:p>
    <w:p w14:paraId="3BA3990A"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3</w:t>
      </w:r>
      <w:r>
        <w:rPr>
          <w:rFonts w:hAnsi="宋体" w:cs="宋体" w:hint="eastAsia"/>
          <w:szCs w:val="21"/>
        </w:rPr>
        <w:t>）债券回购风险</w:t>
      </w:r>
    </w:p>
    <w:p w14:paraId="0E32F5AB" w14:textId="77777777" w:rsidR="00694F14" w:rsidRDefault="00A463B7">
      <w:pPr>
        <w:pStyle w:val="aff"/>
        <w:spacing w:line="360" w:lineRule="auto"/>
        <w:ind w:firstLine="420"/>
        <w:rPr>
          <w:rFonts w:hAnsi="宋体" w:cs="宋体"/>
          <w:szCs w:val="21"/>
        </w:rPr>
      </w:pPr>
      <w:r>
        <w:rPr>
          <w:rFonts w:hAnsi="宋体" w:cs="宋体" w:hint="eastAsia"/>
          <w:szCs w:val="21"/>
        </w:rPr>
        <w:t>债券回购为提升整体投资组合收益提供了可能，但也存在一定的风险。债券回购的主要风险包括信用风险、投资风险及波动性加大的风险，其中，信用风险指回购交易中交易对手在回购到期时，不能偿还全部或部分证券或价款，造成计划净值损失的风险；投资风险是指在进行回购操作时，回购利率大于债券投资收益而导致的风险以及由于回购操</w:t>
      </w:r>
      <w:r>
        <w:rPr>
          <w:rFonts w:hAnsi="宋体" w:cs="宋体" w:hint="eastAsia"/>
          <w:szCs w:val="21"/>
        </w:rPr>
        <w:t>作导致投资总量放大，致使整个投资组合风险放大的风险；而波动性加大的风险是指在进行回购操作时，在对投资组合收益进行放大的同时，也对投资组合的波动性（标准</w:t>
      </w:r>
      <w:r>
        <w:rPr>
          <w:rFonts w:hAnsi="宋体" w:cs="宋体" w:hint="eastAsia"/>
          <w:szCs w:val="21"/>
        </w:rPr>
        <w:lastRenderedPageBreak/>
        <w:t>差）进行了放大，即投资组合的风险将会加大。回购比例越高，风险暴露程度也就越高，对计划净值造成损失的可能性也就越大。</w:t>
      </w:r>
    </w:p>
    <w:p w14:paraId="54075D36" w14:textId="77777777" w:rsidR="00694F14" w:rsidRDefault="00A463B7">
      <w:pPr>
        <w:pStyle w:val="aff"/>
        <w:spacing w:line="360" w:lineRule="auto"/>
        <w:ind w:firstLine="420"/>
        <w:rPr>
          <w:rFonts w:hAnsi="宋体" w:cs="宋体"/>
          <w:szCs w:val="21"/>
        </w:rPr>
      </w:pPr>
      <w:r>
        <w:rPr>
          <w:rFonts w:hAnsi="宋体" w:cs="宋体" w:hint="eastAsia"/>
          <w:szCs w:val="21"/>
        </w:rPr>
        <w:t>10</w:t>
      </w:r>
      <w:r>
        <w:rPr>
          <w:rFonts w:hAnsi="宋体" w:cs="宋体" w:hint="eastAsia"/>
          <w:szCs w:val="21"/>
        </w:rPr>
        <w:t>、本计划展期或提前终止的风险</w:t>
      </w:r>
    </w:p>
    <w:p w14:paraId="398FD462" w14:textId="77777777" w:rsidR="00694F14" w:rsidRDefault="00A463B7">
      <w:pPr>
        <w:pStyle w:val="aff"/>
        <w:spacing w:line="360" w:lineRule="auto"/>
        <w:ind w:firstLine="420"/>
        <w:rPr>
          <w:rFonts w:hAnsi="宋体" w:cs="宋体"/>
          <w:szCs w:val="21"/>
        </w:rPr>
      </w:pPr>
      <w:r>
        <w:rPr>
          <w:rFonts w:hAnsi="宋体" w:cs="宋体" w:hint="eastAsia"/>
          <w:szCs w:val="21"/>
        </w:rPr>
        <w:t>若发生本计划约定展期或提前终止情形时，将可能导致资产委托人无法按照预期安排委托财产投资或无法按时收回委托财产或委托财产收回金额不及预期等风险。</w:t>
      </w:r>
    </w:p>
    <w:p w14:paraId="5DD37F6D" w14:textId="77777777" w:rsidR="00694F14" w:rsidRDefault="00A463B7">
      <w:pPr>
        <w:pStyle w:val="aff"/>
        <w:spacing w:line="360" w:lineRule="auto"/>
        <w:ind w:firstLine="420"/>
        <w:rPr>
          <w:rFonts w:hAnsi="宋体" w:cs="宋体"/>
          <w:szCs w:val="21"/>
        </w:rPr>
      </w:pPr>
      <w:r>
        <w:rPr>
          <w:rFonts w:hAnsi="宋体" w:cs="宋体" w:hint="eastAsia"/>
          <w:szCs w:val="21"/>
        </w:rPr>
        <w:t>11</w:t>
      </w:r>
      <w:r>
        <w:rPr>
          <w:rFonts w:hAnsi="宋体" w:cs="宋体" w:hint="eastAsia"/>
          <w:szCs w:val="21"/>
        </w:rPr>
        <w:t>、预警止损的风险</w:t>
      </w:r>
    </w:p>
    <w:p w14:paraId="15CC71E9" w14:textId="77777777" w:rsidR="00694F14" w:rsidRDefault="00A463B7">
      <w:pPr>
        <w:pStyle w:val="aff"/>
        <w:spacing w:line="360" w:lineRule="auto"/>
        <w:ind w:firstLine="420"/>
        <w:rPr>
          <w:rFonts w:hAnsi="宋体" w:cs="宋体"/>
          <w:szCs w:val="21"/>
        </w:rPr>
      </w:pPr>
      <w:r>
        <w:rPr>
          <w:rFonts w:hAnsi="宋体" w:cs="宋体" w:hint="eastAsia"/>
          <w:szCs w:val="21"/>
        </w:rPr>
        <w:t>本计划虽然设定了预警机制，但该等预警线并不代表</w:t>
      </w:r>
      <w:r>
        <w:rPr>
          <w:rFonts w:hAnsi="宋体" w:cs="宋体" w:hint="eastAsia"/>
          <w:szCs w:val="21"/>
        </w:rPr>
        <w:t>本计划最终实际净值。本计划不设置止损操作，计划资产可能发生大幅亏损，甚至本金全部损失。</w:t>
      </w:r>
    </w:p>
    <w:p w14:paraId="5F3AAE0A" w14:textId="77777777" w:rsidR="00694F14" w:rsidRDefault="00A463B7">
      <w:pPr>
        <w:pStyle w:val="aff"/>
        <w:spacing w:line="360" w:lineRule="auto"/>
        <w:ind w:firstLine="420"/>
        <w:rPr>
          <w:rFonts w:hAnsi="宋体" w:cs="宋体"/>
          <w:szCs w:val="21"/>
        </w:rPr>
      </w:pPr>
      <w:r>
        <w:rPr>
          <w:rFonts w:hAnsi="宋体" w:cs="宋体" w:hint="eastAsia"/>
          <w:szCs w:val="21"/>
        </w:rPr>
        <w:t>（二）一般风险揭示</w:t>
      </w:r>
    </w:p>
    <w:p w14:paraId="6933B0E3" w14:textId="77777777" w:rsidR="00694F14" w:rsidRDefault="00A463B7">
      <w:pPr>
        <w:pStyle w:val="aff"/>
        <w:spacing w:line="360" w:lineRule="auto"/>
        <w:ind w:firstLine="420"/>
        <w:rPr>
          <w:rFonts w:hAnsi="宋体" w:cs="宋体"/>
          <w:szCs w:val="21"/>
        </w:rPr>
      </w:pPr>
      <w:r>
        <w:rPr>
          <w:rFonts w:hAnsi="宋体" w:cs="宋体" w:hint="eastAsia"/>
          <w:szCs w:val="21"/>
        </w:rPr>
        <w:t>1</w:t>
      </w:r>
      <w:r>
        <w:rPr>
          <w:rFonts w:hAnsi="宋体" w:cs="宋体" w:hint="eastAsia"/>
          <w:szCs w:val="21"/>
        </w:rPr>
        <w:t>、本金损失风险</w:t>
      </w:r>
    </w:p>
    <w:p w14:paraId="7F15ECF2" w14:textId="77777777" w:rsidR="00694F14" w:rsidRDefault="00A463B7">
      <w:pPr>
        <w:pStyle w:val="aff"/>
        <w:spacing w:line="360" w:lineRule="auto"/>
        <w:ind w:firstLine="420"/>
        <w:rPr>
          <w:rFonts w:hAnsi="宋体" w:cs="宋体"/>
          <w:szCs w:val="21"/>
        </w:rPr>
      </w:pPr>
      <w:r>
        <w:rPr>
          <w:rFonts w:hAnsi="宋体" w:cs="宋体" w:hint="eastAsia"/>
          <w:szCs w:val="21"/>
        </w:rPr>
        <w:t>管理人依照恪尽职守、诚实信用、谨慎勤勉的原则管理和运用计划财产，但不保证计划财产中的认购</w:t>
      </w:r>
      <w:r>
        <w:rPr>
          <w:rFonts w:hAnsi="宋体" w:cs="宋体" w:hint="eastAsia"/>
          <w:szCs w:val="21"/>
        </w:rPr>
        <w:t>/</w:t>
      </w:r>
      <w:r>
        <w:rPr>
          <w:rFonts w:hAnsi="宋体" w:cs="宋体" w:hint="eastAsia"/>
          <w:szCs w:val="21"/>
        </w:rPr>
        <w:t>参与资金本金不受损失，也不保证一定盈利及最低收益。</w:t>
      </w:r>
      <w:r>
        <w:rPr>
          <w:rFonts w:hAnsi="宋体" w:cs="宋体" w:hint="eastAsia"/>
          <w:szCs w:val="21"/>
        </w:rPr>
        <w:t xml:space="preserve"> </w:t>
      </w:r>
    </w:p>
    <w:p w14:paraId="0730031E" w14:textId="77777777" w:rsidR="00694F14" w:rsidRDefault="00A463B7">
      <w:pPr>
        <w:pStyle w:val="aff"/>
        <w:spacing w:line="360" w:lineRule="auto"/>
        <w:ind w:firstLine="420"/>
        <w:rPr>
          <w:rFonts w:hAnsi="宋体" w:cs="宋体"/>
          <w:szCs w:val="21"/>
        </w:rPr>
      </w:pPr>
      <w:r>
        <w:rPr>
          <w:rFonts w:hAnsi="宋体" w:cs="宋体" w:hint="eastAsia"/>
          <w:szCs w:val="21"/>
        </w:rPr>
        <w:t>在发生揭示的风险及其他尚不能预知的风险而导致本计划项下计划财产重大损失的，委托人可能发生委托本金损失的风险。</w:t>
      </w:r>
    </w:p>
    <w:p w14:paraId="57F44B79" w14:textId="77777777" w:rsidR="00694F14" w:rsidRDefault="00A463B7">
      <w:pPr>
        <w:pStyle w:val="aff"/>
        <w:spacing w:line="360" w:lineRule="auto"/>
        <w:ind w:firstLine="420"/>
        <w:rPr>
          <w:rFonts w:hAnsi="宋体" w:cs="宋体"/>
          <w:b/>
          <w:bCs/>
          <w:szCs w:val="21"/>
        </w:rPr>
      </w:pPr>
      <w:r>
        <w:rPr>
          <w:rFonts w:hAnsi="宋体" w:cs="宋体" w:hint="eastAsia"/>
          <w:b/>
          <w:bCs/>
          <w:szCs w:val="21"/>
        </w:rPr>
        <w:t>本计划属于【</w:t>
      </w:r>
      <w:r>
        <w:rPr>
          <w:rFonts w:hAnsi="宋体" w:cs="宋体" w:hint="eastAsia"/>
          <w:b/>
          <w:bCs/>
          <w:szCs w:val="21"/>
        </w:rPr>
        <w:t>R4</w:t>
      </w:r>
      <w:r>
        <w:rPr>
          <w:rFonts w:hAnsi="宋体" w:cs="宋体" w:hint="eastAsia"/>
          <w:b/>
          <w:bCs/>
          <w:szCs w:val="21"/>
        </w:rPr>
        <w:t>】投资品种，适合风险识别、评估、承受能力【</w:t>
      </w:r>
      <w:r>
        <w:rPr>
          <w:rFonts w:hAnsi="宋体" w:cs="宋体" w:hint="eastAsia"/>
          <w:b/>
          <w:bCs/>
          <w:szCs w:val="21"/>
        </w:rPr>
        <w:t>C4</w:t>
      </w:r>
      <w:r>
        <w:rPr>
          <w:rFonts w:hAnsi="宋体" w:cs="宋体" w:hint="eastAsia"/>
          <w:b/>
          <w:bCs/>
          <w:szCs w:val="21"/>
        </w:rPr>
        <w:t>、</w:t>
      </w:r>
      <w:r>
        <w:rPr>
          <w:rFonts w:hAnsi="宋体" w:cs="宋体" w:hint="eastAsia"/>
          <w:b/>
          <w:bCs/>
          <w:szCs w:val="21"/>
        </w:rPr>
        <w:t>C5</w:t>
      </w:r>
      <w:r>
        <w:rPr>
          <w:rFonts w:hAnsi="宋体" w:cs="宋体" w:hint="eastAsia"/>
          <w:b/>
          <w:bCs/>
          <w:szCs w:val="21"/>
        </w:rPr>
        <w:t>、专业投资者】的合格投资者。</w:t>
      </w:r>
      <w:r>
        <w:rPr>
          <w:rFonts w:hAnsi="宋体" w:cs="宋体" w:hint="eastAsia"/>
          <w:b/>
          <w:bCs/>
          <w:szCs w:val="21"/>
        </w:rPr>
        <w:t xml:space="preserve"> </w:t>
      </w:r>
    </w:p>
    <w:p w14:paraId="520035ED" w14:textId="77777777" w:rsidR="00694F14" w:rsidRDefault="00A463B7">
      <w:pPr>
        <w:pStyle w:val="aff"/>
        <w:spacing w:line="360" w:lineRule="auto"/>
        <w:ind w:firstLine="420"/>
        <w:rPr>
          <w:rFonts w:hAnsi="宋体" w:cs="宋体"/>
          <w:szCs w:val="21"/>
        </w:rPr>
      </w:pPr>
      <w:r>
        <w:rPr>
          <w:rFonts w:hAnsi="宋体" w:cs="宋体" w:hint="eastAsia"/>
          <w:szCs w:val="21"/>
        </w:rPr>
        <w:t>2</w:t>
      </w:r>
      <w:r>
        <w:rPr>
          <w:rFonts w:hAnsi="宋体" w:cs="宋体" w:hint="eastAsia"/>
          <w:szCs w:val="21"/>
        </w:rPr>
        <w:t>、市场风险</w:t>
      </w:r>
      <w:r>
        <w:rPr>
          <w:rFonts w:hAnsi="宋体" w:cs="宋体" w:hint="eastAsia"/>
          <w:szCs w:val="21"/>
        </w:rPr>
        <w:t xml:space="preserve"> </w:t>
      </w:r>
    </w:p>
    <w:p w14:paraId="6D219E2F" w14:textId="77777777" w:rsidR="00694F14" w:rsidRDefault="00A463B7">
      <w:pPr>
        <w:pStyle w:val="aff"/>
        <w:spacing w:line="360" w:lineRule="auto"/>
        <w:ind w:firstLine="420"/>
        <w:rPr>
          <w:rFonts w:hAnsi="宋体" w:cs="宋体"/>
          <w:szCs w:val="21"/>
        </w:rPr>
      </w:pPr>
      <w:r>
        <w:rPr>
          <w:rFonts w:hAnsi="宋体" w:cs="宋体" w:hint="eastAsia"/>
          <w:szCs w:val="21"/>
        </w:rPr>
        <w:t>资产管理计划的投资品种价格因受到经济因素、政治因素、投资心理和交易制度等各种因素的影响，导致委托财产收益水平变化，产生风险，主要包括：</w:t>
      </w:r>
      <w:r>
        <w:rPr>
          <w:rFonts w:hAnsi="宋体" w:cs="宋体" w:hint="eastAsia"/>
          <w:szCs w:val="21"/>
        </w:rPr>
        <w:t xml:space="preserve"> </w:t>
      </w:r>
    </w:p>
    <w:p w14:paraId="3DBE7027"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1</w:t>
      </w:r>
      <w:r>
        <w:rPr>
          <w:rFonts w:hAnsi="宋体" w:cs="宋体" w:hint="eastAsia"/>
          <w:szCs w:val="21"/>
        </w:rPr>
        <w:t>）政策风险</w:t>
      </w:r>
      <w:r>
        <w:rPr>
          <w:rFonts w:hAnsi="宋体" w:cs="宋体" w:hint="eastAsia"/>
          <w:szCs w:val="21"/>
        </w:rPr>
        <w:t xml:space="preserve"> </w:t>
      </w:r>
    </w:p>
    <w:p w14:paraId="4DE16467" w14:textId="77777777" w:rsidR="00694F14" w:rsidRDefault="00A463B7">
      <w:pPr>
        <w:pStyle w:val="aff"/>
        <w:spacing w:line="360" w:lineRule="auto"/>
        <w:ind w:firstLine="420"/>
        <w:rPr>
          <w:rFonts w:hAnsi="宋体" w:cs="宋体"/>
          <w:szCs w:val="21"/>
        </w:rPr>
      </w:pPr>
      <w:r>
        <w:rPr>
          <w:rFonts w:hAnsi="宋体" w:cs="宋体" w:hint="eastAsia"/>
          <w:szCs w:val="21"/>
        </w:rPr>
        <w:t>因国家宏观政策（如货币政策、财政政策、行业政策、地区发展政策等）发生变化，导致市场价格波动而产生风险。</w:t>
      </w:r>
      <w:r>
        <w:rPr>
          <w:rFonts w:hAnsi="宋体" w:cs="宋体" w:hint="eastAsia"/>
          <w:szCs w:val="21"/>
        </w:rPr>
        <w:t xml:space="preserve"> </w:t>
      </w:r>
    </w:p>
    <w:p w14:paraId="5AD5B442"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2</w:t>
      </w:r>
      <w:r>
        <w:rPr>
          <w:rFonts w:hAnsi="宋体" w:cs="宋体" w:hint="eastAsia"/>
          <w:szCs w:val="21"/>
        </w:rPr>
        <w:t>）经济周期风险</w:t>
      </w:r>
      <w:r>
        <w:rPr>
          <w:rFonts w:hAnsi="宋体" w:cs="宋体" w:hint="eastAsia"/>
          <w:szCs w:val="21"/>
        </w:rPr>
        <w:t xml:space="preserve"> </w:t>
      </w:r>
    </w:p>
    <w:p w14:paraId="537136F2" w14:textId="77777777" w:rsidR="00694F14" w:rsidRDefault="00A463B7">
      <w:pPr>
        <w:pStyle w:val="aff"/>
        <w:spacing w:line="360" w:lineRule="auto"/>
        <w:ind w:firstLine="420"/>
        <w:rPr>
          <w:rFonts w:hAnsi="宋体" w:cs="宋体"/>
          <w:szCs w:val="21"/>
        </w:rPr>
      </w:pPr>
      <w:r>
        <w:rPr>
          <w:rFonts w:hAnsi="宋体" w:cs="宋体" w:hint="eastAsia"/>
          <w:szCs w:val="21"/>
        </w:rPr>
        <w:t>随经济运行的周期性变化，证券、期货市场的收益水平也呈周期性变化。委托财产投资于债券与上市公司的股票，收益水平也会</w:t>
      </w:r>
      <w:r>
        <w:rPr>
          <w:rFonts w:hAnsi="宋体" w:cs="宋体" w:hint="eastAsia"/>
          <w:szCs w:val="21"/>
        </w:rPr>
        <w:t>随之变化，从而产生风险。</w:t>
      </w:r>
      <w:r>
        <w:rPr>
          <w:rFonts w:hAnsi="宋体" w:cs="宋体" w:hint="eastAsia"/>
          <w:szCs w:val="21"/>
        </w:rPr>
        <w:t xml:space="preserve"> </w:t>
      </w:r>
    </w:p>
    <w:p w14:paraId="3955BC21"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3</w:t>
      </w:r>
      <w:r>
        <w:rPr>
          <w:rFonts w:hAnsi="宋体" w:cs="宋体" w:hint="eastAsia"/>
          <w:szCs w:val="21"/>
        </w:rPr>
        <w:t>）利率风险</w:t>
      </w:r>
      <w:r>
        <w:rPr>
          <w:rFonts w:hAnsi="宋体" w:cs="宋体" w:hint="eastAsia"/>
          <w:szCs w:val="21"/>
        </w:rPr>
        <w:t xml:space="preserve"> </w:t>
      </w:r>
    </w:p>
    <w:p w14:paraId="291F0C24" w14:textId="77777777" w:rsidR="00694F14" w:rsidRDefault="00A463B7">
      <w:pPr>
        <w:pStyle w:val="aff"/>
        <w:spacing w:line="360" w:lineRule="auto"/>
        <w:ind w:firstLine="420"/>
        <w:rPr>
          <w:rFonts w:hAnsi="宋体" w:cs="宋体"/>
          <w:szCs w:val="21"/>
        </w:rPr>
      </w:pPr>
      <w:r>
        <w:rPr>
          <w:rFonts w:hAnsi="宋体" w:cs="宋体" w:hint="eastAsia"/>
          <w:szCs w:val="21"/>
        </w:rPr>
        <w:t>金融市场利率的波动会导致证券市场价格和收益率的变动。利率直接影响着债券的价格和收益率，影响着企业的融资成本和利润。委托财产投资于债券和股票，其收益水平会受到利率变化的影响。</w:t>
      </w:r>
      <w:r>
        <w:rPr>
          <w:rFonts w:hAnsi="宋体" w:cs="宋体" w:hint="eastAsia"/>
          <w:szCs w:val="21"/>
        </w:rPr>
        <w:t xml:space="preserve"> </w:t>
      </w:r>
    </w:p>
    <w:p w14:paraId="272185DD"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w:t>
      </w:r>
      <w:r>
        <w:rPr>
          <w:rFonts w:hAnsi="宋体" w:cs="宋体" w:hint="eastAsia"/>
          <w:szCs w:val="21"/>
        </w:rPr>
        <w:t>4</w:t>
      </w:r>
      <w:r>
        <w:rPr>
          <w:rFonts w:hAnsi="宋体" w:cs="宋体" w:hint="eastAsia"/>
          <w:szCs w:val="21"/>
        </w:rPr>
        <w:t>）上市公司经营风险</w:t>
      </w:r>
      <w:r>
        <w:rPr>
          <w:rFonts w:hAnsi="宋体" w:cs="宋体" w:hint="eastAsia"/>
          <w:szCs w:val="21"/>
        </w:rPr>
        <w:t xml:space="preserve"> </w:t>
      </w:r>
    </w:p>
    <w:p w14:paraId="4C193F62" w14:textId="77777777" w:rsidR="00694F14" w:rsidRDefault="00A463B7">
      <w:pPr>
        <w:pStyle w:val="aff"/>
        <w:spacing w:line="360" w:lineRule="auto"/>
        <w:ind w:firstLine="420"/>
        <w:rPr>
          <w:rFonts w:hAnsi="宋体" w:cs="宋体"/>
          <w:szCs w:val="21"/>
        </w:rPr>
      </w:pPr>
      <w:r>
        <w:rPr>
          <w:rFonts w:hAnsi="宋体" w:cs="宋体" w:hint="eastAsia"/>
          <w:szCs w:val="21"/>
        </w:rPr>
        <w:t>上市公司的经营好坏受多种因素影响，如管理能力、财务状况、市场前景、行业竞争、人员素质等，这些都会导致企业的盈利发生变化。如果委托财产所投资的上市公司经营不善，其股票价格可能下跌，或者能够用于分配的利润减少，使委托财产投资收益下降。虽然委托财产可以通过投资多样化来分散这种非系统风险，但不能完全规避。</w:t>
      </w:r>
      <w:r>
        <w:rPr>
          <w:rFonts w:hAnsi="宋体" w:cs="宋体" w:hint="eastAsia"/>
          <w:szCs w:val="21"/>
        </w:rPr>
        <w:t xml:space="preserve"> </w:t>
      </w:r>
    </w:p>
    <w:p w14:paraId="7FA1731B"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5</w:t>
      </w:r>
      <w:r>
        <w:rPr>
          <w:rFonts w:hAnsi="宋体" w:cs="宋体" w:hint="eastAsia"/>
          <w:szCs w:val="21"/>
        </w:rPr>
        <w:t>）购买力风险</w:t>
      </w:r>
      <w:r>
        <w:rPr>
          <w:rFonts w:hAnsi="宋体" w:cs="宋体" w:hint="eastAsia"/>
          <w:szCs w:val="21"/>
        </w:rPr>
        <w:t xml:space="preserve"> </w:t>
      </w:r>
    </w:p>
    <w:p w14:paraId="6FC9D136" w14:textId="77777777" w:rsidR="00694F14" w:rsidRDefault="00A463B7">
      <w:pPr>
        <w:pStyle w:val="aff"/>
        <w:spacing w:line="360" w:lineRule="auto"/>
        <w:ind w:firstLine="420"/>
        <w:rPr>
          <w:rFonts w:hAnsi="宋体" w:cs="宋体"/>
          <w:szCs w:val="21"/>
        </w:rPr>
      </w:pPr>
      <w:r>
        <w:rPr>
          <w:rFonts w:hAnsi="宋体" w:cs="宋体" w:hint="eastAsia"/>
          <w:szCs w:val="21"/>
        </w:rPr>
        <w:t>委托财产的利润将主要通过现金形式来分配，而现金可能因为通货膨胀的影响而导致购买力下降，从而使委托财产的实际收益下降。</w:t>
      </w:r>
      <w:r>
        <w:rPr>
          <w:rFonts w:hAnsi="宋体" w:cs="宋体" w:hint="eastAsia"/>
          <w:szCs w:val="21"/>
        </w:rPr>
        <w:t xml:space="preserve"> </w:t>
      </w:r>
    </w:p>
    <w:p w14:paraId="2C6BEEF1"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6</w:t>
      </w:r>
      <w:r>
        <w:rPr>
          <w:rFonts w:hAnsi="宋体" w:cs="宋体" w:hint="eastAsia"/>
          <w:szCs w:val="21"/>
        </w:rPr>
        <w:t>）债券收益率曲线风险</w:t>
      </w:r>
      <w:r>
        <w:rPr>
          <w:rFonts w:hAnsi="宋体" w:cs="宋体" w:hint="eastAsia"/>
          <w:szCs w:val="21"/>
        </w:rPr>
        <w:t xml:space="preserve"> </w:t>
      </w:r>
    </w:p>
    <w:p w14:paraId="43BA63CD" w14:textId="77777777" w:rsidR="00694F14" w:rsidRDefault="00A463B7">
      <w:pPr>
        <w:pStyle w:val="aff"/>
        <w:spacing w:line="360" w:lineRule="auto"/>
        <w:ind w:firstLine="420"/>
        <w:rPr>
          <w:rFonts w:hAnsi="宋体" w:cs="宋体"/>
          <w:szCs w:val="21"/>
        </w:rPr>
      </w:pPr>
      <w:r>
        <w:rPr>
          <w:rFonts w:hAnsi="宋体" w:cs="宋体" w:hint="eastAsia"/>
          <w:szCs w:val="21"/>
        </w:rPr>
        <w:t>债券收益率曲线风险是指与收益率曲线非平行移</w:t>
      </w:r>
      <w:r>
        <w:rPr>
          <w:rFonts w:hAnsi="宋体" w:cs="宋体" w:hint="eastAsia"/>
          <w:szCs w:val="21"/>
        </w:rPr>
        <w:t>动有关的风险，单一的</w:t>
      </w:r>
      <w:proofErr w:type="gramStart"/>
      <w:r>
        <w:rPr>
          <w:rFonts w:hAnsi="宋体" w:cs="宋体" w:hint="eastAsia"/>
          <w:szCs w:val="21"/>
        </w:rPr>
        <w:t>久期指标</w:t>
      </w:r>
      <w:proofErr w:type="gramEnd"/>
      <w:r>
        <w:rPr>
          <w:rFonts w:hAnsi="宋体" w:cs="宋体" w:hint="eastAsia"/>
          <w:szCs w:val="21"/>
        </w:rPr>
        <w:t>并不能充分反映这一风险的存在。</w:t>
      </w:r>
      <w:r>
        <w:rPr>
          <w:rFonts w:hAnsi="宋体" w:cs="宋体" w:hint="eastAsia"/>
          <w:szCs w:val="21"/>
        </w:rPr>
        <w:t xml:space="preserve"> </w:t>
      </w:r>
    </w:p>
    <w:p w14:paraId="6093778D"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7</w:t>
      </w:r>
      <w:r>
        <w:rPr>
          <w:rFonts w:hAnsi="宋体" w:cs="宋体" w:hint="eastAsia"/>
          <w:szCs w:val="21"/>
        </w:rPr>
        <w:t>）再投资风险</w:t>
      </w:r>
      <w:r>
        <w:rPr>
          <w:rFonts w:hAnsi="宋体" w:cs="宋体" w:hint="eastAsia"/>
          <w:szCs w:val="21"/>
        </w:rPr>
        <w:t xml:space="preserve"> </w:t>
      </w:r>
    </w:p>
    <w:p w14:paraId="145E5263" w14:textId="77777777" w:rsidR="00694F14" w:rsidRDefault="00A463B7">
      <w:pPr>
        <w:pStyle w:val="aff"/>
        <w:spacing w:line="360" w:lineRule="auto"/>
        <w:ind w:firstLine="420"/>
        <w:rPr>
          <w:rFonts w:hAnsi="宋体" w:cs="宋体"/>
          <w:szCs w:val="21"/>
        </w:rPr>
      </w:pPr>
      <w:r>
        <w:rPr>
          <w:rFonts w:hAnsi="宋体" w:cs="宋体" w:hint="eastAsia"/>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14:paraId="018B649A"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8</w:t>
      </w:r>
      <w:r>
        <w:rPr>
          <w:rFonts w:hAnsi="宋体" w:cs="宋体" w:hint="eastAsia"/>
          <w:szCs w:val="21"/>
        </w:rPr>
        <w:t>）衍生品风险</w:t>
      </w:r>
    </w:p>
    <w:p w14:paraId="5B9F2A1B" w14:textId="77777777" w:rsidR="00694F14" w:rsidRDefault="00A463B7">
      <w:pPr>
        <w:pStyle w:val="aff"/>
        <w:spacing w:line="360" w:lineRule="auto"/>
        <w:ind w:firstLine="420"/>
        <w:rPr>
          <w:rFonts w:hAnsi="宋体" w:cs="宋体"/>
          <w:szCs w:val="21"/>
        </w:rPr>
      </w:pPr>
      <w:r>
        <w:rPr>
          <w:rFonts w:hAnsi="宋体" w:cs="宋体" w:hint="eastAsia"/>
          <w:szCs w:val="21"/>
        </w:rPr>
        <w:t>金融衍生品具有的杠杆性、虚拟性、国际性等特性决定了其高风险性，衍生品市场本身所蕴藏的巨大风险。若管理人投资决策失误，可能导致资产管理计划出现损失。</w:t>
      </w:r>
    </w:p>
    <w:p w14:paraId="041F3690" w14:textId="77777777" w:rsidR="00694F14" w:rsidRDefault="00A463B7">
      <w:pPr>
        <w:pStyle w:val="aff"/>
        <w:spacing w:line="360" w:lineRule="auto"/>
        <w:ind w:firstLine="420"/>
        <w:rPr>
          <w:rFonts w:hAnsi="宋体" w:cs="宋体"/>
          <w:szCs w:val="21"/>
        </w:rPr>
      </w:pPr>
      <w:r>
        <w:rPr>
          <w:rFonts w:hAnsi="宋体" w:cs="宋体" w:hint="eastAsia"/>
          <w:szCs w:val="21"/>
        </w:rPr>
        <w:t>3</w:t>
      </w:r>
      <w:r>
        <w:rPr>
          <w:rFonts w:hAnsi="宋体" w:cs="宋体" w:hint="eastAsia"/>
          <w:szCs w:val="21"/>
        </w:rPr>
        <w:t>、管理风险</w:t>
      </w:r>
    </w:p>
    <w:p w14:paraId="3C7CEEB5" w14:textId="77777777" w:rsidR="00694F14" w:rsidRDefault="00A463B7">
      <w:pPr>
        <w:pStyle w:val="aff"/>
        <w:spacing w:line="360" w:lineRule="auto"/>
        <w:ind w:firstLine="420"/>
        <w:rPr>
          <w:rFonts w:hAnsi="宋体" w:cs="宋体"/>
          <w:szCs w:val="21"/>
        </w:rPr>
      </w:pPr>
      <w:r>
        <w:rPr>
          <w:rFonts w:hAnsi="宋体" w:cs="宋体" w:hint="eastAsia"/>
          <w:szCs w:val="21"/>
        </w:rPr>
        <w:t>资产管理计划运作过</w:t>
      </w:r>
      <w:r>
        <w:rPr>
          <w:rFonts w:hAnsi="宋体" w:cs="宋体" w:hint="eastAsia"/>
          <w:szCs w:val="21"/>
        </w:rPr>
        <w:t>程中，管理人依据资产管理合同约定管理和运用资产管理计划财产所产生的风险，由资产管理计划财产及投资者承担。投资者应充分知晓投资运营的相关风险，其风险应由投资者自担。资产管理人的研究水平、投资管理水平直接影响委托财产收益水平，如果资产管理人对经济形势和证券、期货市场判断不准确、获取的信息不全、投资操作出现失误，都会影响委托财产的收益水平。但管理人应尽职履责尽量避免上述管理风险的出现。</w:t>
      </w:r>
    </w:p>
    <w:p w14:paraId="1FDE58AB" w14:textId="77777777" w:rsidR="00694F14" w:rsidRDefault="00A463B7">
      <w:pPr>
        <w:pStyle w:val="aff"/>
        <w:spacing w:line="360" w:lineRule="auto"/>
        <w:ind w:firstLine="420"/>
        <w:rPr>
          <w:rFonts w:hAnsi="宋体" w:cs="宋体"/>
          <w:szCs w:val="21"/>
        </w:rPr>
      </w:pPr>
      <w:r>
        <w:rPr>
          <w:rFonts w:hAnsi="宋体" w:cs="宋体" w:hint="eastAsia"/>
          <w:szCs w:val="21"/>
        </w:rPr>
        <w:t>4</w:t>
      </w:r>
      <w:r>
        <w:rPr>
          <w:rFonts w:hAnsi="宋体" w:cs="宋体" w:hint="eastAsia"/>
          <w:szCs w:val="21"/>
        </w:rPr>
        <w:t>、流动性风险</w:t>
      </w:r>
    </w:p>
    <w:p w14:paraId="2FFC5377" w14:textId="77777777" w:rsidR="00694F14" w:rsidRDefault="00A463B7">
      <w:pPr>
        <w:pStyle w:val="aff"/>
        <w:spacing w:line="360" w:lineRule="auto"/>
        <w:ind w:firstLine="420"/>
        <w:rPr>
          <w:rFonts w:hAnsi="宋体" w:cs="宋体"/>
          <w:szCs w:val="21"/>
        </w:rPr>
      </w:pPr>
      <w:r>
        <w:rPr>
          <w:rFonts w:hAnsi="宋体" w:cs="宋体" w:hint="eastAsia"/>
          <w:szCs w:val="21"/>
        </w:rPr>
        <w:t>在市场或投资品种流动性不足的情况下，资产管理人可能无法迅速、低成本地调整投资计划，或者转变成现金会对资产价格造成</w:t>
      </w:r>
      <w:r>
        <w:rPr>
          <w:rFonts w:hAnsi="宋体" w:cs="宋体" w:hint="eastAsia"/>
          <w:szCs w:val="21"/>
        </w:rPr>
        <w:t>重大不利影响，从而对计划收益造成不利影响。</w:t>
      </w:r>
    </w:p>
    <w:p w14:paraId="7E1AD0AC"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在资产委托人在开放期内参与或退出资产管理计划时，可能存在现金不足的风险和现金过多带来的收益下降风险。</w:t>
      </w:r>
    </w:p>
    <w:p w14:paraId="65C44B85" w14:textId="77777777" w:rsidR="00694F14" w:rsidRDefault="00A463B7">
      <w:pPr>
        <w:pStyle w:val="aff"/>
        <w:spacing w:line="360" w:lineRule="auto"/>
        <w:ind w:firstLine="420"/>
        <w:rPr>
          <w:rFonts w:hAnsi="宋体" w:cs="宋体"/>
          <w:szCs w:val="21"/>
        </w:rPr>
      </w:pPr>
      <w:r>
        <w:rPr>
          <w:rFonts w:hAnsi="宋体" w:cs="宋体" w:hint="eastAsia"/>
          <w:szCs w:val="21"/>
        </w:rPr>
        <w:t>当本计划出现巨额退出或连续巨额退出等本合同约定情形，资产管理人有权暂停退出、延期退出或延期支付退出款项，该等情形的发生将直接影响资产委托人投资变现。</w:t>
      </w:r>
    </w:p>
    <w:p w14:paraId="36922308" w14:textId="77777777" w:rsidR="00694F14" w:rsidRDefault="00A463B7">
      <w:pPr>
        <w:pStyle w:val="aff"/>
        <w:spacing w:line="360" w:lineRule="auto"/>
        <w:ind w:firstLine="420"/>
        <w:rPr>
          <w:rFonts w:hAnsi="宋体" w:cs="宋体"/>
          <w:szCs w:val="21"/>
        </w:rPr>
      </w:pPr>
      <w:r>
        <w:rPr>
          <w:rFonts w:hAnsi="宋体" w:cs="宋体" w:hint="eastAsia"/>
          <w:szCs w:val="21"/>
        </w:rPr>
        <w:t>5</w:t>
      </w:r>
      <w:r>
        <w:rPr>
          <w:rFonts w:hAnsi="宋体" w:cs="宋体" w:hint="eastAsia"/>
          <w:szCs w:val="21"/>
        </w:rPr>
        <w:t>、信用风险</w:t>
      </w:r>
    </w:p>
    <w:p w14:paraId="1F56AB19" w14:textId="77777777" w:rsidR="00694F14" w:rsidRDefault="00A463B7">
      <w:pPr>
        <w:pStyle w:val="aff"/>
        <w:spacing w:line="360" w:lineRule="auto"/>
        <w:ind w:firstLine="420"/>
        <w:rPr>
          <w:rFonts w:hAnsi="宋体" w:cs="宋体"/>
          <w:szCs w:val="21"/>
        </w:rPr>
      </w:pPr>
      <w:r>
        <w:rPr>
          <w:rFonts w:hAnsi="宋体" w:cs="宋体" w:hint="eastAsia"/>
          <w:szCs w:val="21"/>
        </w:rPr>
        <w:t>信用风险是债务人的违约风险，主要体现在信用产品中。在委托资产投资运作中，如果资产管理人的信用研究水平不足，对信用产品的判断不准确，可能使委托资产承受信用风险所带来的损失。</w:t>
      </w:r>
    </w:p>
    <w:p w14:paraId="5AEE929B" w14:textId="77777777" w:rsidR="00694F14" w:rsidRDefault="00A463B7">
      <w:pPr>
        <w:pStyle w:val="aff"/>
        <w:spacing w:line="360" w:lineRule="auto"/>
        <w:ind w:firstLine="420"/>
        <w:rPr>
          <w:rFonts w:hAnsi="宋体" w:cs="宋体"/>
          <w:szCs w:val="21"/>
        </w:rPr>
      </w:pPr>
      <w:r>
        <w:rPr>
          <w:rFonts w:hAnsi="宋体" w:cs="宋体" w:hint="eastAsia"/>
          <w:szCs w:val="21"/>
        </w:rPr>
        <w:t>本计划交易对手方发生交易违约或者计划持仓债券的发行人拒绝支付债券本息，导致资产管理计划财产损失。</w:t>
      </w:r>
    </w:p>
    <w:p w14:paraId="0D7B2AD0" w14:textId="77777777" w:rsidR="00694F14" w:rsidRDefault="00A463B7">
      <w:pPr>
        <w:pStyle w:val="aff"/>
        <w:spacing w:line="360" w:lineRule="auto"/>
        <w:ind w:firstLine="420"/>
        <w:rPr>
          <w:rFonts w:hAnsi="宋体" w:cs="宋体"/>
          <w:szCs w:val="21"/>
        </w:rPr>
      </w:pPr>
      <w:r>
        <w:rPr>
          <w:rFonts w:hAnsi="宋体" w:cs="宋体" w:hint="eastAsia"/>
          <w:szCs w:val="21"/>
        </w:rPr>
        <w:t>6</w:t>
      </w:r>
      <w:r>
        <w:rPr>
          <w:rFonts w:hAnsi="宋体" w:cs="宋体" w:hint="eastAsia"/>
          <w:szCs w:val="21"/>
        </w:rPr>
        <w:t>、募集失败风险</w:t>
      </w:r>
    </w:p>
    <w:p w14:paraId="4926339F" w14:textId="77777777" w:rsidR="00694F14" w:rsidRDefault="00A463B7">
      <w:pPr>
        <w:pStyle w:val="aff"/>
        <w:spacing w:line="360" w:lineRule="auto"/>
        <w:ind w:firstLine="420"/>
        <w:rPr>
          <w:rFonts w:hAnsi="宋体" w:cs="宋体"/>
          <w:szCs w:val="21"/>
        </w:rPr>
      </w:pPr>
      <w:r>
        <w:rPr>
          <w:rFonts w:hAnsi="宋体" w:cs="宋体" w:hint="eastAsia"/>
          <w:szCs w:val="21"/>
        </w:rPr>
        <w:t>初始募集期限届满，若本计划不符合成立条件，则存在募集失败的风险，在资产管理计划募集期限届满后</w:t>
      </w:r>
      <w:r>
        <w:rPr>
          <w:rFonts w:hAnsi="宋体" w:cs="宋体" w:hint="eastAsia"/>
          <w:szCs w:val="21"/>
        </w:rPr>
        <w:t>30</w:t>
      </w:r>
      <w:r>
        <w:rPr>
          <w:rFonts w:hAnsi="宋体" w:cs="宋体" w:hint="eastAsia"/>
          <w:szCs w:val="21"/>
        </w:rPr>
        <w:t>日内返还客户已缴纳的款项，并加计银行同期活期存款利息。管理人以其固有财产承担因募集行为而产生的债务和费用。</w:t>
      </w:r>
    </w:p>
    <w:p w14:paraId="59972E3B" w14:textId="77777777" w:rsidR="00694F14" w:rsidRDefault="00A463B7">
      <w:pPr>
        <w:pStyle w:val="aff"/>
        <w:spacing w:line="360" w:lineRule="auto"/>
        <w:ind w:firstLine="420"/>
        <w:rPr>
          <w:rFonts w:hAnsi="宋体" w:cs="宋体"/>
          <w:szCs w:val="21"/>
        </w:rPr>
      </w:pPr>
      <w:r>
        <w:rPr>
          <w:rFonts w:hAnsi="宋体" w:cs="宋体" w:hint="eastAsia"/>
          <w:szCs w:val="21"/>
        </w:rPr>
        <w:t>7</w:t>
      </w:r>
      <w:r>
        <w:rPr>
          <w:rFonts w:hAnsi="宋体" w:cs="宋体" w:hint="eastAsia"/>
          <w:szCs w:val="21"/>
        </w:rPr>
        <w:t>、投资标的风险</w:t>
      </w:r>
    </w:p>
    <w:p w14:paraId="17D5749D" w14:textId="77777777" w:rsidR="00694F14" w:rsidRDefault="00A463B7">
      <w:pPr>
        <w:pStyle w:val="aff"/>
        <w:spacing w:line="360" w:lineRule="auto"/>
        <w:ind w:firstLine="420"/>
        <w:rPr>
          <w:rFonts w:hAnsi="宋体" w:cs="宋体"/>
          <w:szCs w:val="21"/>
        </w:rPr>
      </w:pPr>
      <w:r>
        <w:rPr>
          <w:rFonts w:hAnsi="宋体" w:cs="宋体" w:hint="eastAsia"/>
          <w:szCs w:val="21"/>
        </w:rPr>
        <w:t>本计划投资标的</w:t>
      </w:r>
      <w:proofErr w:type="gramStart"/>
      <w:r>
        <w:rPr>
          <w:rFonts w:hAnsi="宋体" w:cs="宋体" w:hint="eastAsia"/>
          <w:szCs w:val="21"/>
        </w:rPr>
        <w:t>的</w:t>
      </w:r>
      <w:proofErr w:type="gramEnd"/>
      <w:r>
        <w:rPr>
          <w:rFonts w:hAnsi="宋体" w:cs="宋体" w:hint="eastAsia"/>
          <w:szCs w:val="21"/>
        </w:rPr>
        <w:t>价值取决于投资对象的经营状况，原股东对所投资企业的管理和运营，相关市场宏观调控政策、财政税收政策、产业政策、法律法规、经济周期的变化以及区域市场竞争格局的变化</w:t>
      </w:r>
      <w:r>
        <w:rPr>
          <w:rFonts w:hAnsi="宋体" w:cs="宋体" w:hint="eastAsia"/>
          <w:szCs w:val="21"/>
        </w:rPr>
        <w:t>等都可能影响所投资企业经营状况，进而影响资产管理计划投资标的</w:t>
      </w:r>
      <w:proofErr w:type="gramStart"/>
      <w:r>
        <w:rPr>
          <w:rFonts w:hAnsi="宋体" w:cs="宋体" w:hint="eastAsia"/>
          <w:szCs w:val="21"/>
        </w:rPr>
        <w:t>的</w:t>
      </w:r>
      <w:proofErr w:type="gramEnd"/>
      <w:r>
        <w:rPr>
          <w:rFonts w:hAnsi="宋体" w:cs="宋体" w:hint="eastAsia"/>
          <w:szCs w:val="21"/>
        </w:rPr>
        <w:t>价值。</w:t>
      </w:r>
    </w:p>
    <w:p w14:paraId="72E76314"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1</w:t>
      </w:r>
      <w:r>
        <w:rPr>
          <w:rFonts w:hAnsi="宋体" w:cs="宋体" w:hint="eastAsia"/>
          <w:szCs w:val="21"/>
        </w:rPr>
        <w:t>）投资于股票等股权类资产的风险</w:t>
      </w:r>
    </w:p>
    <w:p w14:paraId="31D0F160"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）国家货币政策、财政政策、产业政策等的变化对证券市场产生一定的影响，导致市场价格水平波动的风险。</w:t>
      </w:r>
    </w:p>
    <w:p w14:paraId="37C8B423"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）宏观经济运行周期性波动，对证券市场的收益水平产生影响的风险。</w:t>
      </w:r>
    </w:p>
    <w:p w14:paraId="29B36866" w14:textId="77777777" w:rsidR="00694F14" w:rsidRDefault="00A463B7">
      <w:pPr>
        <w:pStyle w:val="aff"/>
        <w:spacing w:line="360" w:lineRule="auto"/>
        <w:ind w:firstLine="420"/>
        <w:rPr>
          <w:rFonts w:hAnsi="宋体" w:cs="宋体"/>
          <w:szCs w:val="21"/>
        </w:rPr>
      </w:pPr>
      <w:r>
        <w:rPr>
          <w:rFonts w:hAnsi="宋体" w:cs="宋体" w:hint="eastAsia"/>
          <w:szCs w:val="21"/>
        </w:rPr>
        <w:t>c</w:t>
      </w:r>
      <w:r>
        <w:rPr>
          <w:rFonts w:hAnsi="宋体" w:cs="宋体" w:hint="eastAsia"/>
          <w:szCs w:val="21"/>
        </w:rPr>
        <w:t>）上市公司的经营状况受多种因素影响，如市场、技术、竞争、管理、财务等都会导致公司盈利发生变化，从而导致股票价格波动的风险。</w:t>
      </w:r>
    </w:p>
    <w:p w14:paraId="62B8E80B"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2</w:t>
      </w:r>
      <w:r>
        <w:rPr>
          <w:rFonts w:hAnsi="宋体" w:cs="宋体" w:hint="eastAsia"/>
          <w:szCs w:val="21"/>
        </w:rPr>
        <w:t>）投资于</w:t>
      </w:r>
      <w:proofErr w:type="gramStart"/>
      <w:r>
        <w:rPr>
          <w:rFonts w:hAnsi="宋体" w:cs="宋体" w:hint="eastAsia"/>
          <w:szCs w:val="21"/>
        </w:rPr>
        <w:t>科创板股票</w:t>
      </w:r>
      <w:proofErr w:type="gramEnd"/>
      <w:r>
        <w:rPr>
          <w:rFonts w:hAnsi="宋体" w:cs="宋体" w:hint="eastAsia"/>
          <w:szCs w:val="21"/>
        </w:rPr>
        <w:t>的风险</w:t>
      </w:r>
    </w:p>
    <w:p w14:paraId="6AAAE9C6" w14:textId="77777777" w:rsidR="00694F14" w:rsidRDefault="00A463B7">
      <w:pPr>
        <w:pStyle w:val="aff"/>
        <w:spacing w:line="360" w:lineRule="auto"/>
        <w:ind w:firstLine="420"/>
        <w:rPr>
          <w:rFonts w:hAnsi="宋体" w:cs="宋体"/>
          <w:szCs w:val="21"/>
        </w:rPr>
      </w:pPr>
      <w:r>
        <w:rPr>
          <w:rFonts w:hAnsi="宋体" w:cs="宋体" w:hint="eastAsia"/>
          <w:szCs w:val="21"/>
        </w:rPr>
        <w:t>投资于</w:t>
      </w:r>
      <w:proofErr w:type="gramStart"/>
      <w:r>
        <w:rPr>
          <w:rFonts w:hAnsi="宋体" w:cs="宋体" w:hint="eastAsia"/>
          <w:szCs w:val="21"/>
        </w:rPr>
        <w:t>科创板</w:t>
      </w:r>
      <w:proofErr w:type="gramEnd"/>
      <w:r>
        <w:rPr>
          <w:rFonts w:hAnsi="宋体" w:cs="宋体" w:hint="eastAsia"/>
          <w:szCs w:val="21"/>
        </w:rPr>
        <w:t>股票，除了投资于上市公司公开发行股票风险以外，还存在如下风险：</w:t>
      </w:r>
    </w:p>
    <w:p w14:paraId="39D753D5"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w:t>
      </w:r>
      <w:proofErr w:type="gramStart"/>
      <w:r>
        <w:rPr>
          <w:rFonts w:hAnsi="宋体" w:cs="宋体" w:hint="eastAsia"/>
          <w:szCs w:val="21"/>
        </w:rPr>
        <w:t>科创</w:t>
      </w:r>
      <w:r>
        <w:rPr>
          <w:rFonts w:hAnsi="宋体" w:cs="宋体" w:hint="eastAsia"/>
          <w:szCs w:val="21"/>
        </w:rPr>
        <w:t>板企业</w:t>
      </w:r>
      <w:proofErr w:type="gramEnd"/>
      <w:r>
        <w:rPr>
          <w:rFonts w:hAnsi="宋体" w:cs="宋体" w:hint="eastAsia"/>
          <w:szCs w:val="21"/>
        </w:rPr>
        <w:t>所处行业和业务往往具有研发投入规模大、盈利周期长、技术迭代快、风险高以及严重依赖核心项目、核心技术人员、少数供应商等特点，企业上市后的持续创新能力、主营业务发展的可持续性、公司收入及盈利水平等仍具有较大不确定性，进而会影响到股票价格，给本计划的净值带来波动。</w:t>
      </w:r>
    </w:p>
    <w:p w14:paraId="14B7D25F"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b</w:t>
      </w:r>
      <w:r>
        <w:rPr>
          <w:rFonts w:hAnsi="宋体" w:cs="宋体" w:hint="eastAsia"/>
          <w:szCs w:val="21"/>
        </w:rPr>
        <w:t>）</w:t>
      </w:r>
      <w:proofErr w:type="gramStart"/>
      <w:r>
        <w:rPr>
          <w:rFonts w:hAnsi="宋体" w:cs="宋体" w:hint="eastAsia"/>
          <w:szCs w:val="21"/>
        </w:rPr>
        <w:t>科创板企业</w:t>
      </w:r>
      <w:proofErr w:type="gramEnd"/>
      <w:r>
        <w:rPr>
          <w:rFonts w:hAnsi="宋体" w:cs="宋体" w:hint="eastAsia"/>
          <w:szCs w:val="21"/>
        </w:rPr>
        <w:t>可能存在首次公开发行</w:t>
      </w:r>
      <w:proofErr w:type="gramStart"/>
      <w:r>
        <w:rPr>
          <w:rFonts w:hAnsi="宋体" w:cs="宋体" w:hint="eastAsia"/>
          <w:szCs w:val="21"/>
        </w:rPr>
        <w:t>前最近</w:t>
      </w:r>
      <w:proofErr w:type="gramEnd"/>
      <w:r>
        <w:rPr>
          <w:rFonts w:hAnsi="宋体" w:cs="宋体" w:hint="eastAsia"/>
          <w:szCs w:val="21"/>
        </w:rPr>
        <w:t>3</w:t>
      </w:r>
      <w:r>
        <w:rPr>
          <w:rFonts w:hAnsi="宋体" w:cs="宋体" w:hint="eastAsia"/>
          <w:szCs w:val="21"/>
        </w:rPr>
        <w:t>个会计年度未能连续盈利、公开发行并上市时尚未盈利、有累计未弥补亏损等情形，可能存在上市后仍无法盈利、持续亏损、无法进行利润分配等情形，从而导致本计划所持股票价格可能下跌，或者能够用于分配的利润减少，从而使</w:t>
      </w:r>
      <w:r>
        <w:rPr>
          <w:rFonts w:hAnsi="宋体" w:cs="宋体" w:hint="eastAsia"/>
          <w:szCs w:val="21"/>
        </w:rPr>
        <w:t>产品投资的收益下降。</w:t>
      </w:r>
    </w:p>
    <w:p w14:paraId="6B0E3EA1" w14:textId="77777777" w:rsidR="00694F14" w:rsidRDefault="00A463B7">
      <w:pPr>
        <w:pStyle w:val="aff"/>
        <w:spacing w:line="360" w:lineRule="auto"/>
        <w:ind w:firstLine="420"/>
        <w:rPr>
          <w:rFonts w:hAnsi="宋体" w:cs="宋体"/>
          <w:szCs w:val="21"/>
        </w:rPr>
      </w:pPr>
      <w:r>
        <w:rPr>
          <w:rFonts w:hAnsi="宋体" w:cs="宋体" w:hint="eastAsia"/>
          <w:szCs w:val="21"/>
        </w:rPr>
        <w:t>c</w:t>
      </w:r>
      <w:r>
        <w:rPr>
          <w:rFonts w:hAnsi="宋体" w:cs="宋体" w:hint="eastAsia"/>
          <w:szCs w:val="21"/>
        </w:rPr>
        <w:t>）</w:t>
      </w:r>
      <w:proofErr w:type="gramStart"/>
      <w:r>
        <w:rPr>
          <w:rFonts w:hAnsi="宋体" w:cs="宋体" w:hint="eastAsia"/>
          <w:szCs w:val="21"/>
        </w:rPr>
        <w:t>科创板退</w:t>
      </w:r>
      <w:proofErr w:type="gramEnd"/>
      <w:r>
        <w:rPr>
          <w:rFonts w:hAnsi="宋体" w:cs="宋体" w:hint="eastAsia"/>
          <w:szCs w:val="21"/>
        </w:rPr>
        <w:t>市制度较主板更为严格，退</w:t>
      </w:r>
      <w:proofErr w:type="gramStart"/>
      <w:r>
        <w:rPr>
          <w:rFonts w:hAnsi="宋体" w:cs="宋体" w:hint="eastAsia"/>
          <w:szCs w:val="21"/>
        </w:rPr>
        <w:t>市时间</w:t>
      </w:r>
      <w:proofErr w:type="gramEnd"/>
      <w:r>
        <w:rPr>
          <w:rFonts w:hAnsi="宋体" w:cs="宋体" w:hint="eastAsia"/>
          <w:szCs w:val="21"/>
        </w:rPr>
        <w:t>更短，退</w:t>
      </w:r>
      <w:proofErr w:type="gramStart"/>
      <w:r>
        <w:rPr>
          <w:rFonts w:hAnsi="宋体" w:cs="宋体" w:hint="eastAsia"/>
          <w:szCs w:val="21"/>
        </w:rPr>
        <w:t>市速度</w:t>
      </w:r>
      <w:proofErr w:type="gramEnd"/>
      <w:r>
        <w:rPr>
          <w:rFonts w:hAnsi="宋体" w:cs="宋体" w:hint="eastAsia"/>
          <w:szCs w:val="21"/>
        </w:rPr>
        <w:t>更快；退市情形更多，新增了市值低于规定标准、上市公司信息披露或者规范运作存在重大缺陷导致退市的情形；执行标准更严，明显丧失持续经营能力，依赖与主业无关的贸易或者不具备商业实质的关联交易维持收入的上市公司可能会被退市。因此，本计划可能存在因所持个股遭遇非预期性的退市而给计划带来损失的风险。</w:t>
      </w:r>
    </w:p>
    <w:p w14:paraId="1C85A891" w14:textId="77777777" w:rsidR="00694F14" w:rsidRDefault="00A463B7">
      <w:pPr>
        <w:pStyle w:val="aff"/>
        <w:spacing w:line="360" w:lineRule="auto"/>
        <w:ind w:firstLine="420"/>
        <w:rPr>
          <w:rFonts w:hAnsi="宋体" w:cs="宋体"/>
          <w:szCs w:val="21"/>
        </w:rPr>
      </w:pPr>
      <w:r>
        <w:rPr>
          <w:rFonts w:hAnsi="宋体" w:cs="宋体" w:hint="eastAsia"/>
          <w:szCs w:val="21"/>
        </w:rPr>
        <w:t>d</w:t>
      </w:r>
      <w:r>
        <w:rPr>
          <w:rFonts w:hAnsi="宋体" w:cs="宋体" w:hint="eastAsia"/>
          <w:szCs w:val="21"/>
        </w:rPr>
        <w:t>）</w:t>
      </w:r>
      <w:proofErr w:type="gramStart"/>
      <w:r>
        <w:rPr>
          <w:rFonts w:hAnsi="宋体" w:cs="宋体" w:hint="eastAsia"/>
          <w:szCs w:val="21"/>
        </w:rPr>
        <w:t>科创板股票</w:t>
      </w:r>
      <w:proofErr w:type="gramEnd"/>
      <w:r>
        <w:rPr>
          <w:rFonts w:hAnsi="宋体" w:cs="宋体" w:hint="eastAsia"/>
          <w:szCs w:val="21"/>
        </w:rPr>
        <w:t>竞价交易设置较宽的涨跌幅限制，首次公开发行上市的股票，上市后的前</w:t>
      </w:r>
      <w:r>
        <w:rPr>
          <w:rFonts w:hAnsi="宋体" w:cs="宋体" w:hint="eastAsia"/>
          <w:szCs w:val="21"/>
        </w:rPr>
        <w:t>5</w:t>
      </w:r>
      <w:r>
        <w:rPr>
          <w:rFonts w:hAnsi="宋体" w:cs="宋体" w:hint="eastAsia"/>
          <w:szCs w:val="21"/>
        </w:rPr>
        <w:t>个交易日不设涨跌幅限制，其后涨跌幅限制为</w:t>
      </w:r>
      <w:r>
        <w:rPr>
          <w:rFonts w:hAnsi="宋体" w:cs="宋体" w:hint="eastAsia"/>
          <w:szCs w:val="21"/>
        </w:rPr>
        <w:t>20%</w:t>
      </w:r>
      <w:r>
        <w:rPr>
          <w:rFonts w:hAnsi="宋体" w:cs="宋体" w:hint="eastAsia"/>
          <w:szCs w:val="21"/>
        </w:rPr>
        <w:t>，因此股价波动风险</w:t>
      </w:r>
      <w:r>
        <w:rPr>
          <w:rFonts w:hAnsi="宋体" w:cs="宋体" w:hint="eastAsia"/>
          <w:szCs w:val="21"/>
        </w:rPr>
        <w:t>更大，从而导致本计划净值的波动。</w:t>
      </w:r>
    </w:p>
    <w:p w14:paraId="4EA082BD"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3</w:t>
      </w:r>
      <w:r>
        <w:rPr>
          <w:rFonts w:hAnsi="宋体" w:cs="宋体" w:hint="eastAsia"/>
          <w:szCs w:val="21"/>
        </w:rPr>
        <w:t>）商品及金融衍生品的投资风险</w:t>
      </w:r>
    </w:p>
    <w:p w14:paraId="7EC4721C"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本计划若投资于金融期货、商品期货、交易所期权等金融衍生品，无论管理人是否出于投机目的对金融衍生品进行投资，由于金融衍生品的高杠杆性等特征，对金融衍生品的投资无论在任何情况下均具有较高的风险。</w:t>
      </w:r>
    </w:p>
    <w:p w14:paraId="515A9A20"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）管理人以期货交易所会员（即期货经纪人）之客户的身份参与期货交易，可能存在因期货经纪人违规经营、管理疏忽、资金能力出现问题等原因而导致本计划蒙受损失。</w:t>
      </w:r>
    </w:p>
    <w:p w14:paraId="1BD7A481" w14:textId="77777777" w:rsidR="00694F14" w:rsidRDefault="00A463B7">
      <w:pPr>
        <w:pStyle w:val="aff"/>
        <w:spacing w:line="360" w:lineRule="auto"/>
        <w:ind w:firstLine="420"/>
        <w:rPr>
          <w:rFonts w:hAnsi="宋体" w:cs="宋体"/>
          <w:szCs w:val="21"/>
        </w:rPr>
      </w:pPr>
      <w:r>
        <w:rPr>
          <w:rFonts w:hAnsi="宋体" w:cs="宋体" w:hint="eastAsia"/>
          <w:szCs w:val="21"/>
        </w:rPr>
        <w:t>c</w:t>
      </w:r>
      <w:r>
        <w:rPr>
          <w:rFonts w:hAnsi="宋体" w:cs="宋体" w:hint="eastAsia"/>
          <w:szCs w:val="21"/>
        </w:rPr>
        <w:t>）期货交易所实行保证金制度、当日无负债结算制度、涨跌停板制度、持仓限额和大户持仓报告制度、风</w:t>
      </w:r>
      <w:r>
        <w:rPr>
          <w:rFonts w:hAnsi="宋体" w:cs="宋体" w:hint="eastAsia"/>
          <w:szCs w:val="21"/>
        </w:rPr>
        <w:t>险准备金制度以及国务院期货监督管理机构规定的其他风险管理制度。本</w:t>
      </w:r>
      <w:proofErr w:type="gramStart"/>
      <w:r>
        <w:rPr>
          <w:rFonts w:hAnsi="宋体" w:cs="宋体" w:hint="eastAsia"/>
          <w:szCs w:val="21"/>
        </w:rPr>
        <w:t>资管计划</w:t>
      </w:r>
      <w:proofErr w:type="gramEnd"/>
      <w:r>
        <w:rPr>
          <w:rFonts w:hAnsi="宋体" w:cs="宋体" w:hint="eastAsia"/>
          <w:szCs w:val="21"/>
        </w:rPr>
        <w:t>可能因保证金不足而被采取限制开仓、强制平仓，进而可能给本</w:t>
      </w:r>
      <w:proofErr w:type="gramStart"/>
      <w:r>
        <w:rPr>
          <w:rFonts w:hAnsi="宋体" w:cs="宋体" w:hint="eastAsia"/>
          <w:szCs w:val="21"/>
        </w:rPr>
        <w:t>资管计划</w:t>
      </w:r>
      <w:proofErr w:type="gramEnd"/>
      <w:r>
        <w:rPr>
          <w:rFonts w:hAnsi="宋体" w:cs="宋体" w:hint="eastAsia"/>
          <w:szCs w:val="21"/>
        </w:rPr>
        <w:t>造成重大损失；本</w:t>
      </w:r>
      <w:proofErr w:type="gramStart"/>
      <w:r>
        <w:rPr>
          <w:rFonts w:hAnsi="宋体" w:cs="宋体" w:hint="eastAsia"/>
          <w:szCs w:val="21"/>
        </w:rPr>
        <w:t>资管计划</w:t>
      </w:r>
      <w:proofErr w:type="gramEnd"/>
      <w:r>
        <w:rPr>
          <w:rFonts w:hAnsi="宋体" w:cs="宋体" w:hint="eastAsia"/>
          <w:szCs w:val="21"/>
        </w:rPr>
        <w:t>所委托的交易所会员除接受本</w:t>
      </w:r>
      <w:proofErr w:type="gramStart"/>
      <w:r>
        <w:rPr>
          <w:rFonts w:hAnsi="宋体" w:cs="宋体" w:hint="eastAsia"/>
          <w:szCs w:val="21"/>
        </w:rPr>
        <w:t>资管计划</w:t>
      </w:r>
      <w:proofErr w:type="gramEnd"/>
      <w:r>
        <w:rPr>
          <w:rFonts w:hAnsi="宋体" w:cs="宋体" w:hint="eastAsia"/>
          <w:szCs w:val="21"/>
        </w:rPr>
        <w:t>委托外</w:t>
      </w:r>
      <w:r>
        <w:rPr>
          <w:rFonts w:hAnsi="宋体" w:cs="宋体" w:hint="eastAsia"/>
          <w:szCs w:val="21"/>
        </w:rPr>
        <w:t>,</w:t>
      </w:r>
      <w:r>
        <w:rPr>
          <w:rFonts w:hAnsi="宋体" w:cs="宋体" w:hint="eastAsia"/>
          <w:szCs w:val="21"/>
        </w:rPr>
        <w:t>还可能同时接受其他主体的委托</w:t>
      </w:r>
      <w:r>
        <w:rPr>
          <w:rFonts w:hAnsi="宋体" w:cs="宋体" w:hint="eastAsia"/>
          <w:szCs w:val="21"/>
        </w:rPr>
        <w:t>,</w:t>
      </w:r>
      <w:r>
        <w:rPr>
          <w:rFonts w:hAnsi="宋体" w:cs="宋体" w:hint="eastAsia"/>
          <w:szCs w:val="21"/>
        </w:rPr>
        <w:t>本</w:t>
      </w:r>
      <w:proofErr w:type="gramStart"/>
      <w:r>
        <w:rPr>
          <w:rFonts w:hAnsi="宋体" w:cs="宋体" w:hint="eastAsia"/>
          <w:szCs w:val="21"/>
        </w:rPr>
        <w:t>资管计划</w:t>
      </w:r>
      <w:proofErr w:type="gramEnd"/>
      <w:r>
        <w:rPr>
          <w:rFonts w:hAnsi="宋体" w:cs="宋体" w:hint="eastAsia"/>
          <w:szCs w:val="21"/>
        </w:rPr>
        <w:t>所委托的交易所会员发生保证金不足时将被采取限制开仓、强制平仓等措施，而这种不足不一定是本</w:t>
      </w:r>
      <w:proofErr w:type="gramStart"/>
      <w:r>
        <w:rPr>
          <w:rFonts w:hAnsi="宋体" w:cs="宋体" w:hint="eastAsia"/>
          <w:szCs w:val="21"/>
        </w:rPr>
        <w:t>资管计划</w:t>
      </w:r>
      <w:proofErr w:type="gramEnd"/>
      <w:r>
        <w:rPr>
          <w:rFonts w:hAnsi="宋体" w:cs="宋体" w:hint="eastAsia"/>
          <w:szCs w:val="21"/>
        </w:rPr>
        <w:t>的保证金不足造成的</w:t>
      </w:r>
      <w:r>
        <w:rPr>
          <w:rFonts w:hAnsi="宋体" w:cs="宋体" w:hint="eastAsia"/>
          <w:szCs w:val="21"/>
        </w:rPr>
        <w:t>,</w:t>
      </w:r>
      <w:r>
        <w:rPr>
          <w:rFonts w:hAnsi="宋体" w:cs="宋体" w:hint="eastAsia"/>
          <w:szCs w:val="21"/>
        </w:rPr>
        <w:t>还可能是上述交易所会员进行其他主体的委托操作所造成的</w:t>
      </w:r>
      <w:r>
        <w:rPr>
          <w:rFonts w:hAnsi="宋体" w:cs="宋体" w:hint="eastAsia"/>
          <w:szCs w:val="21"/>
        </w:rPr>
        <w:t>,</w:t>
      </w:r>
      <w:r>
        <w:rPr>
          <w:rFonts w:hAnsi="宋体" w:cs="宋体" w:hint="eastAsia"/>
          <w:szCs w:val="21"/>
        </w:rPr>
        <w:t>但即便如此本</w:t>
      </w:r>
      <w:proofErr w:type="gramStart"/>
      <w:r>
        <w:rPr>
          <w:rFonts w:hAnsi="宋体" w:cs="宋体" w:hint="eastAsia"/>
          <w:szCs w:val="21"/>
        </w:rPr>
        <w:t>资管计划</w:t>
      </w:r>
      <w:proofErr w:type="gramEnd"/>
      <w:r>
        <w:rPr>
          <w:rFonts w:hAnsi="宋体" w:cs="宋体" w:hint="eastAsia"/>
          <w:szCs w:val="21"/>
        </w:rPr>
        <w:t>也可能因此受到重大损失；为及时缴纳保证金，本</w:t>
      </w:r>
      <w:proofErr w:type="gramStart"/>
      <w:r>
        <w:rPr>
          <w:rFonts w:hAnsi="宋体" w:cs="宋体" w:hint="eastAsia"/>
          <w:szCs w:val="21"/>
        </w:rPr>
        <w:t>资管计划</w:t>
      </w:r>
      <w:proofErr w:type="gramEnd"/>
      <w:r>
        <w:rPr>
          <w:rFonts w:hAnsi="宋体" w:cs="宋体" w:hint="eastAsia"/>
          <w:szCs w:val="21"/>
        </w:rPr>
        <w:t>可能紧急变现部分</w:t>
      </w:r>
      <w:proofErr w:type="gramStart"/>
      <w:r>
        <w:rPr>
          <w:rFonts w:hAnsi="宋体" w:cs="宋体" w:hint="eastAsia"/>
          <w:szCs w:val="21"/>
        </w:rPr>
        <w:t>资管计划</w:t>
      </w:r>
      <w:proofErr w:type="gramEnd"/>
      <w:r>
        <w:rPr>
          <w:rFonts w:hAnsi="宋体" w:cs="宋体" w:hint="eastAsia"/>
          <w:szCs w:val="21"/>
        </w:rPr>
        <w:t>财产</w:t>
      </w:r>
      <w:r>
        <w:rPr>
          <w:rFonts w:hAnsi="宋体" w:cs="宋体" w:hint="eastAsia"/>
          <w:szCs w:val="21"/>
        </w:rPr>
        <w:t>，在上述情况下，该部分</w:t>
      </w:r>
      <w:proofErr w:type="gramStart"/>
      <w:r>
        <w:rPr>
          <w:rFonts w:hAnsi="宋体" w:cs="宋体" w:hint="eastAsia"/>
          <w:szCs w:val="21"/>
        </w:rPr>
        <w:t>资管计划</w:t>
      </w:r>
      <w:proofErr w:type="gramEnd"/>
      <w:r>
        <w:rPr>
          <w:rFonts w:hAnsi="宋体" w:cs="宋体" w:hint="eastAsia"/>
          <w:szCs w:val="21"/>
        </w:rPr>
        <w:t>财产的变现可能并非以最优价格进行，从而造成本</w:t>
      </w:r>
      <w:proofErr w:type="gramStart"/>
      <w:r>
        <w:rPr>
          <w:rFonts w:hAnsi="宋体" w:cs="宋体" w:hint="eastAsia"/>
          <w:szCs w:val="21"/>
        </w:rPr>
        <w:t>资管计划</w:t>
      </w:r>
      <w:proofErr w:type="gramEnd"/>
      <w:r>
        <w:rPr>
          <w:rFonts w:hAnsi="宋体" w:cs="宋体" w:hint="eastAsia"/>
          <w:szCs w:val="21"/>
        </w:rPr>
        <w:t>的损失。本</w:t>
      </w:r>
      <w:proofErr w:type="gramStart"/>
      <w:r>
        <w:rPr>
          <w:rFonts w:hAnsi="宋体" w:cs="宋体" w:hint="eastAsia"/>
          <w:szCs w:val="21"/>
        </w:rPr>
        <w:t>资管计划</w:t>
      </w:r>
      <w:proofErr w:type="gramEnd"/>
      <w:r>
        <w:rPr>
          <w:rFonts w:hAnsi="宋体" w:cs="宋体" w:hint="eastAsia"/>
          <w:szCs w:val="21"/>
        </w:rPr>
        <w:t>及本</w:t>
      </w:r>
      <w:proofErr w:type="gramStart"/>
      <w:r>
        <w:rPr>
          <w:rFonts w:hAnsi="宋体" w:cs="宋体" w:hint="eastAsia"/>
          <w:szCs w:val="21"/>
        </w:rPr>
        <w:t>资管计划</w:t>
      </w:r>
      <w:proofErr w:type="gramEnd"/>
      <w:r>
        <w:rPr>
          <w:rFonts w:hAnsi="宋体" w:cs="宋体" w:hint="eastAsia"/>
          <w:szCs w:val="21"/>
        </w:rPr>
        <w:t>所委托的交易所会员可能被实行强制结算，一旦本</w:t>
      </w:r>
      <w:proofErr w:type="gramStart"/>
      <w:r>
        <w:rPr>
          <w:rFonts w:hAnsi="宋体" w:cs="宋体" w:hint="eastAsia"/>
          <w:szCs w:val="21"/>
        </w:rPr>
        <w:t>资管计划</w:t>
      </w:r>
      <w:proofErr w:type="gramEnd"/>
      <w:r>
        <w:rPr>
          <w:rFonts w:hAnsi="宋体" w:cs="宋体" w:hint="eastAsia"/>
          <w:szCs w:val="21"/>
        </w:rPr>
        <w:t>或本</w:t>
      </w:r>
      <w:proofErr w:type="gramStart"/>
      <w:r>
        <w:rPr>
          <w:rFonts w:hAnsi="宋体" w:cs="宋体" w:hint="eastAsia"/>
          <w:szCs w:val="21"/>
        </w:rPr>
        <w:t>资管计划</w:t>
      </w:r>
      <w:proofErr w:type="gramEnd"/>
      <w:r>
        <w:rPr>
          <w:rFonts w:hAnsi="宋体" w:cs="宋体" w:hint="eastAsia"/>
          <w:szCs w:val="21"/>
        </w:rPr>
        <w:t>所委托的交易所会员被强制结算、可能给本</w:t>
      </w:r>
      <w:proofErr w:type="gramStart"/>
      <w:r>
        <w:rPr>
          <w:rFonts w:hAnsi="宋体" w:cs="宋体" w:hint="eastAsia"/>
          <w:szCs w:val="21"/>
        </w:rPr>
        <w:t>资管计划</w:t>
      </w:r>
      <w:proofErr w:type="gramEnd"/>
      <w:r>
        <w:rPr>
          <w:rFonts w:hAnsi="宋体" w:cs="宋体" w:hint="eastAsia"/>
          <w:szCs w:val="21"/>
        </w:rPr>
        <w:t>财产造成损失。</w:t>
      </w:r>
    </w:p>
    <w:p w14:paraId="3ACEAB66" w14:textId="77777777" w:rsidR="00694F14" w:rsidRDefault="00A463B7">
      <w:pPr>
        <w:pStyle w:val="aff"/>
        <w:spacing w:line="360" w:lineRule="auto"/>
        <w:ind w:firstLine="420"/>
        <w:rPr>
          <w:rFonts w:hAnsi="宋体" w:cs="宋体"/>
          <w:szCs w:val="21"/>
        </w:rPr>
      </w:pPr>
      <w:r>
        <w:rPr>
          <w:rFonts w:hAnsi="宋体" w:cs="宋体" w:hint="eastAsia"/>
          <w:szCs w:val="21"/>
        </w:rPr>
        <w:t>d</w:t>
      </w:r>
      <w:r>
        <w:rPr>
          <w:rFonts w:hAnsi="宋体" w:cs="宋体" w:hint="eastAsia"/>
          <w:szCs w:val="21"/>
        </w:rPr>
        <w:t>）金融衍生品具有高杠杆性的特征，当出现不利行情时，本</w:t>
      </w:r>
      <w:proofErr w:type="gramStart"/>
      <w:r>
        <w:rPr>
          <w:rFonts w:hAnsi="宋体" w:cs="宋体" w:hint="eastAsia"/>
          <w:szCs w:val="21"/>
        </w:rPr>
        <w:t>资管计划</w:t>
      </w:r>
      <w:proofErr w:type="gramEnd"/>
      <w:r>
        <w:rPr>
          <w:rFonts w:hAnsi="宋体" w:cs="宋体" w:hint="eastAsia"/>
          <w:szCs w:val="21"/>
        </w:rPr>
        <w:t>所投资期货合约品种微小的变动就可能使本</w:t>
      </w:r>
      <w:proofErr w:type="gramStart"/>
      <w:r>
        <w:rPr>
          <w:rFonts w:hAnsi="宋体" w:cs="宋体" w:hint="eastAsia"/>
          <w:szCs w:val="21"/>
        </w:rPr>
        <w:t>资管计划</w:t>
      </w:r>
      <w:proofErr w:type="gramEnd"/>
      <w:r>
        <w:rPr>
          <w:rFonts w:hAnsi="宋体" w:cs="宋体" w:hint="eastAsia"/>
          <w:szCs w:val="21"/>
        </w:rPr>
        <w:t>遭受较大损失。</w:t>
      </w:r>
    </w:p>
    <w:p w14:paraId="25924D49"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e</w:t>
      </w:r>
      <w:r>
        <w:rPr>
          <w:rFonts w:hAnsi="宋体" w:cs="宋体" w:hint="eastAsia"/>
          <w:szCs w:val="21"/>
        </w:rPr>
        <w:t>）在市场剧烈变化的情况下，管理人可能难以或无法将持有的未平仓合约平仓。这类情况将导致保证金有可能无法弥补全部损失，本</w:t>
      </w:r>
      <w:proofErr w:type="gramStart"/>
      <w:r>
        <w:rPr>
          <w:rFonts w:hAnsi="宋体" w:cs="宋体" w:hint="eastAsia"/>
          <w:szCs w:val="21"/>
        </w:rPr>
        <w:t>资管计划</w:t>
      </w:r>
      <w:proofErr w:type="gramEnd"/>
      <w:r>
        <w:rPr>
          <w:rFonts w:hAnsi="宋体" w:cs="宋体" w:hint="eastAsia"/>
          <w:szCs w:val="21"/>
        </w:rPr>
        <w:t>必须承担由此导致的全部损</w:t>
      </w:r>
      <w:r>
        <w:rPr>
          <w:rFonts w:hAnsi="宋体" w:cs="宋体" w:hint="eastAsia"/>
          <w:szCs w:val="21"/>
        </w:rPr>
        <w:t>失。同时本</w:t>
      </w:r>
      <w:proofErr w:type="gramStart"/>
      <w:r>
        <w:rPr>
          <w:rFonts w:hAnsi="宋体" w:cs="宋体" w:hint="eastAsia"/>
          <w:szCs w:val="21"/>
        </w:rPr>
        <w:t>资管计划</w:t>
      </w:r>
      <w:proofErr w:type="gramEnd"/>
      <w:r>
        <w:rPr>
          <w:rFonts w:hAnsi="宋体" w:cs="宋体" w:hint="eastAsia"/>
          <w:szCs w:val="21"/>
        </w:rPr>
        <w:t>将面临期货合约无法当天平仓而价格变动的风险。</w:t>
      </w:r>
    </w:p>
    <w:p w14:paraId="78ABAC34" w14:textId="77777777" w:rsidR="00694F14" w:rsidRDefault="00A463B7">
      <w:pPr>
        <w:pStyle w:val="aff"/>
        <w:spacing w:line="360" w:lineRule="auto"/>
        <w:ind w:firstLine="420"/>
        <w:rPr>
          <w:rFonts w:hAnsi="宋体" w:cs="宋体"/>
          <w:szCs w:val="21"/>
        </w:rPr>
      </w:pPr>
      <w:r>
        <w:rPr>
          <w:rFonts w:hAnsi="宋体" w:cs="宋体" w:hint="eastAsia"/>
          <w:szCs w:val="21"/>
        </w:rPr>
        <w:t>f</w:t>
      </w:r>
      <w:r>
        <w:rPr>
          <w:rFonts w:hAnsi="宋体" w:cs="宋体" w:hint="eastAsia"/>
          <w:szCs w:val="21"/>
        </w:rPr>
        <w:t>）相关交易所可能对交易品种的套期保值或套利实行额度管理，本</w:t>
      </w:r>
      <w:proofErr w:type="gramStart"/>
      <w:r>
        <w:rPr>
          <w:rFonts w:hAnsi="宋体" w:cs="宋体" w:hint="eastAsia"/>
          <w:szCs w:val="21"/>
        </w:rPr>
        <w:t>资管计划如拟</w:t>
      </w:r>
      <w:proofErr w:type="gramEnd"/>
      <w:r>
        <w:rPr>
          <w:rFonts w:hAnsi="宋体" w:cs="宋体" w:hint="eastAsia"/>
          <w:szCs w:val="21"/>
        </w:rPr>
        <w:t>进行某交易品种的套期保值或套利交易的，可能因无法申请额度或无法及时获得额度而不能开展相关交易。</w:t>
      </w:r>
    </w:p>
    <w:p w14:paraId="6CFA3A0E" w14:textId="77777777" w:rsidR="00694F14" w:rsidRDefault="00A463B7">
      <w:pPr>
        <w:pStyle w:val="aff"/>
        <w:spacing w:line="360" w:lineRule="auto"/>
        <w:ind w:firstLine="420"/>
        <w:rPr>
          <w:rFonts w:hAnsi="宋体" w:cs="宋体"/>
          <w:szCs w:val="21"/>
        </w:rPr>
      </w:pPr>
      <w:r>
        <w:rPr>
          <w:rFonts w:hAnsi="宋体" w:cs="宋体" w:hint="eastAsia"/>
          <w:szCs w:val="21"/>
        </w:rPr>
        <w:t>g</w:t>
      </w:r>
      <w:r>
        <w:rPr>
          <w:rFonts w:hAnsi="宋体" w:cs="宋体" w:hint="eastAsia"/>
          <w:szCs w:val="21"/>
        </w:rPr>
        <w:t>）相比于其他交易品种，金融衍生品的投资交易可能更加频繁，频繁操作将可能增加管理人、期货经纪人等相关</w:t>
      </w:r>
      <w:proofErr w:type="gramStart"/>
      <w:r>
        <w:rPr>
          <w:rFonts w:hAnsi="宋体" w:cs="宋体" w:hint="eastAsia"/>
          <w:szCs w:val="21"/>
        </w:rPr>
        <w:t>方操作</w:t>
      </w:r>
      <w:proofErr w:type="gramEnd"/>
      <w:r>
        <w:rPr>
          <w:rFonts w:hAnsi="宋体" w:cs="宋体" w:hint="eastAsia"/>
          <w:szCs w:val="21"/>
        </w:rPr>
        <w:t>失误的可能性，存在操作风险。</w:t>
      </w:r>
    </w:p>
    <w:p w14:paraId="56920BF8"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4</w:t>
      </w:r>
      <w:r>
        <w:rPr>
          <w:rFonts w:hAnsi="宋体" w:cs="宋体" w:hint="eastAsia"/>
          <w:szCs w:val="21"/>
        </w:rPr>
        <w:t>）投资于股指期货的特别风险</w:t>
      </w:r>
    </w:p>
    <w:p w14:paraId="3BE1FDB0" w14:textId="77777777" w:rsidR="00694F14" w:rsidRDefault="00A463B7">
      <w:pPr>
        <w:pStyle w:val="aff"/>
        <w:spacing w:line="360" w:lineRule="auto"/>
        <w:ind w:firstLine="420"/>
        <w:rPr>
          <w:rFonts w:hAnsi="宋体" w:cs="宋体"/>
          <w:szCs w:val="21"/>
        </w:rPr>
      </w:pPr>
      <w:r>
        <w:rPr>
          <w:rFonts w:hAnsi="宋体" w:cs="宋体" w:hint="eastAsia"/>
          <w:szCs w:val="21"/>
        </w:rPr>
        <w:t>除本合同提示的“商品及金融衍生品的投资风险”外，投资于股指期货还存在以下特别风险：作为股指期货合约标的</w:t>
      </w:r>
      <w:proofErr w:type="gramStart"/>
      <w:r>
        <w:rPr>
          <w:rFonts w:hAnsi="宋体" w:cs="宋体" w:hint="eastAsia"/>
          <w:szCs w:val="21"/>
        </w:rPr>
        <w:t>的</w:t>
      </w:r>
      <w:proofErr w:type="gramEnd"/>
      <w:r>
        <w:rPr>
          <w:rFonts w:hAnsi="宋体" w:cs="宋体" w:hint="eastAsia"/>
          <w:szCs w:val="21"/>
        </w:rPr>
        <w:t>股票指数</w:t>
      </w:r>
      <w:r>
        <w:rPr>
          <w:rFonts w:hAnsi="宋体" w:cs="宋体" w:hint="eastAsia"/>
          <w:szCs w:val="21"/>
        </w:rPr>
        <w:t>受股票交易市场价格波动的影响，从而给股指期货的投资来带风险。</w:t>
      </w:r>
    </w:p>
    <w:p w14:paraId="67CE258C"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5</w:t>
      </w:r>
      <w:r>
        <w:rPr>
          <w:rFonts w:hAnsi="宋体" w:cs="宋体" w:hint="eastAsia"/>
          <w:szCs w:val="21"/>
        </w:rPr>
        <w:t>）投资于国债期货的特别风险</w:t>
      </w:r>
    </w:p>
    <w:p w14:paraId="6A83592D" w14:textId="77777777" w:rsidR="00694F14" w:rsidRDefault="00A463B7">
      <w:pPr>
        <w:pStyle w:val="aff"/>
        <w:spacing w:line="360" w:lineRule="auto"/>
        <w:ind w:firstLine="420"/>
        <w:rPr>
          <w:rFonts w:hAnsi="宋体" w:cs="宋体"/>
          <w:szCs w:val="21"/>
        </w:rPr>
      </w:pPr>
      <w:r>
        <w:rPr>
          <w:rFonts w:hAnsi="宋体" w:cs="宋体" w:hint="eastAsia"/>
          <w:szCs w:val="21"/>
        </w:rPr>
        <w:t>除本合同提示的“商品及金融衍生品的投资风险”的风险外，投资于国债期货还存在以下特别风险：</w:t>
      </w:r>
    </w:p>
    <w:p w14:paraId="4C011413"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）为进行国债期货的交割，投资者需要提供符合交易所要求的可交割国债，如管理人未能在国债期货合约到期前进行平仓，则需要购入</w:t>
      </w:r>
      <w:r>
        <w:rPr>
          <w:rFonts w:hAnsi="宋体" w:cs="宋体" w:hint="eastAsia"/>
          <w:szCs w:val="21"/>
        </w:rPr>
        <w:t>/</w:t>
      </w:r>
      <w:r>
        <w:rPr>
          <w:rFonts w:hAnsi="宋体" w:cs="宋体" w:hint="eastAsia"/>
          <w:szCs w:val="21"/>
        </w:rPr>
        <w:t>接受相关的可交割国债以满足交割的需求，或者需要以差额补偿的方式了结未平仓合约，甚至有可能因持仓不满足交割要求而需要支付额外的违约金</w:t>
      </w:r>
      <w:r>
        <w:rPr>
          <w:rFonts w:hAnsi="宋体" w:cs="宋体" w:hint="eastAsia"/>
          <w:szCs w:val="21"/>
        </w:rPr>
        <w:t>/</w:t>
      </w:r>
      <w:r>
        <w:rPr>
          <w:rFonts w:hAnsi="宋体" w:cs="宋体" w:hint="eastAsia"/>
          <w:szCs w:val="21"/>
        </w:rPr>
        <w:t>补偿金等。</w:t>
      </w:r>
    </w:p>
    <w:p w14:paraId="606BF8FD"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）国债期货的合约标的为国债，与以较综合性的股票指数为标的物的股指期货相比，以国债合约作为合约标的</w:t>
      </w:r>
      <w:proofErr w:type="gramStart"/>
      <w:r>
        <w:rPr>
          <w:rFonts w:hAnsi="宋体" w:cs="宋体" w:hint="eastAsia"/>
          <w:szCs w:val="21"/>
        </w:rPr>
        <w:t>的</w:t>
      </w:r>
      <w:proofErr w:type="gramEnd"/>
      <w:r>
        <w:rPr>
          <w:rFonts w:hAnsi="宋体" w:cs="宋体" w:hint="eastAsia"/>
          <w:szCs w:val="21"/>
        </w:rPr>
        <w:t>国债期货的价格更容易受市场部分投资者或某一市场消息的影响而发生价格或持续或较大幅度的波动，从而给国债期货的投资带来风险。</w:t>
      </w:r>
    </w:p>
    <w:p w14:paraId="293BE4D1"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6</w:t>
      </w:r>
      <w:r>
        <w:rPr>
          <w:rFonts w:hAnsi="宋体" w:cs="宋体" w:hint="eastAsia"/>
          <w:szCs w:val="21"/>
        </w:rPr>
        <w:t>）投资于期权的特别风险</w:t>
      </w:r>
    </w:p>
    <w:p w14:paraId="79C5F6C5" w14:textId="77777777" w:rsidR="00694F14" w:rsidRDefault="00A463B7">
      <w:pPr>
        <w:pStyle w:val="aff"/>
        <w:spacing w:line="360" w:lineRule="auto"/>
        <w:ind w:firstLine="420"/>
        <w:rPr>
          <w:rFonts w:hAnsi="宋体" w:cs="宋体"/>
          <w:szCs w:val="21"/>
        </w:rPr>
      </w:pPr>
      <w:r>
        <w:rPr>
          <w:rFonts w:hAnsi="宋体" w:cs="宋体" w:hint="eastAsia"/>
          <w:szCs w:val="21"/>
        </w:rPr>
        <w:t>除提示的“商品及金融衍生品的投资风险”外，投资于期权，还存在以下特别风险：</w:t>
      </w:r>
    </w:p>
    <w:p w14:paraId="3A98E365"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）期权属于高风险高收益的金融衍生品，由于高杠杆特征，当出现不利行情时，所投资期权合约品种微小的变动就可能会使本计划遭受较大损失；</w:t>
      </w:r>
    </w:p>
    <w:p w14:paraId="16586F0A"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）期权合约交易采取权利金和保证金的交易方式，资产管理</w:t>
      </w:r>
      <w:r>
        <w:rPr>
          <w:rFonts w:hAnsi="宋体" w:cs="宋体" w:hint="eastAsia"/>
          <w:szCs w:val="21"/>
        </w:rPr>
        <w:t>计划购买期权可能没有任何收益，甚至损失全部投资；资产管理计划卖出期权可能发生巨额损失，这一损失可能大于该期权权利金，资产管理计划可能承受超过保证金甚至计划财产本金的损失。</w:t>
      </w:r>
    </w:p>
    <w:p w14:paraId="59A881D6"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7</w:t>
      </w:r>
      <w:r>
        <w:rPr>
          <w:rFonts w:hAnsi="宋体" w:cs="宋体" w:hint="eastAsia"/>
          <w:szCs w:val="21"/>
        </w:rPr>
        <w:t>）投资于债券等债权类资产的风险</w:t>
      </w:r>
    </w:p>
    <w:p w14:paraId="3089D937" w14:textId="77777777" w:rsidR="00694F14" w:rsidRDefault="00A463B7">
      <w:pPr>
        <w:pStyle w:val="aff"/>
        <w:spacing w:line="360" w:lineRule="auto"/>
        <w:ind w:firstLine="420"/>
        <w:rPr>
          <w:rFonts w:hAnsi="宋体" w:cs="宋体"/>
          <w:szCs w:val="21"/>
        </w:rPr>
      </w:pPr>
      <w:r>
        <w:rPr>
          <w:rFonts w:hAnsi="宋体" w:cs="宋体" w:hint="eastAsia"/>
          <w:szCs w:val="21"/>
        </w:rPr>
        <w:t>债券等固定收益类品种除存在市场风险、信用风险和流动性风险等外，还存在其自身的特定风险，包括：</w:t>
      </w:r>
    </w:p>
    <w:p w14:paraId="335EF117"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a</w:t>
      </w:r>
      <w:r>
        <w:rPr>
          <w:rFonts w:hAnsi="宋体" w:cs="宋体" w:hint="eastAsia"/>
          <w:szCs w:val="21"/>
        </w:rPr>
        <w:t>）市场平均利率水平变化导致债券价格变化的风险；</w:t>
      </w:r>
    </w:p>
    <w:p w14:paraId="5C53DE97"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）债券市场不同期限、</w:t>
      </w:r>
      <w:proofErr w:type="gramStart"/>
      <w:r>
        <w:rPr>
          <w:rFonts w:hAnsi="宋体" w:cs="宋体" w:hint="eastAsia"/>
          <w:szCs w:val="21"/>
        </w:rPr>
        <w:t>不</w:t>
      </w:r>
      <w:proofErr w:type="gramEnd"/>
      <w:r>
        <w:rPr>
          <w:rFonts w:hAnsi="宋体" w:cs="宋体" w:hint="eastAsia"/>
          <w:szCs w:val="21"/>
        </w:rPr>
        <w:t>同类属债券之间的利差变动导致相应期限和类属债券价格变化的风险；</w:t>
      </w:r>
    </w:p>
    <w:p w14:paraId="188F1B87" w14:textId="77777777" w:rsidR="00694F14" w:rsidRDefault="00A463B7">
      <w:pPr>
        <w:pStyle w:val="aff"/>
        <w:spacing w:line="360" w:lineRule="auto"/>
        <w:ind w:firstLine="420"/>
        <w:rPr>
          <w:rFonts w:hAnsi="宋体" w:cs="宋体"/>
          <w:szCs w:val="21"/>
        </w:rPr>
      </w:pPr>
      <w:r>
        <w:rPr>
          <w:rFonts w:hAnsi="宋体" w:cs="宋体" w:hint="eastAsia"/>
          <w:szCs w:val="21"/>
        </w:rPr>
        <w:t>c</w:t>
      </w:r>
      <w:r>
        <w:rPr>
          <w:rFonts w:hAnsi="宋体" w:cs="宋体" w:hint="eastAsia"/>
          <w:szCs w:val="21"/>
        </w:rPr>
        <w:t>）发行主体的风险：债券发行人出现违约导致债券无法及时兑付或付息，或由于</w:t>
      </w:r>
      <w:r>
        <w:rPr>
          <w:rFonts w:hAnsi="宋体" w:cs="宋体" w:hint="eastAsia"/>
          <w:szCs w:val="21"/>
        </w:rPr>
        <w:t>债券发行人信用质量降低导致债券价格下降的风险；</w:t>
      </w:r>
    </w:p>
    <w:p w14:paraId="451FC742" w14:textId="77777777" w:rsidR="00694F14" w:rsidRDefault="00A463B7">
      <w:pPr>
        <w:pStyle w:val="aff"/>
        <w:spacing w:line="360" w:lineRule="auto"/>
        <w:ind w:firstLine="420"/>
        <w:rPr>
          <w:rFonts w:hAnsi="宋体" w:cs="宋体"/>
          <w:szCs w:val="21"/>
        </w:rPr>
      </w:pPr>
      <w:r>
        <w:rPr>
          <w:rFonts w:hAnsi="宋体" w:cs="宋体" w:hint="eastAsia"/>
          <w:szCs w:val="21"/>
        </w:rPr>
        <w:t>d</w:t>
      </w:r>
      <w:r>
        <w:rPr>
          <w:rFonts w:hAnsi="宋体" w:cs="宋体" w:hint="eastAsia"/>
          <w:szCs w:val="21"/>
        </w:rPr>
        <w:t>）流动性风险：由于债券无法及时兑付、付息，导致投资人退出、清算延期办理，或因在存续期内投资人强制提前退出，导致计划债券折价变现造成损失的风险；</w:t>
      </w:r>
    </w:p>
    <w:p w14:paraId="6F2C182C" w14:textId="77777777" w:rsidR="00694F14" w:rsidRDefault="00A463B7">
      <w:pPr>
        <w:pStyle w:val="aff"/>
        <w:spacing w:line="360" w:lineRule="auto"/>
        <w:ind w:firstLine="420"/>
        <w:rPr>
          <w:rFonts w:hAnsi="宋体" w:cs="宋体"/>
          <w:szCs w:val="21"/>
        </w:rPr>
      </w:pPr>
      <w:r>
        <w:rPr>
          <w:rFonts w:hAnsi="宋体" w:cs="宋体" w:hint="eastAsia"/>
          <w:szCs w:val="21"/>
        </w:rPr>
        <w:t>e</w:t>
      </w:r>
      <w:r>
        <w:rPr>
          <w:rFonts w:hAnsi="宋体" w:cs="宋体" w:hint="eastAsia"/>
          <w:szCs w:val="21"/>
        </w:rPr>
        <w:t>）再投资风险：债券偿付本息后以及回购到期后可能由于市场利率的下降面临资金再投资的收益率低于原来利率；</w:t>
      </w:r>
    </w:p>
    <w:p w14:paraId="09A85117" w14:textId="77777777" w:rsidR="00694F14" w:rsidRDefault="00A463B7">
      <w:pPr>
        <w:pStyle w:val="aff"/>
        <w:spacing w:line="360" w:lineRule="auto"/>
        <w:ind w:firstLine="420"/>
        <w:rPr>
          <w:rFonts w:hAnsi="宋体" w:cs="宋体"/>
          <w:szCs w:val="21"/>
        </w:rPr>
      </w:pPr>
      <w:r>
        <w:rPr>
          <w:rFonts w:hAnsi="宋体" w:cs="宋体" w:hint="eastAsia"/>
          <w:szCs w:val="21"/>
        </w:rPr>
        <w:t>f</w:t>
      </w:r>
      <w:r>
        <w:rPr>
          <w:rFonts w:hAnsi="宋体" w:cs="宋体" w:hint="eastAsia"/>
          <w:szCs w:val="21"/>
        </w:rPr>
        <w:t>）债券回购风险：债券回购为提升整体投资组合收益提供了可能，其主要风险包括信用风险、投资风险及波动性加大的风险，其中，信用风险指回购交易中交易对手在回购到期时，不能偿还全部或部分证券或价款，造成计划净值损失的风险；</w:t>
      </w:r>
      <w:r>
        <w:rPr>
          <w:rFonts w:hAnsi="宋体" w:cs="宋体" w:hint="eastAsia"/>
          <w:szCs w:val="21"/>
        </w:rPr>
        <w:t>投资风险是指在进行回购操作时，回购利率大于债券投资收益而导致的风险以及由于回购操作导致投资总量放大，致使整个投资组合风险放大的风险；而波动性加大的风险是指在进行回购操作时，在对投资组合收益进行放大的同时，也对投资组合的波动性（标准差）进行了放大，即投资组合的风险将会加大。回购比例越高，风险暴露程度也就越高，对计划净值造成损失的可能性也就越大。</w:t>
      </w:r>
    </w:p>
    <w:p w14:paraId="193B91A3"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8</w:t>
      </w:r>
      <w:r>
        <w:rPr>
          <w:rFonts w:hAnsi="宋体" w:cs="宋体" w:hint="eastAsia"/>
          <w:szCs w:val="21"/>
        </w:rPr>
        <w:t>）投资于融资融券的特别风险</w:t>
      </w:r>
    </w:p>
    <w:p w14:paraId="1D4EC91F" w14:textId="77777777" w:rsidR="00694F14" w:rsidRDefault="00A463B7">
      <w:pPr>
        <w:pStyle w:val="aff"/>
        <w:spacing w:line="360" w:lineRule="auto"/>
        <w:ind w:firstLine="420"/>
        <w:rPr>
          <w:rFonts w:hAnsi="宋体" w:cs="宋体"/>
          <w:szCs w:val="21"/>
        </w:rPr>
      </w:pPr>
      <w:r>
        <w:rPr>
          <w:rFonts w:hAnsi="宋体" w:cs="宋体" w:hint="eastAsia"/>
          <w:szCs w:val="21"/>
        </w:rPr>
        <w:t>a</w:t>
      </w:r>
      <w:r>
        <w:rPr>
          <w:rFonts w:hAnsi="宋体" w:cs="宋体" w:hint="eastAsia"/>
          <w:szCs w:val="21"/>
        </w:rPr>
        <w:t>）可能放大投资损失的风险</w:t>
      </w:r>
    </w:p>
    <w:p w14:paraId="728678DC" w14:textId="77777777" w:rsidR="00694F14" w:rsidRDefault="00A463B7">
      <w:pPr>
        <w:pStyle w:val="aff"/>
        <w:spacing w:line="360" w:lineRule="auto"/>
        <w:ind w:firstLine="420"/>
        <w:rPr>
          <w:rFonts w:hAnsi="宋体" w:cs="宋体"/>
          <w:szCs w:val="21"/>
        </w:rPr>
      </w:pPr>
      <w:r>
        <w:rPr>
          <w:rFonts w:hAnsi="宋体" w:cs="宋体" w:hint="eastAsia"/>
          <w:szCs w:val="21"/>
        </w:rPr>
        <w:t>融资融券交易与普通证券交易不同，具有财务杠杆放大效应，它在放大投资收益的同时也必然放大投资损失。进行融资融</w:t>
      </w:r>
      <w:r>
        <w:rPr>
          <w:rFonts w:hAnsi="宋体" w:cs="宋体" w:hint="eastAsia"/>
          <w:szCs w:val="21"/>
        </w:rPr>
        <w:t>券交易时，既需要承担自有股票价格波动带来的风险，又得承担融资买入或融券卖出股票带来的风险，同时还须支付相应的利息和费用，由此承担的风险可能远远超过普通证券交易。</w:t>
      </w:r>
    </w:p>
    <w:p w14:paraId="2BD77E85" w14:textId="77777777" w:rsidR="00694F14" w:rsidRDefault="00A463B7">
      <w:pPr>
        <w:pStyle w:val="aff"/>
        <w:spacing w:line="360" w:lineRule="auto"/>
        <w:ind w:firstLine="420"/>
        <w:rPr>
          <w:rFonts w:hAnsi="宋体" w:cs="宋体"/>
          <w:szCs w:val="21"/>
        </w:rPr>
      </w:pPr>
      <w:r>
        <w:rPr>
          <w:rFonts w:hAnsi="宋体" w:cs="宋体" w:hint="eastAsia"/>
          <w:szCs w:val="21"/>
        </w:rPr>
        <w:t>b</w:t>
      </w:r>
      <w:r>
        <w:rPr>
          <w:rFonts w:hAnsi="宋体" w:cs="宋体" w:hint="eastAsia"/>
          <w:szCs w:val="21"/>
        </w:rPr>
        <w:t>）资不抵债的风险</w:t>
      </w:r>
    </w:p>
    <w:p w14:paraId="051D6BB1" w14:textId="77777777" w:rsidR="00694F14" w:rsidRDefault="00A463B7">
      <w:pPr>
        <w:pStyle w:val="aff"/>
        <w:spacing w:line="360" w:lineRule="auto"/>
        <w:ind w:firstLine="420"/>
        <w:rPr>
          <w:rFonts w:hAnsi="宋体" w:cs="宋体"/>
          <w:szCs w:val="21"/>
        </w:rPr>
      </w:pPr>
      <w:r>
        <w:rPr>
          <w:rFonts w:hAnsi="宋体" w:cs="宋体" w:hint="eastAsia"/>
          <w:szCs w:val="21"/>
        </w:rPr>
        <w:t>融资融券交易属于计划与证券公司之间资金和证券的借贷行为，计划需要承担因自主投资决策产生的风险，当发生亏损时，因需向证券公司偿还融资融券本金及利息，除损失自有资金外，有可能发生资不抵债的情形。</w:t>
      </w:r>
    </w:p>
    <w:p w14:paraId="54B921B1" w14:textId="77777777" w:rsidR="00694F14" w:rsidRDefault="00A463B7">
      <w:pPr>
        <w:pStyle w:val="aff"/>
        <w:spacing w:line="360" w:lineRule="auto"/>
        <w:ind w:firstLine="420"/>
        <w:rPr>
          <w:rFonts w:hAnsi="宋体" w:cs="宋体"/>
          <w:szCs w:val="21"/>
        </w:rPr>
      </w:pPr>
      <w:r>
        <w:rPr>
          <w:rFonts w:hAnsi="宋体" w:cs="宋体" w:hint="eastAsia"/>
          <w:szCs w:val="21"/>
        </w:rPr>
        <w:t>c</w:t>
      </w:r>
      <w:r>
        <w:rPr>
          <w:rFonts w:hAnsi="宋体" w:cs="宋体" w:hint="eastAsia"/>
          <w:szCs w:val="21"/>
        </w:rPr>
        <w:t>）特有的卖空风险</w:t>
      </w:r>
    </w:p>
    <w:p w14:paraId="5D4E6C93" w14:textId="77777777" w:rsidR="00694F14" w:rsidRDefault="00A463B7">
      <w:pPr>
        <w:pStyle w:val="aff"/>
        <w:spacing w:line="360" w:lineRule="auto"/>
        <w:ind w:firstLine="420"/>
        <w:rPr>
          <w:rFonts w:hAnsi="宋体" w:cs="宋体"/>
          <w:szCs w:val="21"/>
        </w:rPr>
      </w:pPr>
      <w:r>
        <w:rPr>
          <w:rFonts w:hAnsi="宋体" w:cs="宋体" w:hint="eastAsia"/>
          <w:szCs w:val="21"/>
        </w:rPr>
        <w:t>融资融券交易中的融券交易存在着与普通证券截然不同的风险——卖空风险。普通证券投资发生的损失是有限的，最多不会超过计划投</w:t>
      </w:r>
      <w:r>
        <w:rPr>
          <w:rFonts w:hAnsi="宋体" w:cs="宋体" w:hint="eastAsia"/>
          <w:szCs w:val="21"/>
        </w:rPr>
        <w:t>入的全部本金，但是融券交易的负债在理论上可以无限扩大，因为证券</w:t>
      </w:r>
      <w:r>
        <w:rPr>
          <w:rFonts w:hAnsi="宋体" w:cs="宋体" w:hint="eastAsia"/>
          <w:szCs w:val="21"/>
        </w:rPr>
        <w:lastRenderedPageBreak/>
        <w:t>上涨的幅度是没有上限的，而证券涨得越多，融券负债的规模就越大。此外，当融券卖出的证券长期停牌时，因无法买入证券，计划将无法及时归还融券负债，进而可能蒙受巨大的投资损失。</w:t>
      </w:r>
    </w:p>
    <w:p w14:paraId="24A8251C" w14:textId="77777777" w:rsidR="00694F14" w:rsidRDefault="00A463B7">
      <w:pPr>
        <w:pStyle w:val="aff"/>
        <w:spacing w:line="360" w:lineRule="auto"/>
        <w:ind w:firstLine="420"/>
        <w:rPr>
          <w:rFonts w:hAnsi="宋体" w:cs="宋体"/>
          <w:szCs w:val="21"/>
        </w:rPr>
      </w:pPr>
      <w:r>
        <w:rPr>
          <w:rFonts w:hAnsi="宋体" w:cs="宋体" w:hint="eastAsia"/>
          <w:szCs w:val="21"/>
        </w:rPr>
        <w:t>d</w:t>
      </w:r>
      <w:r>
        <w:rPr>
          <w:rFonts w:hAnsi="宋体" w:cs="宋体" w:hint="eastAsia"/>
          <w:szCs w:val="21"/>
        </w:rPr>
        <w:t>）强制平仓风险</w:t>
      </w:r>
    </w:p>
    <w:p w14:paraId="61A4779D" w14:textId="77777777" w:rsidR="00694F14" w:rsidRDefault="00A463B7">
      <w:pPr>
        <w:pStyle w:val="aff"/>
        <w:spacing w:line="360" w:lineRule="auto"/>
        <w:ind w:firstLine="420"/>
        <w:rPr>
          <w:rFonts w:hAnsi="宋体" w:cs="宋体"/>
          <w:szCs w:val="21"/>
        </w:rPr>
      </w:pPr>
      <w:r>
        <w:rPr>
          <w:rFonts w:hAnsi="宋体" w:cs="宋体" w:hint="eastAsia"/>
          <w:szCs w:val="21"/>
        </w:rPr>
        <w:t>融资融券交易中，计划与证券公司间除了债权债务关系，还存在因债权债务产生的信托关系和担保关系。当计划未及时偿还融资融券本金及利息或信用账户的维持担保比例触及平仓维持担保比例时，证券公司为保护自身债权并根据融资融券合同约定有权对本基金信用账户内的担保资产执行强制平仓</w:t>
      </w:r>
      <w:r>
        <w:rPr>
          <w:rFonts w:hAnsi="宋体" w:cs="宋体" w:hint="eastAsia"/>
          <w:szCs w:val="21"/>
        </w:rPr>
        <w:t>。平仓的品种、数量、价格、时机将不受计划的控制，平仓的数量、金额可能超过计划的全部负债，由此导致的一切损失，由计划自行承担。</w:t>
      </w:r>
    </w:p>
    <w:p w14:paraId="7D8DB712" w14:textId="77777777" w:rsidR="00694F14" w:rsidRDefault="00A463B7">
      <w:pPr>
        <w:pStyle w:val="aff"/>
        <w:spacing w:line="360" w:lineRule="auto"/>
        <w:ind w:firstLine="420"/>
        <w:rPr>
          <w:rFonts w:hAnsi="宋体" w:cs="宋体"/>
          <w:szCs w:val="21"/>
        </w:rPr>
      </w:pPr>
      <w:r>
        <w:rPr>
          <w:rFonts w:hAnsi="宋体" w:cs="宋体" w:hint="eastAsia"/>
          <w:szCs w:val="21"/>
        </w:rPr>
        <w:t>e</w:t>
      </w:r>
      <w:r>
        <w:rPr>
          <w:rFonts w:hAnsi="宋体" w:cs="宋体" w:hint="eastAsia"/>
          <w:szCs w:val="21"/>
        </w:rPr>
        <w:t>）提前了结债务的风险</w:t>
      </w:r>
    </w:p>
    <w:p w14:paraId="40B5231A" w14:textId="77777777" w:rsidR="00694F14" w:rsidRDefault="00A463B7">
      <w:pPr>
        <w:pStyle w:val="aff"/>
        <w:spacing w:line="360" w:lineRule="auto"/>
        <w:ind w:firstLine="420"/>
        <w:rPr>
          <w:rFonts w:hAnsi="宋体" w:cs="宋体"/>
          <w:szCs w:val="21"/>
        </w:rPr>
      </w:pPr>
      <w:r>
        <w:rPr>
          <w:rFonts w:hAnsi="宋体" w:cs="宋体" w:hint="eastAsia"/>
          <w:szCs w:val="21"/>
        </w:rPr>
        <w:t>在融资融券交易中，证券公司在融资融券合同中与计划约定提前了结融资融券债务的条款。计划在从事融资融券交易期间，如果发生可能影响计划偿债能力的重大事项或发生对标的证券产生重大不利影响的情形时，计划可能面临被证券公司提前了结融资融券交易的风险，并可能由此给计划造成损失。</w:t>
      </w:r>
    </w:p>
    <w:p w14:paraId="00107624" w14:textId="77777777" w:rsidR="00694F14" w:rsidRDefault="00A463B7">
      <w:pPr>
        <w:pStyle w:val="aff"/>
        <w:spacing w:line="360" w:lineRule="auto"/>
        <w:ind w:firstLine="420"/>
        <w:rPr>
          <w:rFonts w:hAnsi="宋体" w:cs="宋体"/>
          <w:szCs w:val="21"/>
        </w:rPr>
      </w:pPr>
      <w:r>
        <w:rPr>
          <w:rFonts w:hAnsi="宋体" w:cs="宋体" w:hint="eastAsia"/>
          <w:szCs w:val="21"/>
        </w:rPr>
        <w:t>f</w:t>
      </w:r>
      <w:r>
        <w:rPr>
          <w:rFonts w:hAnsi="宋体" w:cs="宋体" w:hint="eastAsia"/>
          <w:szCs w:val="21"/>
        </w:rPr>
        <w:t>）逆周期调节风险</w:t>
      </w:r>
    </w:p>
    <w:p w14:paraId="1290E074" w14:textId="77777777" w:rsidR="00694F14" w:rsidRDefault="00A463B7">
      <w:pPr>
        <w:pStyle w:val="aff"/>
        <w:spacing w:line="360" w:lineRule="auto"/>
        <w:ind w:firstLine="420"/>
        <w:rPr>
          <w:rFonts w:hAnsi="宋体" w:cs="宋体"/>
          <w:szCs w:val="21"/>
        </w:rPr>
      </w:pPr>
      <w:r>
        <w:rPr>
          <w:rFonts w:hAnsi="宋体" w:cs="宋体" w:hint="eastAsia"/>
          <w:szCs w:val="21"/>
        </w:rPr>
        <w:t>开展融资融券业务期间，当证监会、证券交易所或证券公司根据市场情况实施逆周期调</w:t>
      </w:r>
      <w:r>
        <w:rPr>
          <w:rFonts w:hAnsi="宋体" w:cs="宋体" w:hint="eastAsia"/>
          <w:szCs w:val="21"/>
        </w:rPr>
        <w:t>节，对保证金比例、标的证券范围、可充抵保证金的证券种类及折算率、补（平）</w:t>
      </w:r>
      <w:proofErr w:type="gramStart"/>
      <w:r>
        <w:rPr>
          <w:rFonts w:hAnsi="宋体" w:cs="宋体" w:hint="eastAsia"/>
          <w:szCs w:val="21"/>
        </w:rPr>
        <w:t>仓维持</w:t>
      </w:r>
      <w:proofErr w:type="gramEnd"/>
      <w:r>
        <w:rPr>
          <w:rFonts w:hAnsi="宋体" w:cs="宋体" w:hint="eastAsia"/>
          <w:szCs w:val="21"/>
        </w:rPr>
        <w:t>担保比例、提取担保物的维持担保比例、补仓期限、平仓期限、接受单只担保股票的市值与该股票总市值的最大比例、客户担保物中单一证券市值的</w:t>
      </w:r>
      <w:proofErr w:type="gramStart"/>
      <w:r>
        <w:rPr>
          <w:rFonts w:hAnsi="宋体" w:cs="宋体" w:hint="eastAsia"/>
          <w:szCs w:val="21"/>
        </w:rPr>
        <w:t>最大占</w:t>
      </w:r>
      <w:proofErr w:type="gramEnd"/>
      <w:r>
        <w:rPr>
          <w:rFonts w:hAnsi="宋体" w:cs="宋体" w:hint="eastAsia"/>
          <w:szCs w:val="21"/>
        </w:rPr>
        <w:t>比、合约展期应满足的条件等进行动态调整或发生标的证券或担保证券暂停交易或终止上市等情况，计划将可能面临被证券公司提前了结融资融券交易、已获批的固定额度失效、保证金可用余额减少、无法提取担保物、合约无法展期、信用账户交易受限或担保物以强制平仓等形式被处分的风险，可能造成的损失由计划自行承担。</w:t>
      </w:r>
    </w:p>
    <w:p w14:paraId="5AFF7D69" w14:textId="77777777" w:rsidR="00694F14" w:rsidRDefault="00A463B7">
      <w:pPr>
        <w:pStyle w:val="aff"/>
        <w:spacing w:line="360" w:lineRule="auto"/>
        <w:ind w:firstLine="420"/>
        <w:rPr>
          <w:rFonts w:hAnsi="宋体" w:cs="宋体"/>
          <w:szCs w:val="21"/>
        </w:rPr>
      </w:pPr>
      <w:r>
        <w:rPr>
          <w:rFonts w:hAnsi="宋体" w:cs="宋体" w:hint="eastAsia"/>
          <w:szCs w:val="21"/>
        </w:rPr>
        <w:t>8</w:t>
      </w:r>
      <w:r>
        <w:rPr>
          <w:rFonts w:hAnsi="宋体" w:cs="宋体" w:hint="eastAsia"/>
          <w:szCs w:val="21"/>
        </w:rPr>
        <w:t>、税</w:t>
      </w:r>
      <w:r>
        <w:rPr>
          <w:rFonts w:hAnsi="宋体" w:cs="宋体" w:hint="eastAsia"/>
          <w:szCs w:val="21"/>
        </w:rPr>
        <w:t>收风险</w:t>
      </w:r>
    </w:p>
    <w:p w14:paraId="167B0047" w14:textId="77777777" w:rsidR="00694F14" w:rsidRDefault="00A463B7">
      <w:pPr>
        <w:pStyle w:val="aff"/>
        <w:spacing w:line="360" w:lineRule="auto"/>
        <w:ind w:firstLine="420"/>
        <w:rPr>
          <w:rFonts w:hAnsi="宋体" w:cs="宋体"/>
          <w:szCs w:val="21"/>
        </w:rPr>
      </w:pPr>
      <w:r>
        <w:rPr>
          <w:rFonts w:hAnsi="宋体" w:cs="宋体" w:hint="eastAsia"/>
          <w:szCs w:val="21"/>
        </w:rPr>
        <w:t>资产管理计划所适用的税收征管法律法规可能会由于国家相关税收政策调整而发生变化，投资者收益也可能因相关税收政策调整而受到影响。</w:t>
      </w:r>
    </w:p>
    <w:p w14:paraId="07C670F9" w14:textId="77777777" w:rsidR="00694F14" w:rsidRDefault="00A463B7">
      <w:pPr>
        <w:pStyle w:val="aff"/>
        <w:spacing w:line="360" w:lineRule="auto"/>
        <w:ind w:firstLine="420"/>
        <w:rPr>
          <w:rFonts w:hAnsi="宋体" w:cs="宋体"/>
          <w:szCs w:val="21"/>
        </w:rPr>
      </w:pPr>
      <w:r>
        <w:rPr>
          <w:rFonts w:hAnsi="宋体" w:cs="宋体" w:hint="eastAsia"/>
          <w:szCs w:val="21"/>
        </w:rPr>
        <w:t>资产管理计划运营过程中需要缴纳增值税应税的，将由委托人承担并从委托资产中支付，按照税务机关的规定以资产管理人为增值税纳税人履行纳税义务，因此可能增加资产委托人的投资税费成本。</w:t>
      </w:r>
    </w:p>
    <w:p w14:paraId="62E8B761" w14:textId="77777777" w:rsidR="00694F14" w:rsidRDefault="00A463B7">
      <w:pPr>
        <w:pStyle w:val="aff"/>
        <w:spacing w:line="360" w:lineRule="auto"/>
        <w:ind w:firstLine="420"/>
        <w:rPr>
          <w:rFonts w:hAnsi="宋体" w:cs="宋体"/>
          <w:szCs w:val="21"/>
        </w:rPr>
      </w:pPr>
      <w:r>
        <w:rPr>
          <w:rFonts w:hAnsi="宋体" w:cs="宋体" w:hint="eastAsia"/>
          <w:szCs w:val="21"/>
        </w:rPr>
        <w:t>9</w:t>
      </w:r>
      <w:r>
        <w:rPr>
          <w:rFonts w:hAnsi="宋体" w:cs="宋体" w:hint="eastAsia"/>
          <w:szCs w:val="21"/>
        </w:rPr>
        <w:t>、关联交易风险</w:t>
      </w:r>
    </w:p>
    <w:p w14:paraId="14CFE38D" w14:textId="77777777" w:rsidR="00694F14" w:rsidRDefault="00A463B7">
      <w:pPr>
        <w:pStyle w:val="aff"/>
        <w:spacing w:line="360" w:lineRule="auto"/>
        <w:ind w:firstLine="420"/>
        <w:rPr>
          <w:rFonts w:hAnsi="宋体" w:cs="宋体"/>
          <w:szCs w:val="21"/>
        </w:rPr>
      </w:pPr>
      <w:r>
        <w:rPr>
          <w:rFonts w:hAnsi="宋体" w:cs="宋体" w:hint="eastAsia"/>
          <w:szCs w:val="21"/>
        </w:rPr>
        <w:t>在不损害委托人利益的前提下，管理人在根据计划合同规定管理、运用和处分计划财产时，可以公平的市场价格进行关联交易；委托人知晓并同意开展该等关联交易。该等关联交易事项可能包括但不限于管</w:t>
      </w:r>
      <w:r>
        <w:rPr>
          <w:rFonts w:hAnsi="宋体" w:cs="宋体" w:hint="eastAsia"/>
          <w:szCs w:val="21"/>
        </w:rPr>
        <w:lastRenderedPageBreak/>
        <w:t>理人可运用计划财产买卖计划管理人、托管人及其控股股东、实际控制人或者与其有其他重大利害关系的公司等关联</w:t>
      </w:r>
      <w:proofErr w:type="gramStart"/>
      <w:r>
        <w:rPr>
          <w:rFonts w:hAnsi="宋体" w:cs="宋体" w:hint="eastAsia"/>
          <w:szCs w:val="21"/>
        </w:rPr>
        <w:t>方发行</w:t>
      </w:r>
      <w:proofErr w:type="gramEnd"/>
      <w:r>
        <w:rPr>
          <w:rFonts w:hAnsi="宋体" w:cs="宋体" w:hint="eastAsia"/>
          <w:szCs w:val="21"/>
        </w:rPr>
        <w:t>的证券或承销期内承销的证券，或合同约定的其他形式的关联交易。管理人及资产管理计划相关方将根据监管规定及合同约定履行相关义务，管理人将在已知范围内确保交易价格公允。</w:t>
      </w:r>
    </w:p>
    <w:p w14:paraId="06594D80" w14:textId="77777777" w:rsidR="00694F14" w:rsidRDefault="00A463B7">
      <w:pPr>
        <w:pStyle w:val="aff"/>
        <w:spacing w:line="360" w:lineRule="auto"/>
        <w:ind w:firstLine="420"/>
        <w:rPr>
          <w:rFonts w:hAnsi="宋体" w:cs="宋体"/>
          <w:szCs w:val="21"/>
        </w:rPr>
      </w:pPr>
      <w:r>
        <w:rPr>
          <w:rFonts w:hAnsi="宋体" w:cs="宋体" w:hint="eastAsia"/>
          <w:szCs w:val="21"/>
        </w:rPr>
        <w:t>虽然资产管理人积极遵循资产委托人利益优先的原则、遵守相关法律</w:t>
      </w:r>
      <w:r>
        <w:rPr>
          <w:rFonts w:hAnsi="宋体" w:cs="宋体" w:hint="eastAsia"/>
          <w:szCs w:val="21"/>
        </w:rPr>
        <w:t>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w:t>
      </w:r>
    </w:p>
    <w:p w14:paraId="2AFEE099" w14:textId="77777777" w:rsidR="00694F14" w:rsidRDefault="00A463B7">
      <w:pPr>
        <w:pStyle w:val="aff"/>
        <w:spacing w:line="360" w:lineRule="auto"/>
        <w:ind w:firstLine="420"/>
        <w:rPr>
          <w:rFonts w:hAnsi="宋体" w:cs="宋体"/>
          <w:szCs w:val="21"/>
        </w:rPr>
      </w:pPr>
      <w:r>
        <w:rPr>
          <w:rFonts w:hAnsi="宋体" w:cs="宋体" w:hint="eastAsia"/>
          <w:szCs w:val="21"/>
        </w:rPr>
        <w:t>此外，资产管理人运用计划财产从事关联交易时可能依照相关法律法规、监管机构、自律组织的规定被限制相关权利的行使，进而可能影响委托财产的投资收益。</w:t>
      </w:r>
      <w:r>
        <w:rPr>
          <w:rFonts w:hAnsi="宋体" w:cs="宋体" w:hint="eastAsia"/>
          <w:szCs w:val="21"/>
        </w:rPr>
        <w:t xml:space="preserve"> </w:t>
      </w:r>
    </w:p>
    <w:p w14:paraId="0EFB10CC" w14:textId="77777777" w:rsidR="00694F14" w:rsidRDefault="00A463B7">
      <w:pPr>
        <w:pStyle w:val="aff"/>
        <w:spacing w:line="360" w:lineRule="auto"/>
        <w:ind w:firstLine="420"/>
        <w:rPr>
          <w:rFonts w:hAnsi="宋体" w:cs="宋体"/>
          <w:szCs w:val="21"/>
        </w:rPr>
      </w:pPr>
      <w:r>
        <w:rPr>
          <w:rFonts w:hAnsi="宋体" w:cs="宋体" w:hint="eastAsia"/>
          <w:szCs w:val="21"/>
        </w:rPr>
        <w:t>10</w:t>
      </w:r>
      <w:r>
        <w:rPr>
          <w:rFonts w:hAnsi="宋体" w:cs="宋体" w:hint="eastAsia"/>
          <w:szCs w:val="21"/>
        </w:rPr>
        <w:t>、操作或技术风险</w:t>
      </w:r>
    </w:p>
    <w:p w14:paraId="50C012F6" w14:textId="77777777" w:rsidR="00694F14" w:rsidRDefault="00A463B7">
      <w:pPr>
        <w:pStyle w:val="aff"/>
        <w:spacing w:line="360" w:lineRule="auto"/>
        <w:ind w:firstLine="420"/>
        <w:rPr>
          <w:rFonts w:hAnsi="宋体" w:cs="宋体"/>
          <w:szCs w:val="21"/>
        </w:rPr>
      </w:pPr>
      <w:r>
        <w:rPr>
          <w:rFonts w:hAnsi="宋体" w:cs="宋体" w:hint="eastAsia"/>
          <w:szCs w:val="21"/>
        </w:rPr>
        <w:t>相关当事人在业务各环节操作过程中，因内部控制存在缺陷或者人为因素造成操作失误或违反操作规程等引致的风险，例如，越权违规</w:t>
      </w:r>
      <w:r>
        <w:rPr>
          <w:rFonts w:hAnsi="宋体" w:cs="宋体" w:hint="eastAsia"/>
          <w:szCs w:val="21"/>
        </w:rPr>
        <w:t>交易、会计部门欺诈、交易错误、</w:t>
      </w:r>
      <w:r>
        <w:rPr>
          <w:rFonts w:hAnsi="宋体" w:cs="宋体" w:hint="eastAsia"/>
          <w:szCs w:val="21"/>
        </w:rPr>
        <w:t>IT</w:t>
      </w:r>
      <w:r>
        <w:rPr>
          <w:rFonts w:hAnsi="宋体" w:cs="宋体" w:hint="eastAsia"/>
          <w:szCs w:val="21"/>
        </w:rPr>
        <w:t>系统故障等风险。</w:t>
      </w:r>
    </w:p>
    <w:p w14:paraId="73A451B0" w14:textId="77777777" w:rsidR="00694F14" w:rsidRDefault="00A463B7">
      <w:pPr>
        <w:pStyle w:val="aff"/>
        <w:spacing w:line="360" w:lineRule="auto"/>
        <w:ind w:firstLine="420"/>
        <w:rPr>
          <w:rFonts w:hAnsi="宋体" w:cs="宋体"/>
          <w:szCs w:val="21"/>
        </w:rPr>
      </w:pPr>
      <w:r>
        <w:rPr>
          <w:rFonts w:hAnsi="宋体" w:cs="宋体" w:hint="eastAsia"/>
          <w:szCs w:val="21"/>
        </w:rPr>
        <w:t>在计划的各种交易行为或者后台运作中，可能因为技术系统的故障或者差错而影响交易的正常进行或者导致投资者的利益受到影响。这种技术风险可能来自基金管理公司、注册登记机构、销售机构、证券交易所、证券注册登记机构等。</w:t>
      </w:r>
    </w:p>
    <w:p w14:paraId="01DEC37A" w14:textId="77777777" w:rsidR="00694F14" w:rsidRDefault="00A463B7">
      <w:pPr>
        <w:pStyle w:val="aff"/>
        <w:spacing w:line="360" w:lineRule="auto"/>
        <w:ind w:firstLine="420"/>
        <w:rPr>
          <w:rFonts w:hAnsi="宋体" w:cs="宋体"/>
          <w:szCs w:val="21"/>
        </w:rPr>
      </w:pPr>
      <w:r>
        <w:rPr>
          <w:rFonts w:hAnsi="宋体" w:cs="宋体" w:hint="eastAsia"/>
          <w:szCs w:val="21"/>
        </w:rPr>
        <w:t>11</w:t>
      </w:r>
      <w:r>
        <w:rPr>
          <w:rFonts w:hAnsi="宋体" w:cs="宋体" w:hint="eastAsia"/>
          <w:szCs w:val="21"/>
        </w:rPr>
        <w:t>、发生不可抗力事件的风险及其他风险</w:t>
      </w:r>
    </w:p>
    <w:p w14:paraId="59FDE095"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1</w:t>
      </w:r>
      <w:r>
        <w:rPr>
          <w:rFonts w:hAnsi="宋体" w:cs="宋体" w:hint="eastAsia"/>
          <w:szCs w:val="21"/>
        </w:rPr>
        <w:t>）战争、自然灾害等不可抗力因素的出现，将会严重影响证券市场的运行，可能导致资产管理计划财产的损失；</w:t>
      </w:r>
    </w:p>
    <w:p w14:paraId="7B9D95FC"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2</w:t>
      </w:r>
      <w:r>
        <w:rPr>
          <w:rFonts w:hAnsi="宋体" w:cs="宋体" w:hint="eastAsia"/>
          <w:szCs w:val="21"/>
        </w:rPr>
        <w:t>）金融市场危机、行业竞争、代理商违约等超出管理人自身直接控制能力之外的风险，也可能导致投资者利益受损。</w:t>
      </w:r>
    </w:p>
    <w:p w14:paraId="678FDDEE"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3</w:t>
      </w:r>
      <w:r>
        <w:rPr>
          <w:rFonts w:hAnsi="宋体" w:cs="宋体" w:hint="eastAsia"/>
          <w:szCs w:val="21"/>
        </w:rPr>
        <w:t>）对交由登记结算机构、证券期货经营机构、交易所等机构负责清算、保管的资产（包括但不限于期货保证金、合约等）及其产生的收益因该等机构欺诈、疏忽、过失、破产等原因对资产管理计划财产造成的损失。</w:t>
      </w:r>
    </w:p>
    <w:p w14:paraId="1541D732"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4</w:t>
      </w:r>
      <w:r>
        <w:rPr>
          <w:rFonts w:hAnsi="宋体" w:cs="宋体" w:hint="eastAsia"/>
          <w:szCs w:val="21"/>
        </w:rPr>
        <w:t>）在资产管理计划存续期间，管理人在一定条件下存在变更投资经理人选的可能，会对资产管理计划投资策略的执行产生影响。</w:t>
      </w:r>
    </w:p>
    <w:p w14:paraId="19E94393" w14:textId="77777777" w:rsidR="00694F14" w:rsidRDefault="00A463B7">
      <w:pPr>
        <w:pStyle w:val="aff"/>
        <w:spacing w:line="360" w:lineRule="auto"/>
        <w:ind w:firstLine="420"/>
        <w:rPr>
          <w:rFonts w:hAnsi="宋体" w:cs="宋体"/>
          <w:szCs w:val="21"/>
        </w:rPr>
      </w:pPr>
      <w:r>
        <w:rPr>
          <w:rFonts w:hAnsi="宋体" w:cs="宋体" w:hint="eastAsia"/>
          <w:szCs w:val="21"/>
        </w:rPr>
        <w:t>（</w:t>
      </w:r>
      <w:r>
        <w:rPr>
          <w:rFonts w:hAnsi="宋体" w:cs="宋体" w:hint="eastAsia"/>
          <w:szCs w:val="21"/>
        </w:rPr>
        <w:t>5</w:t>
      </w:r>
      <w:r>
        <w:rPr>
          <w:rFonts w:hAnsi="宋体" w:cs="宋体" w:hint="eastAsia"/>
          <w:szCs w:val="21"/>
        </w:rPr>
        <w:t>）可能危害资产管理计划财产导致投资者利益受损的其他风险。</w:t>
      </w:r>
    </w:p>
    <w:p w14:paraId="24D230E6" w14:textId="77777777" w:rsidR="00694F14" w:rsidRDefault="00A463B7">
      <w:pPr>
        <w:pStyle w:val="aff"/>
        <w:spacing w:line="360" w:lineRule="auto"/>
        <w:ind w:firstLine="420"/>
        <w:rPr>
          <w:rFonts w:hAnsi="宋体" w:cs="宋体"/>
          <w:szCs w:val="21"/>
        </w:rPr>
      </w:pPr>
      <w:r>
        <w:rPr>
          <w:rFonts w:hAnsi="宋体" w:cs="宋体" w:hint="eastAsia"/>
          <w:szCs w:val="21"/>
        </w:rPr>
        <w:t>三、投资者声明</w:t>
      </w:r>
    </w:p>
    <w:p w14:paraId="2EAAC0DF"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作为本计划（</w:t>
      </w:r>
      <w:r>
        <w:rPr>
          <w:rFonts w:hAnsi="宋体" w:cs="宋体" w:hint="eastAsia"/>
          <w:szCs w:val="21"/>
        </w:rPr>
        <w:t>光大期货光大理财阳光</w:t>
      </w:r>
      <w:proofErr w:type="gramStart"/>
      <w:r>
        <w:rPr>
          <w:rFonts w:hAnsi="宋体" w:cs="宋体" w:hint="eastAsia"/>
          <w:szCs w:val="21"/>
        </w:rPr>
        <w:t>橙</w:t>
      </w:r>
      <w:proofErr w:type="gramEnd"/>
      <w:r>
        <w:rPr>
          <w:rFonts w:hAnsi="宋体" w:cs="宋体" w:hint="eastAsia"/>
          <w:szCs w:val="21"/>
        </w:rPr>
        <w:t>精选</w:t>
      </w:r>
      <w:r>
        <w:rPr>
          <w:rFonts w:hAnsi="宋体" w:cs="宋体" w:hint="eastAsia"/>
          <w:szCs w:val="21"/>
        </w:rPr>
        <w:t>1</w:t>
      </w:r>
      <w:r>
        <w:rPr>
          <w:rFonts w:hAnsi="宋体" w:cs="宋体" w:hint="eastAsia"/>
          <w:szCs w:val="21"/>
        </w:rPr>
        <w:t>号</w:t>
      </w:r>
      <w:r>
        <w:rPr>
          <w:rFonts w:hAnsi="宋体" w:cs="宋体" w:hint="eastAsia"/>
          <w:szCs w:val="21"/>
        </w:rPr>
        <w:t>集合资产管理计划）的投资者，本人</w:t>
      </w:r>
      <w:r>
        <w:rPr>
          <w:rFonts w:hAnsi="宋体" w:cs="宋体" w:hint="eastAsia"/>
          <w:szCs w:val="21"/>
        </w:rPr>
        <w:t>/</w:t>
      </w:r>
      <w:r>
        <w:rPr>
          <w:rFonts w:hAnsi="宋体" w:cs="宋体" w:hint="eastAsia"/>
          <w:szCs w:val="21"/>
        </w:rPr>
        <w:t>机构已充分了解并谨慎评估自身风险承受能力，自愿自行承担投资该计划所面临的风险。本人</w:t>
      </w:r>
      <w:r>
        <w:rPr>
          <w:rFonts w:hAnsi="宋体" w:cs="宋体" w:hint="eastAsia"/>
          <w:szCs w:val="21"/>
        </w:rPr>
        <w:t>/</w:t>
      </w:r>
      <w:r>
        <w:rPr>
          <w:rFonts w:hAnsi="宋体" w:cs="宋体" w:hint="eastAsia"/>
          <w:szCs w:val="21"/>
        </w:rPr>
        <w:t>机构</w:t>
      </w:r>
      <w:proofErr w:type="gramStart"/>
      <w:r>
        <w:rPr>
          <w:rFonts w:hAnsi="宋体" w:cs="宋体" w:hint="eastAsia"/>
          <w:szCs w:val="21"/>
        </w:rPr>
        <w:t>作出</w:t>
      </w:r>
      <w:proofErr w:type="gramEnd"/>
      <w:r>
        <w:rPr>
          <w:rFonts w:hAnsi="宋体" w:cs="宋体" w:hint="eastAsia"/>
          <w:szCs w:val="21"/>
        </w:rPr>
        <w:t>以下陈述和声明，并确认（自然人投资者在每段段尾“【</w:t>
      </w:r>
      <w:r>
        <w:rPr>
          <w:rFonts w:hAnsi="宋体" w:cs="宋体" w:hint="eastAsia"/>
          <w:szCs w:val="21"/>
        </w:rPr>
        <w:t xml:space="preserve">  </w:t>
      </w:r>
      <w:r>
        <w:rPr>
          <w:rFonts w:hAnsi="宋体" w:cs="宋体" w:hint="eastAsia"/>
          <w:szCs w:val="21"/>
        </w:rPr>
        <w:t>】”内签名，机构投资者在本页、</w:t>
      </w:r>
      <w:proofErr w:type="gramStart"/>
      <w:r>
        <w:rPr>
          <w:rFonts w:hAnsi="宋体" w:cs="宋体" w:hint="eastAsia"/>
          <w:szCs w:val="21"/>
        </w:rPr>
        <w:t>尾页盖章</w:t>
      </w:r>
      <w:proofErr w:type="gramEnd"/>
      <w:r>
        <w:rPr>
          <w:rFonts w:hAnsi="宋体" w:cs="宋体" w:hint="eastAsia"/>
          <w:szCs w:val="21"/>
        </w:rPr>
        <w:t>，加盖骑缝章）其内容的真实和正确：</w:t>
      </w:r>
    </w:p>
    <w:p w14:paraId="67B5F244" w14:textId="77777777" w:rsidR="00694F14" w:rsidRDefault="00A463B7">
      <w:pPr>
        <w:pStyle w:val="aff"/>
        <w:spacing w:line="360" w:lineRule="auto"/>
        <w:ind w:firstLine="420"/>
        <w:rPr>
          <w:rFonts w:hAnsi="宋体" w:cs="宋体"/>
          <w:szCs w:val="21"/>
        </w:rPr>
      </w:pPr>
      <w:r>
        <w:rPr>
          <w:rFonts w:hAnsi="宋体" w:cs="宋体" w:hint="eastAsia"/>
          <w:szCs w:val="21"/>
        </w:rPr>
        <w:t>1</w:t>
      </w:r>
      <w:r>
        <w:rPr>
          <w:rFonts w:hAnsi="宋体" w:cs="宋体" w:hint="eastAsia"/>
          <w:szCs w:val="21"/>
        </w:rPr>
        <w:t>、本人</w:t>
      </w:r>
      <w:r>
        <w:rPr>
          <w:rFonts w:hAnsi="宋体" w:cs="宋体" w:hint="eastAsia"/>
          <w:szCs w:val="21"/>
        </w:rPr>
        <w:t>/</w:t>
      </w:r>
      <w:r>
        <w:rPr>
          <w:rFonts w:hAnsi="宋体" w:cs="宋体" w:hint="eastAsia"/>
          <w:szCs w:val="21"/>
        </w:rPr>
        <w:t>机构已仔细阅读资产管理业务相关法律文件和其他文件，充分理解相关权利、义务、本计划运作方式及风险收益特征，愿意承担由上述风险引致的全部后果。【</w:t>
      </w:r>
      <w:r>
        <w:rPr>
          <w:rFonts w:hAnsi="宋体" w:cs="宋体" w:hint="eastAsia"/>
          <w:szCs w:val="21"/>
        </w:rPr>
        <w:t xml:space="preserve">        </w:t>
      </w:r>
      <w:r>
        <w:rPr>
          <w:rFonts w:hAnsi="宋体" w:cs="宋体" w:hint="eastAsia"/>
          <w:szCs w:val="21"/>
        </w:rPr>
        <w:t>】</w:t>
      </w:r>
    </w:p>
    <w:p w14:paraId="4A1C10F1" w14:textId="77777777" w:rsidR="00694F14" w:rsidRDefault="00A463B7">
      <w:pPr>
        <w:pStyle w:val="aff"/>
        <w:spacing w:line="360" w:lineRule="auto"/>
        <w:ind w:firstLine="420"/>
        <w:rPr>
          <w:rFonts w:hAnsi="宋体" w:cs="宋体"/>
          <w:szCs w:val="21"/>
        </w:rPr>
      </w:pPr>
      <w:r>
        <w:rPr>
          <w:rFonts w:hAnsi="宋体" w:cs="宋体" w:hint="eastAsia"/>
          <w:szCs w:val="21"/>
        </w:rPr>
        <w:t>2</w:t>
      </w:r>
      <w:r>
        <w:rPr>
          <w:rFonts w:hAnsi="宋体" w:cs="宋体" w:hint="eastAsia"/>
          <w:szCs w:val="21"/>
        </w:rPr>
        <w:t>、本人</w:t>
      </w:r>
      <w:r>
        <w:rPr>
          <w:rFonts w:hAnsi="宋体" w:cs="宋体" w:hint="eastAsia"/>
          <w:szCs w:val="21"/>
        </w:rPr>
        <w:t>/</w:t>
      </w:r>
      <w:r>
        <w:rPr>
          <w:rFonts w:hAnsi="宋体" w:cs="宋体" w:hint="eastAsia"/>
          <w:szCs w:val="21"/>
        </w:rPr>
        <w:t>机构知晓，管理人、销售机构、托管人及相关机构不应当对资产管理计划财产的收益状况</w:t>
      </w:r>
      <w:proofErr w:type="gramStart"/>
      <w:r>
        <w:rPr>
          <w:rFonts w:hAnsi="宋体" w:cs="宋体" w:hint="eastAsia"/>
          <w:szCs w:val="21"/>
        </w:rPr>
        <w:t>作出</w:t>
      </w:r>
      <w:proofErr w:type="gramEnd"/>
      <w:r>
        <w:rPr>
          <w:rFonts w:hAnsi="宋体" w:cs="宋体" w:hint="eastAsia"/>
          <w:szCs w:val="21"/>
        </w:rPr>
        <w:t>任何承诺或担保。【</w:t>
      </w:r>
      <w:r>
        <w:rPr>
          <w:rFonts w:hAnsi="宋体" w:cs="宋体" w:hint="eastAsia"/>
          <w:szCs w:val="21"/>
        </w:rPr>
        <w:t xml:space="preserve">        </w:t>
      </w:r>
      <w:r>
        <w:rPr>
          <w:rFonts w:hAnsi="宋体" w:cs="宋体" w:hint="eastAsia"/>
          <w:szCs w:val="21"/>
        </w:rPr>
        <w:t>】</w:t>
      </w:r>
    </w:p>
    <w:p w14:paraId="31C2B928" w14:textId="77777777" w:rsidR="00694F14" w:rsidRDefault="00A463B7">
      <w:pPr>
        <w:pStyle w:val="aff"/>
        <w:spacing w:line="360" w:lineRule="auto"/>
        <w:ind w:firstLine="420"/>
        <w:rPr>
          <w:rFonts w:hAnsi="宋体" w:cs="宋体"/>
          <w:szCs w:val="21"/>
        </w:rPr>
      </w:pPr>
      <w:r>
        <w:rPr>
          <w:rFonts w:hAnsi="宋体" w:cs="宋体" w:hint="eastAsia"/>
          <w:szCs w:val="21"/>
        </w:rPr>
        <w:t>3</w:t>
      </w:r>
      <w:r>
        <w:rPr>
          <w:rFonts w:hAnsi="宋体" w:cs="宋体" w:hint="eastAsia"/>
          <w:szCs w:val="21"/>
        </w:rPr>
        <w:t>、本人</w:t>
      </w:r>
      <w:r>
        <w:rPr>
          <w:rFonts w:hAnsi="宋体" w:cs="宋体" w:hint="eastAsia"/>
          <w:szCs w:val="21"/>
        </w:rPr>
        <w:t>/</w:t>
      </w:r>
      <w:r>
        <w:rPr>
          <w:rFonts w:hAnsi="宋体" w:cs="宋体" w:hint="eastAsia"/>
          <w:szCs w:val="21"/>
        </w:rPr>
        <w:t>机构符合《证券期货经营机构私募资产管理计划运作管理规定》有关合格投资者的要求，并已按照管理人或销售机构的要求提供相关证明文件。【</w:t>
      </w:r>
      <w:r>
        <w:rPr>
          <w:rFonts w:hAnsi="宋体" w:cs="宋体" w:hint="eastAsia"/>
          <w:szCs w:val="21"/>
        </w:rPr>
        <w:t xml:space="preserve">        </w:t>
      </w:r>
      <w:r>
        <w:rPr>
          <w:rFonts w:hAnsi="宋体" w:cs="宋体" w:hint="eastAsia"/>
          <w:szCs w:val="21"/>
        </w:rPr>
        <w:t>】</w:t>
      </w:r>
    </w:p>
    <w:p w14:paraId="1645F193" w14:textId="77777777" w:rsidR="00694F14" w:rsidRDefault="00A463B7">
      <w:pPr>
        <w:pStyle w:val="aff"/>
        <w:spacing w:line="360" w:lineRule="auto"/>
        <w:ind w:firstLine="420"/>
        <w:rPr>
          <w:rFonts w:hAnsi="宋体" w:cs="宋体"/>
          <w:szCs w:val="21"/>
        </w:rPr>
      </w:pPr>
      <w:r>
        <w:rPr>
          <w:rFonts w:hAnsi="宋体" w:cs="宋体" w:hint="eastAsia"/>
          <w:szCs w:val="21"/>
        </w:rPr>
        <w:t>4</w:t>
      </w:r>
      <w:r>
        <w:rPr>
          <w:rFonts w:hAnsi="宋体" w:cs="宋体" w:hint="eastAsia"/>
          <w:szCs w:val="21"/>
        </w:rPr>
        <w:t>、本人</w:t>
      </w:r>
      <w:r>
        <w:rPr>
          <w:rFonts w:hAnsi="宋体" w:cs="宋体" w:hint="eastAsia"/>
          <w:szCs w:val="21"/>
        </w:rPr>
        <w:t>/</w:t>
      </w:r>
      <w:r>
        <w:rPr>
          <w:rFonts w:hAnsi="宋体" w:cs="宋体" w:hint="eastAsia"/>
          <w:szCs w:val="21"/>
        </w:rPr>
        <w:t>机构已认真阅读并完全理解资产管理合同的所有内容，并愿意自行承担购买资产管理计划的法律责任。【</w:t>
      </w:r>
      <w:r>
        <w:rPr>
          <w:rFonts w:hAnsi="宋体" w:cs="宋体" w:hint="eastAsia"/>
          <w:szCs w:val="21"/>
        </w:rPr>
        <w:t xml:space="preserve">        </w:t>
      </w:r>
      <w:r>
        <w:rPr>
          <w:rFonts w:hAnsi="宋体" w:cs="宋体" w:hint="eastAsia"/>
          <w:szCs w:val="21"/>
        </w:rPr>
        <w:t>】</w:t>
      </w:r>
    </w:p>
    <w:p w14:paraId="1451572B" w14:textId="77777777" w:rsidR="00694F14" w:rsidRDefault="00A463B7">
      <w:pPr>
        <w:pStyle w:val="aff"/>
        <w:spacing w:line="360" w:lineRule="auto"/>
        <w:ind w:firstLine="420"/>
        <w:rPr>
          <w:rFonts w:hAnsi="宋体" w:cs="宋体"/>
          <w:szCs w:val="21"/>
        </w:rPr>
      </w:pPr>
      <w:r>
        <w:rPr>
          <w:rFonts w:hAnsi="宋体" w:cs="宋体" w:hint="eastAsia"/>
          <w:szCs w:val="21"/>
        </w:rPr>
        <w:t>5</w:t>
      </w:r>
      <w:r>
        <w:rPr>
          <w:rFonts w:hAnsi="宋体" w:cs="宋体" w:hint="eastAsia"/>
          <w:szCs w:val="21"/>
        </w:rPr>
        <w:t>、本人</w:t>
      </w:r>
      <w:r>
        <w:rPr>
          <w:rFonts w:hAnsi="宋体" w:cs="宋体" w:hint="eastAsia"/>
          <w:szCs w:val="21"/>
        </w:rPr>
        <w:t>/</w:t>
      </w:r>
      <w:r>
        <w:rPr>
          <w:rFonts w:hAnsi="宋体" w:cs="宋体" w:hint="eastAsia"/>
          <w:szCs w:val="21"/>
        </w:rPr>
        <w:t>机构已认真阅读并完全理解资产管理合同第四章“当事人及权利义务”的所有内容，并愿意自行承担购买资产管理计划的法律责任。【</w:t>
      </w:r>
      <w:r>
        <w:rPr>
          <w:rFonts w:hAnsi="宋体" w:cs="宋体" w:hint="eastAsia"/>
          <w:szCs w:val="21"/>
        </w:rPr>
        <w:t xml:space="preserve">        </w:t>
      </w:r>
      <w:r>
        <w:rPr>
          <w:rFonts w:hAnsi="宋体" w:cs="宋体" w:hint="eastAsia"/>
          <w:szCs w:val="21"/>
        </w:rPr>
        <w:t>】</w:t>
      </w:r>
    </w:p>
    <w:p w14:paraId="0F89BA08" w14:textId="77777777" w:rsidR="00694F14" w:rsidRDefault="00A463B7">
      <w:pPr>
        <w:pStyle w:val="aff"/>
        <w:spacing w:line="360" w:lineRule="auto"/>
        <w:ind w:firstLine="420"/>
        <w:rPr>
          <w:rFonts w:hAnsi="宋体" w:cs="宋体"/>
          <w:szCs w:val="21"/>
        </w:rPr>
      </w:pPr>
      <w:r>
        <w:rPr>
          <w:rFonts w:hAnsi="宋体" w:cs="宋体" w:hint="eastAsia"/>
          <w:szCs w:val="21"/>
        </w:rPr>
        <w:t>6</w:t>
      </w:r>
      <w:r>
        <w:rPr>
          <w:rFonts w:hAnsi="宋体" w:cs="宋体" w:hint="eastAsia"/>
          <w:szCs w:val="21"/>
        </w:rPr>
        <w:t>、本人</w:t>
      </w:r>
      <w:r>
        <w:rPr>
          <w:rFonts w:hAnsi="宋体" w:cs="宋体" w:hint="eastAsia"/>
          <w:szCs w:val="21"/>
        </w:rPr>
        <w:t>/</w:t>
      </w:r>
      <w:r>
        <w:rPr>
          <w:rFonts w:hAnsi="宋体" w:cs="宋体" w:hint="eastAsia"/>
          <w:szCs w:val="21"/>
        </w:rPr>
        <w:t>机构已认真阅读并完全理解资产管理</w:t>
      </w:r>
      <w:r>
        <w:rPr>
          <w:rFonts w:hAnsi="宋体" w:cs="宋体" w:hint="eastAsia"/>
          <w:szCs w:val="21"/>
        </w:rPr>
        <w:t>合同第十一章“资产管理计划的投资”的所有内容，并愿意自行承担购买资产管理计划的法律责任。【</w:t>
      </w:r>
      <w:r>
        <w:rPr>
          <w:rFonts w:hAnsi="宋体" w:cs="宋体" w:hint="eastAsia"/>
          <w:szCs w:val="21"/>
        </w:rPr>
        <w:t xml:space="preserve">        </w:t>
      </w:r>
      <w:r>
        <w:rPr>
          <w:rFonts w:hAnsi="宋体" w:cs="宋体" w:hint="eastAsia"/>
          <w:szCs w:val="21"/>
        </w:rPr>
        <w:t>】</w:t>
      </w:r>
    </w:p>
    <w:p w14:paraId="31B27B3B" w14:textId="77777777" w:rsidR="00694F14" w:rsidRDefault="00A463B7">
      <w:pPr>
        <w:pStyle w:val="aff"/>
        <w:spacing w:line="360" w:lineRule="auto"/>
        <w:ind w:firstLine="420"/>
        <w:rPr>
          <w:rFonts w:hAnsi="宋体" w:cs="宋体"/>
          <w:szCs w:val="21"/>
        </w:rPr>
      </w:pPr>
      <w:r>
        <w:rPr>
          <w:rFonts w:hAnsi="宋体" w:cs="宋体" w:hint="eastAsia"/>
          <w:szCs w:val="21"/>
        </w:rPr>
        <w:t>7</w:t>
      </w:r>
      <w:r>
        <w:rPr>
          <w:rFonts w:hAnsi="宋体" w:cs="宋体" w:hint="eastAsia"/>
          <w:szCs w:val="21"/>
        </w:rPr>
        <w:t>、本人</w:t>
      </w:r>
      <w:r>
        <w:rPr>
          <w:rFonts w:hAnsi="宋体" w:cs="宋体" w:hint="eastAsia"/>
          <w:szCs w:val="21"/>
        </w:rPr>
        <w:t>/</w:t>
      </w:r>
      <w:r>
        <w:rPr>
          <w:rFonts w:hAnsi="宋体" w:cs="宋体" w:hint="eastAsia"/>
          <w:szCs w:val="21"/>
        </w:rPr>
        <w:t>机构已认真阅读并完全理解资产管理合同第二十一章“资产管理计划的费用与税收”中的所有内容。【</w:t>
      </w:r>
      <w:r>
        <w:rPr>
          <w:rFonts w:hAnsi="宋体" w:cs="宋体" w:hint="eastAsia"/>
          <w:szCs w:val="21"/>
        </w:rPr>
        <w:t xml:space="preserve">        </w:t>
      </w:r>
      <w:r>
        <w:rPr>
          <w:rFonts w:hAnsi="宋体" w:cs="宋体" w:hint="eastAsia"/>
          <w:szCs w:val="21"/>
        </w:rPr>
        <w:t>】</w:t>
      </w:r>
    </w:p>
    <w:p w14:paraId="272E545C" w14:textId="77777777" w:rsidR="00694F14" w:rsidRDefault="00A463B7">
      <w:pPr>
        <w:pStyle w:val="aff"/>
        <w:spacing w:line="360" w:lineRule="auto"/>
        <w:ind w:firstLine="420"/>
        <w:rPr>
          <w:rFonts w:hAnsi="宋体" w:cs="宋体"/>
          <w:szCs w:val="21"/>
        </w:rPr>
      </w:pPr>
      <w:r>
        <w:rPr>
          <w:rFonts w:hAnsi="宋体" w:cs="宋体" w:hint="eastAsia"/>
          <w:szCs w:val="21"/>
        </w:rPr>
        <w:t>8</w:t>
      </w:r>
      <w:r>
        <w:rPr>
          <w:rFonts w:hAnsi="宋体" w:cs="宋体" w:hint="eastAsia"/>
          <w:szCs w:val="21"/>
        </w:rPr>
        <w:t>、本人</w:t>
      </w:r>
      <w:r>
        <w:rPr>
          <w:rFonts w:hAnsi="宋体" w:cs="宋体" w:hint="eastAsia"/>
          <w:szCs w:val="21"/>
        </w:rPr>
        <w:t>/</w:t>
      </w:r>
      <w:r>
        <w:rPr>
          <w:rFonts w:hAnsi="宋体" w:cs="宋体" w:hint="eastAsia"/>
          <w:szCs w:val="21"/>
        </w:rPr>
        <w:t>机构已认真阅读并完全理解资产管理合同第二十九章“法律适用和争议的处理”中的所有内容。【</w:t>
      </w:r>
      <w:r>
        <w:rPr>
          <w:rFonts w:hAnsi="宋体" w:cs="宋体" w:hint="eastAsia"/>
          <w:szCs w:val="21"/>
        </w:rPr>
        <w:t xml:space="preserve">        </w:t>
      </w:r>
      <w:r>
        <w:rPr>
          <w:rFonts w:hAnsi="宋体" w:cs="宋体" w:hint="eastAsia"/>
          <w:szCs w:val="21"/>
        </w:rPr>
        <w:t>】</w:t>
      </w:r>
    </w:p>
    <w:p w14:paraId="376723AA" w14:textId="77777777" w:rsidR="00694F14" w:rsidRDefault="00A463B7">
      <w:pPr>
        <w:pStyle w:val="aff"/>
        <w:spacing w:line="360" w:lineRule="auto"/>
        <w:ind w:firstLine="420"/>
        <w:rPr>
          <w:rFonts w:hAnsi="宋体" w:cs="宋体"/>
          <w:szCs w:val="21"/>
        </w:rPr>
      </w:pPr>
      <w:r>
        <w:rPr>
          <w:rFonts w:hAnsi="宋体" w:cs="宋体" w:hint="eastAsia"/>
          <w:szCs w:val="21"/>
        </w:rPr>
        <w:t>9</w:t>
      </w:r>
      <w:r>
        <w:rPr>
          <w:rFonts w:hAnsi="宋体" w:cs="宋体" w:hint="eastAsia"/>
          <w:szCs w:val="21"/>
        </w:rPr>
        <w:t>、本人</w:t>
      </w:r>
      <w:r>
        <w:rPr>
          <w:rFonts w:hAnsi="宋体" w:cs="宋体" w:hint="eastAsia"/>
          <w:szCs w:val="21"/>
        </w:rPr>
        <w:t>/</w:t>
      </w:r>
      <w:r>
        <w:rPr>
          <w:rFonts w:hAnsi="宋体" w:cs="宋体" w:hint="eastAsia"/>
          <w:szCs w:val="21"/>
        </w:rPr>
        <w:t>机构已经配合管理人或其销售机构提供了法律法规规定的信息资料及身份证明文件，以配合上述机构完成投资者适当性管理、非居民金融账户涉税信息尽职调查以及反洗钱等监管</w:t>
      </w:r>
      <w:r>
        <w:rPr>
          <w:rFonts w:hAnsi="宋体" w:cs="宋体" w:hint="eastAsia"/>
          <w:szCs w:val="21"/>
        </w:rPr>
        <w:t>规定的工作。</w:t>
      </w:r>
    </w:p>
    <w:p w14:paraId="0AD00D39" w14:textId="77777777" w:rsidR="00694F14" w:rsidRDefault="00A463B7">
      <w:pPr>
        <w:pStyle w:val="aff"/>
        <w:spacing w:line="360" w:lineRule="auto"/>
        <w:ind w:firstLine="420"/>
        <w:rPr>
          <w:rFonts w:hAnsi="宋体" w:cs="宋体"/>
          <w:szCs w:val="21"/>
        </w:rPr>
      </w:pPr>
      <w:r>
        <w:rPr>
          <w:rFonts w:hAnsi="宋体" w:cs="宋体" w:hint="eastAsia"/>
          <w:szCs w:val="21"/>
        </w:rPr>
        <w:t>本人</w:t>
      </w:r>
      <w:r>
        <w:rPr>
          <w:rFonts w:hAnsi="宋体" w:cs="宋体" w:hint="eastAsia"/>
          <w:szCs w:val="21"/>
        </w:rPr>
        <w:t>/</w:t>
      </w:r>
      <w:r>
        <w:rPr>
          <w:rFonts w:hAnsi="宋体" w:cs="宋体" w:hint="eastAsia"/>
          <w:szCs w:val="21"/>
        </w:rPr>
        <w:t>机构承诺上述信息资料及身份证明文件真实、准确、完整、有效。【</w:t>
      </w:r>
      <w:r>
        <w:rPr>
          <w:rFonts w:hAnsi="宋体" w:cs="宋体" w:hint="eastAsia"/>
          <w:szCs w:val="21"/>
        </w:rPr>
        <w:t xml:space="preserve">        </w:t>
      </w:r>
      <w:r>
        <w:rPr>
          <w:rFonts w:hAnsi="宋体" w:cs="宋体" w:hint="eastAsia"/>
          <w:szCs w:val="21"/>
        </w:rPr>
        <w:t>】</w:t>
      </w:r>
    </w:p>
    <w:p w14:paraId="6A97FCBA" w14:textId="77777777" w:rsidR="00694F14" w:rsidRDefault="00A463B7">
      <w:pPr>
        <w:pStyle w:val="aff"/>
        <w:spacing w:line="360" w:lineRule="auto"/>
        <w:ind w:firstLine="420"/>
        <w:rPr>
          <w:rFonts w:hAnsi="宋体" w:cs="宋体"/>
          <w:szCs w:val="21"/>
        </w:rPr>
      </w:pPr>
      <w:r>
        <w:rPr>
          <w:rFonts w:hAnsi="宋体" w:cs="宋体" w:hint="eastAsia"/>
          <w:szCs w:val="21"/>
        </w:rPr>
        <w:t>10</w:t>
      </w:r>
      <w:r>
        <w:rPr>
          <w:rFonts w:hAnsi="宋体" w:cs="宋体" w:hint="eastAsia"/>
          <w:szCs w:val="21"/>
        </w:rPr>
        <w:t>、本人</w:t>
      </w:r>
      <w:r>
        <w:rPr>
          <w:rFonts w:hAnsi="宋体" w:cs="宋体" w:hint="eastAsia"/>
          <w:szCs w:val="21"/>
        </w:rPr>
        <w:t>/</w:t>
      </w:r>
      <w:r>
        <w:rPr>
          <w:rFonts w:hAnsi="宋体" w:cs="宋体" w:hint="eastAsia"/>
          <w:szCs w:val="21"/>
        </w:rPr>
        <w:t>机构知晓，证券投资基金业协会为资产管理计划办理备案不构成对管理人投资能力、持续合</w:t>
      </w:r>
      <w:proofErr w:type="gramStart"/>
      <w:r>
        <w:rPr>
          <w:rFonts w:hAnsi="宋体" w:cs="宋体" w:hint="eastAsia"/>
          <w:szCs w:val="21"/>
        </w:rPr>
        <w:t>规</w:t>
      </w:r>
      <w:proofErr w:type="gramEnd"/>
      <w:r>
        <w:rPr>
          <w:rFonts w:hAnsi="宋体" w:cs="宋体" w:hint="eastAsia"/>
          <w:szCs w:val="21"/>
        </w:rPr>
        <w:t>情况的认可；不作为对资产管理计划财产安全的保证。【</w:t>
      </w:r>
      <w:r>
        <w:rPr>
          <w:rFonts w:hAnsi="宋体" w:cs="宋体" w:hint="eastAsia"/>
          <w:szCs w:val="21"/>
        </w:rPr>
        <w:t xml:space="preserve">        </w:t>
      </w:r>
      <w:r>
        <w:rPr>
          <w:rFonts w:hAnsi="宋体" w:cs="宋体" w:hint="eastAsia"/>
          <w:szCs w:val="21"/>
        </w:rPr>
        <w:t>】</w:t>
      </w:r>
    </w:p>
    <w:p w14:paraId="63C74E2D" w14:textId="77777777" w:rsidR="00694F14" w:rsidRDefault="00A463B7">
      <w:pPr>
        <w:pStyle w:val="aff"/>
        <w:spacing w:line="360" w:lineRule="auto"/>
        <w:ind w:firstLine="420"/>
        <w:rPr>
          <w:rFonts w:hAnsi="宋体" w:cs="宋体"/>
          <w:szCs w:val="21"/>
        </w:rPr>
      </w:pPr>
      <w:r>
        <w:rPr>
          <w:rFonts w:hAnsi="宋体" w:cs="宋体" w:hint="eastAsia"/>
          <w:szCs w:val="21"/>
        </w:rPr>
        <w:t>11</w:t>
      </w:r>
      <w:r>
        <w:rPr>
          <w:rFonts w:hAnsi="宋体" w:cs="宋体" w:hint="eastAsia"/>
          <w:szCs w:val="21"/>
        </w:rPr>
        <w:t>、本人</w:t>
      </w:r>
      <w:r>
        <w:rPr>
          <w:rFonts w:hAnsi="宋体" w:cs="宋体" w:hint="eastAsia"/>
          <w:szCs w:val="21"/>
        </w:rPr>
        <w:t>/</w:t>
      </w:r>
      <w:r>
        <w:rPr>
          <w:rFonts w:hAnsi="宋体" w:cs="宋体" w:hint="eastAsia"/>
          <w:szCs w:val="21"/>
        </w:rPr>
        <w:t>机构承诺本次投资行为是为本人</w:t>
      </w:r>
      <w:r>
        <w:rPr>
          <w:rFonts w:hAnsi="宋体" w:cs="宋体" w:hint="eastAsia"/>
          <w:szCs w:val="21"/>
        </w:rPr>
        <w:t>/</w:t>
      </w:r>
      <w:r>
        <w:rPr>
          <w:rFonts w:hAnsi="宋体" w:cs="宋体" w:hint="eastAsia"/>
          <w:szCs w:val="21"/>
        </w:rPr>
        <w:t>机构购买（参与）资产管理计划。【</w:t>
      </w:r>
      <w:r>
        <w:rPr>
          <w:rFonts w:hAnsi="宋体" w:cs="宋体" w:hint="eastAsia"/>
          <w:szCs w:val="21"/>
        </w:rPr>
        <w:t xml:space="preserve">        </w:t>
      </w:r>
      <w:r>
        <w:rPr>
          <w:rFonts w:hAnsi="宋体" w:cs="宋体" w:hint="eastAsia"/>
          <w:szCs w:val="21"/>
        </w:rPr>
        <w:t>】</w:t>
      </w:r>
    </w:p>
    <w:p w14:paraId="700EEFAF" w14:textId="77777777" w:rsidR="00694F14" w:rsidRDefault="00A463B7">
      <w:pPr>
        <w:pStyle w:val="aff"/>
        <w:spacing w:line="360" w:lineRule="auto"/>
        <w:ind w:firstLine="420"/>
        <w:rPr>
          <w:rFonts w:hAnsi="宋体" w:cs="宋体"/>
          <w:szCs w:val="21"/>
        </w:rPr>
      </w:pPr>
      <w:r>
        <w:rPr>
          <w:rFonts w:hAnsi="宋体" w:cs="宋体" w:hint="eastAsia"/>
          <w:szCs w:val="21"/>
        </w:rPr>
        <w:t>12</w:t>
      </w:r>
      <w:r>
        <w:rPr>
          <w:rFonts w:hAnsi="宋体" w:cs="宋体" w:hint="eastAsia"/>
          <w:szCs w:val="21"/>
        </w:rPr>
        <w:t>、本人</w:t>
      </w:r>
      <w:r>
        <w:rPr>
          <w:rFonts w:hAnsi="宋体" w:cs="宋体" w:hint="eastAsia"/>
          <w:szCs w:val="21"/>
        </w:rPr>
        <w:t>/</w:t>
      </w:r>
      <w:r>
        <w:rPr>
          <w:rFonts w:hAnsi="宋体" w:cs="宋体" w:hint="eastAsia"/>
          <w:szCs w:val="21"/>
        </w:rPr>
        <w:t>机构承诺不以非法拆分转让为目的购买资产管理计划，不会突破合格投资者标准，将资产管理计划份额或其收益权进行非法拆分转让。【</w:t>
      </w:r>
      <w:r>
        <w:rPr>
          <w:rFonts w:hAnsi="宋体" w:cs="宋体" w:hint="eastAsia"/>
          <w:szCs w:val="21"/>
        </w:rPr>
        <w:t xml:space="preserve">        </w:t>
      </w:r>
      <w:r>
        <w:rPr>
          <w:rFonts w:hAnsi="宋体" w:cs="宋体" w:hint="eastAsia"/>
          <w:szCs w:val="21"/>
        </w:rPr>
        <w:t>】</w:t>
      </w:r>
    </w:p>
    <w:p w14:paraId="080DF687" w14:textId="77777777" w:rsidR="00694F14" w:rsidRDefault="00A463B7">
      <w:pPr>
        <w:pStyle w:val="aff"/>
        <w:spacing w:line="360" w:lineRule="auto"/>
        <w:ind w:firstLine="420"/>
        <w:rPr>
          <w:rFonts w:hAnsi="宋体" w:cs="宋体"/>
          <w:szCs w:val="21"/>
        </w:rPr>
      </w:pPr>
      <w:r>
        <w:rPr>
          <w:rFonts w:hAnsi="宋体" w:cs="宋体" w:hint="eastAsia"/>
          <w:szCs w:val="21"/>
        </w:rPr>
        <w:lastRenderedPageBreak/>
        <w:t>13</w:t>
      </w:r>
      <w:r>
        <w:rPr>
          <w:rFonts w:hAnsi="宋体" w:cs="宋体" w:hint="eastAsia"/>
          <w:szCs w:val="21"/>
        </w:rPr>
        <w:t>、本人</w:t>
      </w:r>
      <w:r>
        <w:rPr>
          <w:rFonts w:hAnsi="宋体" w:cs="宋体" w:hint="eastAsia"/>
          <w:szCs w:val="21"/>
        </w:rPr>
        <w:t>/</w:t>
      </w:r>
      <w:r>
        <w:rPr>
          <w:rFonts w:hAnsi="宋体" w:cs="宋体" w:hint="eastAsia"/>
          <w:szCs w:val="21"/>
        </w:rPr>
        <w:t>机构知悉</w:t>
      </w:r>
      <w:proofErr w:type="gramStart"/>
      <w:r>
        <w:rPr>
          <w:rFonts w:hAnsi="宋体" w:cs="宋体" w:hint="eastAsia"/>
          <w:szCs w:val="21"/>
        </w:rPr>
        <w:t>本风险</w:t>
      </w:r>
      <w:proofErr w:type="gramEnd"/>
      <w:r>
        <w:rPr>
          <w:rFonts w:hAnsi="宋体" w:cs="宋体" w:hint="eastAsia"/>
          <w:szCs w:val="21"/>
        </w:rPr>
        <w:t>揭示书的揭示事项仅为列举性质，未能详尽列明投资者参与资产管理计划所面临的全部风险和可能导致投资者资产损失的所有因素。【</w:t>
      </w:r>
      <w:r>
        <w:rPr>
          <w:rFonts w:hAnsi="宋体" w:cs="宋体" w:hint="eastAsia"/>
          <w:szCs w:val="21"/>
        </w:rPr>
        <w:t xml:space="preserve">        </w:t>
      </w:r>
      <w:r>
        <w:rPr>
          <w:rFonts w:hAnsi="宋体" w:cs="宋体" w:hint="eastAsia"/>
          <w:szCs w:val="21"/>
        </w:rPr>
        <w:t>】</w:t>
      </w:r>
    </w:p>
    <w:p w14:paraId="1AB74687" w14:textId="77777777" w:rsidR="00694F14" w:rsidRDefault="00694F14">
      <w:pPr>
        <w:pStyle w:val="aff"/>
        <w:spacing w:line="360" w:lineRule="auto"/>
        <w:ind w:firstLine="420"/>
        <w:rPr>
          <w:rFonts w:hAnsi="宋体" w:cs="宋体"/>
          <w:szCs w:val="21"/>
        </w:rPr>
      </w:pPr>
    </w:p>
    <w:p w14:paraId="04196657" w14:textId="77777777" w:rsidR="00694F14" w:rsidRDefault="00A463B7">
      <w:pPr>
        <w:spacing w:line="360" w:lineRule="auto"/>
        <w:rPr>
          <w:rFonts w:ascii="宋体" w:eastAsia="宋体" w:hAnsi="宋体" w:cs="宋体"/>
          <w:b/>
          <w:sz w:val="21"/>
          <w:szCs w:val="21"/>
        </w:rPr>
      </w:pPr>
      <w:r>
        <w:rPr>
          <w:rFonts w:ascii="宋体" w:eastAsia="宋体" w:hAnsi="宋体" w:cs="宋体" w:hint="eastAsia"/>
          <w:b/>
          <w:sz w:val="21"/>
          <w:szCs w:val="21"/>
        </w:rPr>
        <w:t>投资者（自然人签字或机构盖章）：</w:t>
      </w:r>
      <w:r>
        <w:rPr>
          <w:rFonts w:ascii="宋体" w:eastAsia="宋体" w:hAnsi="宋体" w:cs="宋体" w:hint="eastAsia"/>
          <w:b/>
          <w:sz w:val="21"/>
          <w:szCs w:val="21"/>
        </w:rPr>
        <w:t xml:space="preserve">   </w:t>
      </w:r>
    </w:p>
    <w:p w14:paraId="5D77BB0C" w14:textId="77777777" w:rsidR="00694F14" w:rsidRDefault="00A463B7">
      <w:pPr>
        <w:spacing w:line="360" w:lineRule="auto"/>
        <w:rPr>
          <w:rFonts w:ascii="宋体" w:eastAsia="宋体" w:hAnsi="宋体" w:cs="宋体"/>
          <w:b/>
          <w:sz w:val="21"/>
          <w:szCs w:val="21"/>
        </w:rPr>
      </w:pPr>
      <w:r>
        <w:rPr>
          <w:rFonts w:ascii="宋体" w:eastAsia="宋体" w:hAnsi="宋体" w:cs="宋体" w:hint="eastAsia"/>
          <w:sz w:val="21"/>
          <w:szCs w:val="21"/>
        </w:rPr>
        <w:t>日期：</w:t>
      </w:r>
      <w:r>
        <w:rPr>
          <w:rFonts w:ascii="宋体" w:eastAsia="宋体" w:hAnsi="宋体" w:cs="宋体" w:hint="eastAsia"/>
          <w:sz w:val="21"/>
          <w:szCs w:val="21"/>
        </w:rPr>
        <w:tab/>
      </w:r>
    </w:p>
    <w:p w14:paraId="554F91FA" w14:textId="77777777" w:rsidR="00694F14" w:rsidRDefault="00694F14">
      <w:pPr>
        <w:spacing w:line="360" w:lineRule="auto"/>
        <w:rPr>
          <w:rFonts w:ascii="宋体" w:eastAsia="宋体" w:hAnsi="宋体" w:cs="宋体"/>
          <w:b/>
          <w:sz w:val="21"/>
          <w:szCs w:val="21"/>
        </w:rPr>
      </w:pPr>
    </w:p>
    <w:p w14:paraId="689FFCC2" w14:textId="77777777" w:rsidR="00694F14" w:rsidRDefault="00694F14">
      <w:pPr>
        <w:pStyle w:val="a4"/>
        <w:rPr>
          <w:rFonts w:ascii="宋体" w:eastAsia="宋体" w:hAnsi="宋体" w:cs="宋体"/>
          <w:b/>
          <w:sz w:val="21"/>
          <w:szCs w:val="21"/>
        </w:rPr>
      </w:pPr>
    </w:p>
    <w:p w14:paraId="5CB08F9E" w14:textId="77777777" w:rsidR="00694F14" w:rsidRDefault="00694F14">
      <w:pPr>
        <w:pStyle w:val="a4"/>
        <w:rPr>
          <w:rFonts w:ascii="宋体" w:eastAsia="宋体" w:hAnsi="宋体" w:cs="宋体"/>
          <w:b/>
          <w:sz w:val="21"/>
          <w:szCs w:val="21"/>
        </w:rPr>
      </w:pPr>
    </w:p>
    <w:p w14:paraId="7C8284E0" w14:textId="77777777" w:rsidR="00694F14" w:rsidRDefault="00A463B7">
      <w:pPr>
        <w:spacing w:line="360" w:lineRule="auto"/>
        <w:rPr>
          <w:rFonts w:ascii="宋体" w:eastAsia="宋体" w:hAnsi="宋体" w:cs="宋体"/>
          <w:b/>
          <w:sz w:val="21"/>
          <w:szCs w:val="21"/>
        </w:rPr>
      </w:pPr>
      <w:r>
        <w:rPr>
          <w:rFonts w:ascii="宋体" w:eastAsia="宋体" w:hAnsi="宋体" w:cs="宋体" w:hint="eastAsia"/>
          <w:b/>
          <w:sz w:val="21"/>
          <w:szCs w:val="21"/>
        </w:rPr>
        <w:t>管理人（盖章）：</w:t>
      </w:r>
      <w:r>
        <w:rPr>
          <w:rFonts w:ascii="宋体" w:eastAsia="宋体" w:hAnsi="宋体" w:cs="宋体" w:hint="eastAsia"/>
          <w:b/>
          <w:sz w:val="21"/>
          <w:szCs w:val="21"/>
        </w:rPr>
        <w:t xml:space="preserve">   </w:t>
      </w:r>
    </w:p>
    <w:p w14:paraId="36307578" w14:textId="77777777" w:rsidR="00694F14" w:rsidRDefault="00A463B7">
      <w:pPr>
        <w:spacing w:line="360" w:lineRule="auto"/>
        <w:rPr>
          <w:rFonts w:ascii="宋体" w:eastAsia="宋体" w:hAnsi="宋体" w:cs="宋体"/>
          <w:b/>
          <w:sz w:val="21"/>
          <w:szCs w:val="21"/>
        </w:rPr>
      </w:pPr>
      <w:r>
        <w:rPr>
          <w:rFonts w:ascii="宋体" w:eastAsia="宋体" w:hAnsi="宋体" w:cs="宋体" w:hint="eastAsia"/>
          <w:sz w:val="21"/>
          <w:szCs w:val="21"/>
        </w:rPr>
        <w:t>日期：</w:t>
      </w:r>
      <w:r>
        <w:rPr>
          <w:rFonts w:ascii="宋体" w:eastAsia="宋体" w:hAnsi="宋体" w:cs="宋体" w:hint="eastAsia"/>
          <w:sz w:val="21"/>
          <w:szCs w:val="21"/>
        </w:rPr>
        <w:tab/>
      </w:r>
    </w:p>
    <w:p w14:paraId="7C174C3D" w14:textId="77777777" w:rsidR="00694F14" w:rsidRDefault="00694F14">
      <w:pPr>
        <w:spacing w:line="360" w:lineRule="auto"/>
        <w:rPr>
          <w:rFonts w:ascii="宋体" w:eastAsia="宋体" w:hAnsi="宋体" w:cs="宋体"/>
          <w:b/>
          <w:sz w:val="21"/>
          <w:szCs w:val="21"/>
        </w:rPr>
      </w:pPr>
    </w:p>
    <w:p w14:paraId="24D4C396" w14:textId="77777777" w:rsidR="00694F14" w:rsidRDefault="00694F14">
      <w:pPr>
        <w:pStyle w:val="a4"/>
        <w:rPr>
          <w:rFonts w:ascii="宋体" w:eastAsia="宋体" w:hAnsi="宋体" w:cs="宋体"/>
          <w:b/>
          <w:sz w:val="21"/>
          <w:szCs w:val="21"/>
        </w:rPr>
      </w:pPr>
    </w:p>
    <w:p w14:paraId="11601C0D" w14:textId="77777777" w:rsidR="00694F14" w:rsidRDefault="00694F14">
      <w:pPr>
        <w:pStyle w:val="a4"/>
        <w:rPr>
          <w:rFonts w:ascii="宋体" w:eastAsia="宋体" w:hAnsi="宋体" w:cs="宋体"/>
          <w:b/>
          <w:sz w:val="21"/>
          <w:szCs w:val="21"/>
        </w:rPr>
      </w:pPr>
    </w:p>
    <w:p w14:paraId="2F20C7EF" w14:textId="77777777" w:rsidR="00694F14" w:rsidRDefault="00A463B7">
      <w:pPr>
        <w:spacing w:line="360" w:lineRule="auto"/>
        <w:rPr>
          <w:rFonts w:ascii="宋体" w:eastAsia="宋体" w:hAnsi="宋体" w:cs="宋体"/>
          <w:b/>
          <w:sz w:val="21"/>
          <w:szCs w:val="21"/>
        </w:rPr>
      </w:pPr>
      <w:r>
        <w:rPr>
          <w:rFonts w:ascii="宋体" w:eastAsia="宋体" w:hAnsi="宋体" w:cs="宋体" w:hint="eastAsia"/>
          <w:b/>
          <w:sz w:val="21"/>
          <w:szCs w:val="21"/>
        </w:rPr>
        <w:t>销售机构经办人（签字）：</w:t>
      </w:r>
    </w:p>
    <w:p w14:paraId="17A2F1EB" w14:textId="77777777" w:rsidR="00694F14" w:rsidRDefault="00A463B7">
      <w:pPr>
        <w:widowControl/>
        <w:spacing w:line="360" w:lineRule="auto"/>
        <w:jc w:val="left"/>
        <w:rPr>
          <w:rFonts w:ascii="宋体" w:eastAsia="宋体" w:hAnsi="宋体" w:cs="宋体"/>
        </w:rPr>
      </w:pPr>
      <w:r>
        <w:rPr>
          <w:rFonts w:ascii="宋体" w:eastAsia="宋体" w:hAnsi="宋体" w:cs="宋体" w:hint="eastAsia"/>
          <w:sz w:val="21"/>
          <w:szCs w:val="21"/>
        </w:rPr>
        <w:t>日期：</w:t>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rPr>
        <w:tab/>
        <w:t xml:space="preserve">         </w:t>
      </w:r>
      <w:r>
        <w:rPr>
          <w:rFonts w:ascii="宋体" w:eastAsia="宋体" w:hAnsi="宋体" w:cs="宋体" w:hint="eastAsia"/>
        </w:rPr>
        <w:br w:type="page"/>
      </w:r>
    </w:p>
    <w:p w14:paraId="612792E5" w14:textId="77777777" w:rsidR="00694F14" w:rsidRDefault="00A463B7">
      <w:pPr>
        <w:pStyle w:val="1"/>
        <w:jc w:val="left"/>
        <w:rPr>
          <w:rFonts w:ascii="宋体" w:eastAsia="宋体" w:hAnsi="宋体" w:cs="宋体"/>
          <w:bCs w:val="0"/>
          <w:szCs w:val="21"/>
        </w:rPr>
      </w:pPr>
      <w:bookmarkStart w:id="90" w:name="_Toc70622213"/>
      <w:bookmarkStart w:id="91" w:name="_Toc44426228"/>
      <w:r>
        <w:rPr>
          <w:rFonts w:ascii="宋体" w:eastAsia="宋体" w:hAnsi="宋体" w:cs="宋体" w:hint="eastAsia"/>
          <w:sz w:val="24"/>
          <w:szCs w:val="21"/>
        </w:rPr>
        <w:lastRenderedPageBreak/>
        <w:t>附件三</w:t>
      </w:r>
      <w:bookmarkEnd w:id="90"/>
      <w:bookmarkEnd w:id="91"/>
    </w:p>
    <w:p w14:paraId="463B42D1" w14:textId="77777777" w:rsidR="00694F14" w:rsidRDefault="00A463B7">
      <w:pPr>
        <w:jc w:val="center"/>
        <w:rPr>
          <w:rFonts w:ascii="宋体" w:eastAsia="宋体" w:hAnsi="宋体" w:cs="宋体"/>
          <w:b/>
          <w:color w:val="000000"/>
          <w:sz w:val="28"/>
          <w:szCs w:val="28"/>
        </w:rPr>
      </w:pPr>
      <w:r>
        <w:rPr>
          <w:rFonts w:ascii="宋体" w:eastAsia="宋体" w:hAnsi="宋体" w:cs="宋体" w:hint="eastAsia"/>
          <w:b/>
          <w:color w:val="000000"/>
          <w:sz w:val="28"/>
          <w:szCs w:val="28"/>
        </w:rPr>
        <w:t>划款指令（样本）</w:t>
      </w:r>
    </w:p>
    <w:p w14:paraId="6A7F2DC8" w14:textId="77777777" w:rsidR="00694F14" w:rsidRDefault="00694F14">
      <w:pPr>
        <w:jc w:val="center"/>
        <w:rPr>
          <w:rFonts w:ascii="宋体" w:eastAsia="宋体" w:hAnsi="宋体" w:cs="宋体"/>
          <w:b/>
          <w:color w:val="000000"/>
          <w:sz w:val="21"/>
          <w:szCs w:val="21"/>
        </w:rPr>
      </w:pPr>
    </w:p>
    <w:p w14:paraId="2C0C340A" w14:textId="77777777" w:rsidR="00694F14" w:rsidRDefault="00A463B7">
      <w:pPr>
        <w:ind w:firstLine="735"/>
        <w:jc w:val="left"/>
        <w:rPr>
          <w:rFonts w:ascii="宋体" w:eastAsia="宋体" w:hAnsi="宋体" w:cs="宋体"/>
          <w:color w:val="000000"/>
          <w:sz w:val="21"/>
          <w:szCs w:val="21"/>
        </w:rPr>
      </w:pPr>
      <w:r>
        <w:rPr>
          <w:rFonts w:ascii="宋体" w:eastAsia="宋体" w:hAnsi="宋体" w:cs="宋体" w:hint="eastAsia"/>
          <w:color w:val="000000"/>
          <w:sz w:val="21"/>
          <w:szCs w:val="21"/>
        </w:rPr>
        <w:t>年</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月</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日</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编号：</w:t>
      </w:r>
    </w:p>
    <w:tbl>
      <w:tblPr>
        <w:tblW w:w="8498" w:type="dxa"/>
        <w:jc w:val="center"/>
        <w:tblLayout w:type="fixed"/>
        <w:tblLook w:val="04A0" w:firstRow="1" w:lastRow="0" w:firstColumn="1" w:lastColumn="0" w:noHBand="0" w:noVBand="1"/>
      </w:tblPr>
      <w:tblGrid>
        <w:gridCol w:w="4333"/>
        <w:gridCol w:w="4165"/>
      </w:tblGrid>
      <w:tr w:rsidR="00694F14" w14:paraId="7A0E0445" w14:textId="77777777">
        <w:trPr>
          <w:trHeight w:val="613"/>
          <w:jc w:val="center"/>
        </w:trPr>
        <w:tc>
          <w:tcPr>
            <w:tcW w:w="4333" w:type="dxa"/>
            <w:tcBorders>
              <w:top w:val="single" w:sz="4" w:space="0" w:color="auto"/>
              <w:left w:val="single" w:sz="4" w:space="0" w:color="auto"/>
              <w:bottom w:val="single" w:sz="4" w:space="0" w:color="auto"/>
              <w:right w:val="single" w:sz="4" w:space="0" w:color="auto"/>
            </w:tcBorders>
            <w:vAlign w:val="center"/>
          </w:tcPr>
          <w:p w14:paraId="6B352A10"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付款户名：</w:t>
            </w:r>
            <w:r>
              <w:rPr>
                <w:rFonts w:ascii="宋体" w:eastAsia="宋体" w:hAnsi="宋体" w:cs="宋体" w:hint="eastAsia"/>
                <w:color w:val="000000"/>
                <w:sz w:val="21"/>
                <w:szCs w:val="21"/>
              </w:rPr>
              <w:t xml:space="preserve"> </w:t>
            </w:r>
          </w:p>
        </w:tc>
        <w:tc>
          <w:tcPr>
            <w:tcW w:w="4165" w:type="dxa"/>
            <w:tcBorders>
              <w:top w:val="single" w:sz="4" w:space="0" w:color="auto"/>
              <w:left w:val="nil"/>
              <w:bottom w:val="single" w:sz="4" w:space="0" w:color="auto"/>
              <w:right w:val="single" w:sz="4" w:space="0" w:color="auto"/>
            </w:tcBorders>
            <w:vAlign w:val="center"/>
          </w:tcPr>
          <w:p w14:paraId="719B9E1F"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收款户名：</w:t>
            </w:r>
            <w:r>
              <w:rPr>
                <w:rFonts w:ascii="宋体" w:eastAsia="宋体" w:hAnsi="宋体" w:cs="宋体" w:hint="eastAsia"/>
                <w:color w:val="000000"/>
                <w:sz w:val="21"/>
                <w:szCs w:val="21"/>
              </w:rPr>
              <w:t xml:space="preserve"> </w:t>
            </w:r>
          </w:p>
        </w:tc>
      </w:tr>
      <w:tr w:rsidR="00694F14" w14:paraId="6A28A338" w14:textId="77777777">
        <w:trPr>
          <w:trHeight w:val="606"/>
          <w:jc w:val="center"/>
        </w:trPr>
        <w:tc>
          <w:tcPr>
            <w:tcW w:w="4333" w:type="dxa"/>
            <w:tcBorders>
              <w:top w:val="nil"/>
              <w:left w:val="single" w:sz="4" w:space="0" w:color="auto"/>
              <w:bottom w:val="single" w:sz="4" w:space="0" w:color="auto"/>
              <w:right w:val="single" w:sz="4" w:space="0" w:color="auto"/>
            </w:tcBorders>
            <w:vAlign w:val="center"/>
          </w:tcPr>
          <w:p w14:paraId="06C6B265"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付款账号：</w:t>
            </w:r>
            <w:r>
              <w:rPr>
                <w:rFonts w:ascii="宋体" w:eastAsia="宋体" w:hAnsi="宋体" w:cs="宋体" w:hint="eastAsia"/>
                <w:color w:val="000000"/>
                <w:sz w:val="21"/>
                <w:szCs w:val="21"/>
              </w:rPr>
              <w:t xml:space="preserve"> </w:t>
            </w:r>
          </w:p>
        </w:tc>
        <w:tc>
          <w:tcPr>
            <w:tcW w:w="4165" w:type="dxa"/>
            <w:tcBorders>
              <w:top w:val="nil"/>
              <w:left w:val="nil"/>
              <w:bottom w:val="single" w:sz="4" w:space="0" w:color="auto"/>
              <w:right w:val="single" w:sz="4" w:space="0" w:color="auto"/>
            </w:tcBorders>
            <w:vAlign w:val="center"/>
          </w:tcPr>
          <w:p w14:paraId="0FB692C1"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收款账号：</w:t>
            </w:r>
            <w:r>
              <w:rPr>
                <w:rFonts w:ascii="宋体" w:eastAsia="宋体" w:hAnsi="宋体" w:cs="宋体" w:hint="eastAsia"/>
                <w:color w:val="000000"/>
                <w:sz w:val="21"/>
                <w:szCs w:val="21"/>
              </w:rPr>
              <w:t xml:space="preserve"> </w:t>
            </w:r>
          </w:p>
        </w:tc>
      </w:tr>
      <w:tr w:rsidR="00694F14" w14:paraId="7094E250" w14:textId="77777777">
        <w:trPr>
          <w:trHeight w:val="614"/>
          <w:jc w:val="center"/>
        </w:trPr>
        <w:tc>
          <w:tcPr>
            <w:tcW w:w="4333" w:type="dxa"/>
            <w:tcBorders>
              <w:top w:val="nil"/>
              <w:left w:val="single" w:sz="4" w:space="0" w:color="auto"/>
              <w:bottom w:val="single" w:sz="4" w:space="0" w:color="auto"/>
              <w:right w:val="single" w:sz="4" w:space="0" w:color="auto"/>
            </w:tcBorders>
            <w:vAlign w:val="center"/>
          </w:tcPr>
          <w:p w14:paraId="340A8285"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开户行：</w:t>
            </w:r>
            <w:r>
              <w:rPr>
                <w:rFonts w:ascii="宋体" w:eastAsia="宋体" w:hAnsi="宋体" w:cs="宋体" w:hint="eastAsia"/>
                <w:color w:val="000000"/>
                <w:sz w:val="21"/>
                <w:szCs w:val="21"/>
              </w:rPr>
              <w:t xml:space="preserve"> </w:t>
            </w:r>
          </w:p>
        </w:tc>
        <w:tc>
          <w:tcPr>
            <w:tcW w:w="4165" w:type="dxa"/>
            <w:tcBorders>
              <w:top w:val="nil"/>
              <w:left w:val="nil"/>
              <w:bottom w:val="single" w:sz="4" w:space="0" w:color="auto"/>
              <w:right w:val="single" w:sz="4" w:space="0" w:color="auto"/>
            </w:tcBorders>
            <w:vAlign w:val="center"/>
          </w:tcPr>
          <w:p w14:paraId="123E06BB"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开户行：</w:t>
            </w:r>
            <w:r>
              <w:rPr>
                <w:rFonts w:ascii="宋体" w:eastAsia="宋体" w:hAnsi="宋体" w:cs="宋体" w:hint="eastAsia"/>
                <w:color w:val="000000"/>
                <w:sz w:val="21"/>
                <w:szCs w:val="21"/>
              </w:rPr>
              <w:t xml:space="preserve"> </w:t>
            </w:r>
          </w:p>
        </w:tc>
      </w:tr>
      <w:tr w:rsidR="00694F14" w14:paraId="252B3A9B" w14:textId="77777777">
        <w:trPr>
          <w:trHeight w:val="622"/>
          <w:jc w:val="center"/>
        </w:trPr>
        <w:tc>
          <w:tcPr>
            <w:tcW w:w="4333" w:type="dxa"/>
            <w:tcBorders>
              <w:top w:val="nil"/>
              <w:left w:val="single" w:sz="4" w:space="0" w:color="auto"/>
              <w:bottom w:val="single" w:sz="4" w:space="0" w:color="auto"/>
              <w:right w:val="single" w:sz="4" w:space="0" w:color="auto"/>
            </w:tcBorders>
            <w:vAlign w:val="center"/>
          </w:tcPr>
          <w:p w14:paraId="1ABB019D"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大写金额：</w:t>
            </w:r>
            <w:r>
              <w:rPr>
                <w:rFonts w:ascii="宋体" w:eastAsia="宋体" w:hAnsi="宋体" w:cs="宋体" w:hint="eastAsia"/>
                <w:color w:val="000000"/>
                <w:sz w:val="21"/>
                <w:szCs w:val="21"/>
              </w:rPr>
              <w:t xml:space="preserve"> </w:t>
            </w:r>
          </w:p>
        </w:tc>
        <w:tc>
          <w:tcPr>
            <w:tcW w:w="4165" w:type="dxa"/>
            <w:tcBorders>
              <w:top w:val="nil"/>
              <w:left w:val="nil"/>
              <w:bottom w:val="single" w:sz="4" w:space="0" w:color="auto"/>
              <w:right w:val="single" w:sz="4" w:space="0" w:color="auto"/>
            </w:tcBorders>
            <w:vAlign w:val="center"/>
          </w:tcPr>
          <w:p w14:paraId="1339A2E7"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小写金额：</w:t>
            </w:r>
            <w:r>
              <w:rPr>
                <w:rFonts w:ascii="宋体" w:eastAsia="宋体" w:hAnsi="宋体" w:cs="宋体" w:hint="eastAsia"/>
                <w:color w:val="000000"/>
                <w:sz w:val="21"/>
                <w:szCs w:val="21"/>
              </w:rPr>
              <w:t xml:space="preserve"> </w:t>
            </w:r>
          </w:p>
        </w:tc>
      </w:tr>
      <w:tr w:rsidR="00694F14" w14:paraId="2EF427FB" w14:textId="77777777">
        <w:trPr>
          <w:trHeight w:val="622"/>
          <w:jc w:val="center"/>
        </w:trPr>
        <w:tc>
          <w:tcPr>
            <w:tcW w:w="8498" w:type="dxa"/>
            <w:gridSpan w:val="2"/>
            <w:tcBorders>
              <w:top w:val="nil"/>
              <w:left w:val="single" w:sz="4" w:space="0" w:color="auto"/>
              <w:bottom w:val="single" w:sz="4" w:space="0" w:color="auto"/>
              <w:right w:val="single" w:sz="4" w:space="0" w:color="auto"/>
            </w:tcBorders>
            <w:vAlign w:val="center"/>
          </w:tcPr>
          <w:p w14:paraId="0674191D"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划款方式：</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人行大额支付系统（</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w:t>
            </w:r>
            <w:r>
              <w:rPr>
                <w:rFonts w:ascii="宋体" w:eastAsia="宋体" w:hAnsi="宋体" w:cs="宋体" w:hint="eastAsia"/>
                <w:color w:val="000000"/>
                <w:sz w:val="21"/>
                <w:szCs w:val="21"/>
              </w:rPr>
              <w:t xml:space="preserve">  </w:t>
            </w:r>
          </w:p>
        </w:tc>
      </w:tr>
      <w:tr w:rsidR="00694F14" w14:paraId="06EE5B85" w14:textId="77777777">
        <w:trPr>
          <w:trHeight w:val="1381"/>
          <w:jc w:val="center"/>
        </w:trPr>
        <w:tc>
          <w:tcPr>
            <w:tcW w:w="8498" w:type="dxa"/>
            <w:gridSpan w:val="2"/>
            <w:tcBorders>
              <w:top w:val="single" w:sz="4" w:space="0" w:color="auto"/>
              <w:left w:val="single" w:sz="4" w:space="0" w:color="auto"/>
              <w:bottom w:val="single" w:sz="4" w:space="0" w:color="auto"/>
              <w:right w:val="single" w:sz="4" w:space="0" w:color="auto"/>
            </w:tcBorders>
          </w:tcPr>
          <w:p w14:paraId="67AE95BB"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用途及备注：</w:t>
            </w:r>
            <w:r>
              <w:rPr>
                <w:rFonts w:ascii="宋体" w:eastAsia="宋体" w:hAnsi="宋体" w:cs="宋体" w:hint="eastAsia"/>
                <w:color w:val="000000"/>
                <w:sz w:val="21"/>
                <w:szCs w:val="21"/>
              </w:rPr>
              <w:t xml:space="preserve"> </w:t>
            </w:r>
          </w:p>
          <w:p w14:paraId="2FB32710" w14:textId="77777777" w:rsidR="00694F14" w:rsidRDefault="00694F14">
            <w:pPr>
              <w:widowControl/>
              <w:jc w:val="left"/>
              <w:rPr>
                <w:rFonts w:ascii="宋体" w:eastAsia="宋体" w:hAnsi="宋体" w:cs="宋体"/>
                <w:color w:val="000000"/>
                <w:sz w:val="21"/>
                <w:szCs w:val="21"/>
              </w:rPr>
            </w:pPr>
          </w:p>
        </w:tc>
      </w:tr>
      <w:tr w:rsidR="00694F14" w14:paraId="23F1C6B2" w14:textId="77777777">
        <w:trPr>
          <w:cantSplit/>
          <w:trHeight w:val="2175"/>
          <w:jc w:val="center"/>
        </w:trPr>
        <w:tc>
          <w:tcPr>
            <w:tcW w:w="4333" w:type="dxa"/>
            <w:tcBorders>
              <w:top w:val="nil"/>
              <w:left w:val="single" w:sz="4" w:space="0" w:color="auto"/>
              <w:bottom w:val="single" w:sz="4" w:space="0" w:color="auto"/>
              <w:right w:val="single" w:sz="4" w:space="0" w:color="auto"/>
            </w:tcBorders>
          </w:tcPr>
          <w:p w14:paraId="0139B478"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管理公司</w:t>
            </w:r>
          </w:p>
          <w:p w14:paraId="1DCD0715"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经办人：</w:t>
            </w:r>
            <w:r>
              <w:rPr>
                <w:rFonts w:ascii="宋体" w:eastAsia="宋体" w:hAnsi="宋体" w:cs="宋体" w:hint="eastAsia"/>
                <w:color w:val="000000"/>
                <w:sz w:val="21"/>
                <w:szCs w:val="21"/>
              </w:rPr>
              <w:t xml:space="preserve">               </w:t>
            </w:r>
          </w:p>
          <w:p w14:paraId="5D957FE7"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复核人：</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审核授权签发人：</w:t>
            </w:r>
            <w:r>
              <w:rPr>
                <w:rFonts w:ascii="宋体" w:eastAsia="宋体" w:hAnsi="宋体" w:cs="宋体" w:hint="eastAsia"/>
                <w:color w:val="000000"/>
                <w:sz w:val="21"/>
                <w:szCs w:val="21"/>
              </w:rPr>
              <w:t xml:space="preserve">  </w:t>
            </w:r>
          </w:p>
        </w:tc>
        <w:tc>
          <w:tcPr>
            <w:tcW w:w="4165" w:type="dxa"/>
            <w:tcBorders>
              <w:top w:val="nil"/>
              <w:left w:val="single" w:sz="4" w:space="0" w:color="auto"/>
              <w:bottom w:val="single" w:sz="4" w:space="0" w:color="auto"/>
              <w:right w:val="single" w:sz="4" w:space="0" w:color="auto"/>
            </w:tcBorders>
          </w:tcPr>
          <w:p w14:paraId="4B58AD00" w14:textId="77777777" w:rsidR="00694F14" w:rsidRDefault="00A463B7">
            <w:pPr>
              <w:widowControl/>
              <w:jc w:val="left"/>
              <w:rPr>
                <w:rFonts w:ascii="宋体" w:eastAsia="宋体" w:hAnsi="宋体" w:cs="宋体"/>
                <w:color w:val="000000"/>
                <w:sz w:val="21"/>
                <w:szCs w:val="21"/>
              </w:rPr>
            </w:pPr>
            <w:r>
              <w:rPr>
                <w:rFonts w:ascii="宋体" w:eastAsia="宋体" w:hAnsi="宋体" w:cs="宋体" w:hint="eastAsia"/>
                <w:color w:val="000000"/>
                <w:sz w:val="21"/>
                <w:szCs w:val="21"/>
              </w:rPr>
              <w:t>管理人预留印鉴盖章处：</w:t>
            </w:r>
            <w:r>
              <w:rPr>
                <w:rFonts w:ascii="宋体" w:eastAsia="宋体" w:hAnsi="宋体" w:cs="宋体" w:hint="eastAsia"/>
                <w:color w:val="000000"/>
                <w:sz w:val="21"/>
                <w:szCs w:val="21"/>
              </w:rPr>
              <w:t xml:space="preserve"> </w:t>
            </w:r>
          </w:p>
        </w:tc>
      </w:tr>
    </w:tbl>
    <w:p w14:paraId="0D607182" w14:textId="77777777" w:rsidR="00694F14" w:rsidRDefault="00694F14">
      <w:pPr>
        <w:rPr>
          <w:rFonts w:ascii="宋体" w:eastAsia="宋体" w:hAnsi="宋体" w:cs="宋体"/>
          <w:color w:val="000000"/>
          <w:sz w:val="21"/>
          <w:szCs w:val="21"/>
          <w:lang w:val="zh-CN"/>
        </w:rPr>
      </w:pPr>
    </w:p>
    <w:p w14:paraId="47EF4FB5" w14:textId="77777777" w:rsidR="00694F14" w:rsidRDefault="00A463B7">
      <w:pPr>
        <w:rPr>
          <w:rFonts w:ascii="宋体" w:eastAsia="宋体" w:hAnsi="宋体" w:cs="宋体"/>
          <w:color w:val="000000"/>
          <w:sz w:val="21"/>
          <w:szCs w:val="21"/>
        </w:rPr>
      </w:pPr>
      <w:r>
        <w:rPr>
          <w:rFonts w:ascii="宋体" w:eastAsia="宋体" w:hAnsi="宋体" w:cs="宋体" w:hint="eastAsia"/>
          <w:color w:val="000000"/>
          <w:sz w:val="21"/>
          <w:szCs w:val="21"/>
        </w:rPr>
        <w:t>注：</w:t>
      </w:r>
    </w:p>
    <w:p w14:paraId="42D1B788" w14:textId="77777777" w:rsidR="00694F14" w:rsidRDefault="00A463B7">
      <w:pPr>
        <w:rPr>
          <w:rFonts w:ascii="宋体" w:eastAsia="宋体" w:hAnsi="宋体" w:cs="宋体"/>
          <w:color w:val="000000"/>
          <w:sz w:val="21"/>
          <w:szCs w:val="21"/>
        </w:rPr>
      </w:pPr>
      <w:r>
        <w:rPr>
          <w:rFonts w:ascii="宋体" w:eastAsia="宋体" w:hAnsi="宋体" w:cs="宋体" w:hint="eastAsia"/>
          <w:color w:val="000000"/>
          <w:sz w:val="21"/>
          <w:szCs w:val="21"/>
        </w:rPr>
        <w:t>（</w:t>
      </w:r>
      <w:r>
        <w:rPr>
          <w:rFonts w:ascii="宋体" w:eastAsia="宋体" w:hAnsi="宋体" w:cs="宋体" w:hint="eastAsia"/>
          <w:color w:val="000000"/>
          <w:sz w:val="21"/>
          <w:szCs w:val="21"/>
        </w:rPr>
        <w:t>1</w:t>
      </w:r>
      <w:r>
        <w:rPr>
          <w:rFonts w:ascii="宋体" w:eastAsia="宋体" w:hAnsi="宋体" w:cs="宋体" w:hint="eastAsia"/>
          <w:color w:val="000000"/>
          <w:sz w:val="21"/>
          <w:szCs w:val="21"/>
        </w:rPr>
        <w:t>）提交“划款指令”时，属于贷款类的资金划拨，应同时提交贷款协议等债权投资证明材料为附件；属于股权投资类的，应提交股权投资或增资协议及其他股权投资证明材料为附件；其他投资应提交相关的投资合同、购买合同为附件；属于收益支付则应提交分配方案为附件；属于费用支付则应提交相应的合同、发票或费用支付声明。上述材料凡是复印件的应加盖管理人业务用章并保证原件与复印件的一致。</w:t>
      </w:r>
    </w:p>
    <w:p w14:paraId="027AC203" w14:textId="77777777" w:rsidR="00694F14" w:rsidRDefault="00A463B7">
      <w:pPr>
        <w:rPr>
          <w:rFonts w:ascii="宋体" w:eastAsia="宋体" w:hAnsi="宋体" w:cs="宋体"/>
          <w:color w:val="000000"/>
          <w:sz w:val="21"/>
          <w:szCs w:val="21"/>
        </w:rPr>
      </w:pPr>
      <w:r>
        <w:rPr>
          <w:rFonts w:ascii="宋体" w:eastAsia="宋体" w:hAnsi="宋体" w:cs="宋体" w:hint="eastAsia"/>
          <w:color w:val="000000"/>
          <w:sz w:val="21"/>
          <w:szCs w:val="21"/>
        </w:rPr>
        <w:t>（</w:t>
      </w:r>
      <w:r>
        <w:rPr>
          <w:rFonts w:ascii="宋体" w:eastAsia="宋体" w:hAnsi="宋体" w:cs="宋体" w:hint="eastAsia"/>
          <w:color w:val="000000"/>
          <w:sz w:val="21"/>
          <w:szCs w:val="21"/>
        </w:rPr>
        <w:t>2</w:t>
      </w:r>
      <w:r>
        <w:rPr>
          <w:rFonts w:ascii="宋体" w:eastAsia="宋体" w:hAnsi="宋体" w:cs="宋体" w:hint="eastAsia"/>
          <w:color w:val="000000"/>
          <w:sz w:val="21"/>
          <w:szCs w:val="21"/>
        </w:rPr>
        <w:t>）对于来自符合授权的管理人有权经办及签发人员签发并加盖预留印鉴的划款指令，即视为管理人发出的有效划款指令。</w:t>
      </w:r>
    </w:p>
    <w:p w14:paraId="3A71AC41" w14:textId="77777777" w:rsidR="00694F14" w:rsidRDefault="00A463B7">
      <w:pPr>
        <w:rPr>
          <w:rFonts w:ascii="宋体" w:eastAsia="宋体" w:hAnsi="宋体" w:cs="宋体"/>
          <w:color w:val="000000"/>
        </w:rPr>
      </w:pPr>
      <w:r>
        <w:rPr>
          <w:rFonts w:ascii="宋体" w:eastAsia="宋体" w:hAnsi="宋体" w:cs="宋体" w:hint="eastAsia"/>
          <w:color w:val="000000"/>
          <w:sz w:val="21"/>
          <w:szCs w:val="21"/>
        </w:rPr>
        <w:t>（</w:t>
      </w:r>
      <w:r>
        <w:rPr>
          <w:rFonts w:ascii="宋体" w:eastAsia="宋体" w:hAnsi="宋体" w:cs="宋体" w:hint="eastAsia"/>
          <w:color w:val="000000"/>
          <w:sz w:val="21"/>
          <w:szCs w:val="21"/>
        </w:rPr>
        <w:t>3</w:t>
      </w:r>
      <w:r>
        <w:rPr>
          <w:rFonts w:ascii="宋体" w:eastAsia="宋体" w:hAnsi="宋体" w:cs="宋体" w:hint="eastAsia"/>
          <w:color w:val="000000"/>
          <w:sz w:val="21"/>
          <w:szCs w:val="21"/>
        </w:rPr>
        <w:t>）若支付管理费、托管费等各项费用，托管人支付依据是管理人划款指令和管理人提供的加盖其印章的费用发票复印件、或付费协议、或托管费测算表（若双方有争议，还应提供付费声明）。</w:t>
      </w:r>
    </w:p>
    <w:p w14:paraId="35EA182D" w14:textId="77777777" w:rsidR="00694F14" w:rsidRDefault="00A463B7">
      <w:pPr>
        <w:pStyle w:val="a4"/>
        <w:rPr>
          <w:rFonts w:ascii="华文宋体" w:hAnsi="华文宋体"/>
        </w:rPr>
      </w:pPr>
      <w:r>
        <w:rPr>
          <w:rFonts w:ascii="华文宋体" w:hAnsi="华文宋体"/>
        </w:rPr>
        <w:br w:type="page"/>
      </w:r>
    </w:p>
    <w:p w14:paraId="70AE49AA" w14:textId="77777777" w:rsidR="00694F14" w:rsidRDefault="00A463B7">
      <w:pPr>
        <w:pStyle w:val="1"/>
        <w:jc w:val="left"/>
        <w:rPr>
          <w:rFonts w:ascii="宋体" w:eastAsia="宋体" w:hAnsi="宋体" w:cs="宋体"/>
          <w:b w:val="0"/>
          <w:szCs w:val="21"/>
        </w:rPr>
      </w:pPr>
      <w:bookmarkStart w:id="92" w:name="_Toc70622214"/>
      <w:bookmarkStart w:id="93" w:name="_Toc44426229"/>
      <w:r>
        <w:rPr>
          <w:rFonts w:ascii="宋体" w:eastAsia="宋体" w:hAnsi="宋体" w:cs="宋体" w:hint="eastAsia"/>
          <w:sz w:val="24"/>
          <w:szCs w:val="21"/>
        </w:rPr>
        <w:lastRenderedPageBreak/>
        <w:t>附件四</w:t>
      </w:r>
      <w:bookmarkEnd w:id="92"/>
    </w:p>
    <w:p w14:paraId="694CFE5C" w14:textId="77777777" w:rsidR="00694F14" w:rsidRDefault="00A463B7">
      <w:pPr>
        <w:jc w:val="center"/>
        <w:rPr>
          <w:rFonts w:ascii="宋体" w:eastAsia="宋体" w:hAnsi="宋体" w:cs="宋体"/>
          <w:b/>
          <w:color w:val="000000"/>
          <w:sz w:val="28"/>
          <w:szCs w:val="28"/>
        </w:rPr>
      </w:pPr>
      <w:r>
        <w:rPr>
          <w:rFonts w:ascii="宋体" w:eastAsia="宋体" w:hAnsi="宋体" w:cs="宋体" w:hint="eastAsia"/>
          <w:b/>
          <w:color w:val="000000"/>
          <w:sz w:val="28"/>
          <w:szCs w:val="28"/>
        </w:rPr>
        <w:t>《划款指令授权书（格式）》（样本）</w:t>
      </w:r>
      <w:bookmarkEnd w:id="93"/>
    </w:p>
    <w:p w14:paraId="49C6F626" w14:textId="77777777" w:rsidR="00694F14" w:rsidRDefault="00694F14">
      <w:pPr>
        <w:spacing w:line="360" w:lineRule="auto"/>
        <w:rPr>
          <w:rFonts w:ascii="宋体" w:eastAsia="宋体" w:hAnsi="宋体" w:cs="宋体"/>
          <w:color w:val="000000"/>
          <w:szCs w:val="21"/>
        </w:rPr>
      </w:pPr>
    </w:p>
    <w:p w14:paraId="70DDEAC4" w14:textId="77777777" w:rsidR="00694F14" w:rsidRDefault="00A463B7">
      <w:pPr>
        <w:spacing w:line="360" w:lineRule="auto"/>
        <w:rPr>
          <w:rFonts w:ascii="宋体" w:eastAsia="宋体" w:hAnsi="宋体" w:cs="宋体"/>
          <w:color w:val="000000"/>
          <w:szCs w:val="21"/>
        </w:rPr>
      </w:pPr>
      <w:r>
        <w:rPr>
          <w:rFonts w:ascii="宋体" w:eastAsia="宋体" w:hAnsi="宋体" w:cs="宋体" w:hint="eastAsia"/>
          <w:color w:val="000000"/>
          <w:szCs w:val="21"/>
        </w:rPr>
        <w:t>致：中国光大银行股份有限公司</w:t>
      </w:r>
    </w:p>
    <w:p w14:paraId="0C844EAD" w14:textId="77777777" w:rsidR="00694F14" w:rsidRDefault="00A463B7">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兹就贵司与我司于</w:t>
      </w:r>
      <w:r>
        <w:rPr>
          <w:rFonts w:ascii="宋体" w:eastAsia="宋体" w:hAnsi="宋体" w:cs="宋体" w:hint="eastAsia"/>
          <w:color w:val="000000"/>
          <w:szCs w:val="21"/>
        </w:rPr>
        <w:t xml:space="preserve">    </w:t>
      </w:r>
      <w:r>
        <w:rPr>
          <w:rFonts w:ascii="宋体" w:eastAsia="宋体" w:hAnsi="宋体" w:cs="宋体" w:hint="eastAsia"/>
          <w:color w:val="000000"/>
          <w:szCs w:val="21"/>
        </w:rPr>
        <w:t>年</w:t>
      </w:r>
      <w:r>
        <w:rPr>
          <w:rFonts w:ascii="宋体" w:eastAsia="宋体" w:hAnsi="宋体" w:cs="宋体" w:hint="eastAsia"/>
          <w:color w:val="000000"/>
          <w:szCs w:val="21"/>
        </w:rPr>
        <w:t xml:space="preserve">  </w:t>
      </w:r>
      <w:r>
        <w:rPr>
          <w:rFonts w:ascii="宋体" w:eastAsia="宋体" w:hAnsi="宋体" w:cs="宋体" w:hint="eastAsia"/>
          <w:color w:val="000000"/>
          <w:szCs w:val="21"/>
        </w:rPr>
        <w:t>月</w:t>
      </w:r>
      <w:r>
        <w:rPr>
          <w:rFonts w:ascii="宋体" w:eastAsia="宋体" w:hAnsi="宋体" w:cs="宋体" w:hint="eastAsia"/>
          <w:color w:val="000000"/>
          <w:szCs w:val="21"/>
        </w:rPr>
        <w:t xml:space="preserve">  </w:t>
      </w:r>
      <w:proofErr w:type="gramStart"/>
      <w:r>
        <w:rPr>
          <w:rFonts w:ascii="宋体" w:eastAsia="宋体" w:hAnsi="宋体" w:cs="宋体" w:hint="eastAsia"/>
          <w:color w:val="000000"/>
          <w:szCs w:val="21"/>
        </w:rPr>
        <w:t>日签署</w:t>
      </w:r>
      <w:proofErr w:type="gramEnd"/>
      <w:r>
        <w:rPr>
          <w:rFonts w:ascii="宋体" w:eastAsia="宋体" w:hAnsi="宋体" w:cs="宋体" w:hint="eastAsia"/>
          <w:color w:val="000000"/>
          <w:szCs w:val="21"/>
        </w:rPr>
        <w:t>的编号为【</w:t>
      </w:r>
      <w:r>
        <w:rPr>
          <w:rFonts w:ascii="宋体" w:eastAsia="宋体" w:hAnsi="宋体" w:cs="宋体" w:hint="eastAsia"/>
          <w:color w:val="000000"/>
          <w:szCs w:val="21"/>
        </w:rPr>
        <w:t>GDQH-</w:t>
      </w:r>
      <w:r>
        <w:rPr>
          <w:rFonts w:ascii="宋体" w:eastAsia="宋体" w:hAnsi="宋体" w:cs="宋体" w:hint="eastAsia"/>
          <w:color w:val="000000"/>
          <w:szCs w:val="21"/>
        </w:rPr>
        <w:t>2021JH01</w:t>
      </w:r>
      <w:r>
        <w:rPr>
          <w:rFonts w:ascii="宋体" w:eastAsia="宋体" w:hAnsi="宋体" w:cs="宋体" w:hint="eastAsia"/>
          <w:color w:val="000000"/>
          <w:szCs w:val="21"/>
        </w:rPr>
        <w:t>2</w:t>
      </w:r>
      <w:r>
        <w:rPr>
          <w:rFonts w:ascii="宋体" w:eastAsia="宋体" w:hAnsi="宋体" w:cs="宋体" w:hint="eastAsia"/>
          <w:color w:val="000000"/>
          <w:szCs w:val="21"/>
        </w:rPr>
        <w:t>】的《</w:t>
      </w:r>
      <w:r>
        <w:rPr>
          <w:rFonts w:ascii="宋体" w:eastAsia="宋体" w:hAnsi="宋体" w:cs="宋体" w:hint="eastAsia"/>
          <w:color w:val="000000"/>
          <w:szCs w:val="21"/>
        </w:rPr>
        <w:t>光大期货光大理财阳光橙精选</w:t>
      </w:r>
      <w:r>
        <w:rPr>
          <w:rFonts w:ascii="宋体" w:eastAsia="宋体" w:hAnsi="宋体" w:cs="宋体" w:hint="eastAsia"/>
          <w:color w:val="000000"/>
          <w:szCs w:val="21"/>
        </w:rPr>
        <w:t>1</w:t>
      </w:r>
      <w:r>
        <w:rPr>
          <w:rFonts w:ascii="宋体" w:eastAsia="宋体" w:hAnsi="宋体" w:cs="宋体" w:hint="eastAsia"/>
          <w:color w:val="000000"/>
          <w:szCs w:val="21"/>
        </w:rPr>
        <w:t>号</w:t>
      </w:r>
      <w:r>
        <w:rPr>
          <w:rFonts w:ascii="宋体" w:eastAsia="宋体" w:hAnsi="宋体" w:cs="宋体" w:hint="eastAsia"/>
          <w:color w:val="000000"/>
          <w:szCs w:val="21"/>
        </w:rPr>
        <w:t>集合资产管理计划资产管理合同》（以下简称“该合同”）出具本函。</w:t>
      </w:r>
    </w:p>
    <w:p w14:paraId="4ACB04DC" w14:textId="77777777" w:rsidR="00694F14" w:rsidRDefault="00A463B7">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该合同中所定义的词语在本函中应具有相同的含义。</w:t>
      </w:r>
    </w:p>
    <w:p w14:paraId="698646BC" w14:textId="77777777" w:rsidR="00694F14" w:rsidRDefault="00A463B7">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我司特此授权下列人员于</w:t>
      </w:r>
      <w:r>
        <w:rPr>
          <w:rFonts w:ascii="宋体" w:eastAsia="宋体" w:hAnsi="宋体" w:cs="宋体" w:hint="eastAsia"/>
          <w:color w:val="000000"/>
          <w:szCs w:val="21"/>
        </w:rPr>
        <w:t xml:space="preserve">    </w:t>
      </w:r>
      <w:r>
        <w:rPr>
          <w:rFonts w:ascii="宋体" w:eastAsia="宋体" w:hAnsi="宋体" w:cs="宋体" w:hint="eastAsia"/>
          <w:color w:val="000000"/>
          <w:szCs w:val="21"/>
        </w:rPr>
        <w:t>年</w:t>
      </w:r>
      <w:r>
        <w:rPr>
          <w:rFonts w:ascii="宋体" w:eastAsia="宋体" w:hAnsi="宋体" w:cs="宋体" w:hint="eastAsia"/>
          <w:color w:val="000000"/>
          <w:szCs w:val="21"/>
        </w:rPr>
        <w:t xml:space="preserve">  </w:t>
      </w:r>
      <w:r>
        <w:rPr>
          <w:rFonts w:ascii="宋体" w:eastAsia="宋体" w:hAnsi="宋体" w:cs="宋体" w:hint="eastAsia"/>
          <w:color w:val="000000"/>
          <w:szCs w:val="21"/>
        </w:rPr>
        <w:t>月</w:t>
      </w:r>
      <w:r>
        <w:rPr>
          <w:rFonts w:ascii="宋体" w:eastAsia="宋体" w:hAnsi="宋体" w:cs="宋体" w:hint="eastAsia"/>
          <w:color w:val="000000"/>
          <w:szCs w:val="21"/>
        </w:rPr>
        <w:t xml:space="preserve">  </w:t>
      </w:r>
      <w:r>
        <w:rPr>
          <w:rFonts w:ascii="宋体" w:eastAsia="宋体" w:hAnsi="宋体" w:cs="宋体" w:hint="eastAsia"/>
          <w:color w:val="000000"/>
          <w:szCs w:val="21"/>
        </w:rPr>
        <w:t>日至</w:t>
      </w:r>
      <w:proofErr w:type="gramStart"/>
      <w:r>
        <w:rPr>
          <w:rFonts w:ascii="宋体" w:eastAsia="宋体" w:hAnsi="宋体" w:cs="宋体" w:hint="eastAsia"/>
          <w:color w:val="000000"/>
          <w:szCs w:val="21"/>
        </w:rPr>
        <w:t>资管计划</w:t>
      </w:r>
      <w:proofErr w:type="gramEnd"/>
      <w:r>
        <w:rPr>
          <w:rFonts w:ascii="宋体" w:eastAsia="宋体" w:hAnsi="宋体" w:cs="宋体" w:hint="eastAsia"/>
          <w:color w:val="000000"/>
          <w:szCs w:val="21"/>
        </w:rPr>
        <w:t>终止，代表我司签发本合同项下的有关投资指令或通知：</w:t>
      </w:r>
    </w:p>
    <w:p w14:paraId="5F5479D4" w14:textId="77777777" w:rsidR="00694F14" w:rsidRDefault="00A463B7">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授权签发人（预留签字或名章）：</w:t>
      </w:r>
    </w:p>
    <w:p w14:paraId="46D2AA8F" w14:textId="77777777" w:rsidR="00694F14" w:rsidRDefault="00694F14">
      <w:pPr>
        <w:spacing w:line="360" w:lineRule="auto"/>
        <w:ind w:firstLine="480"/>
        <w:rPr>
          <w:rFonts w:ascii="宋体" w:eastAsia="宋体" w:hAnsi="宋体" w:cs="宋体"/>
          <w:color w:val="000000"/>
          <w:szCs w:val="21"/>
        </w:rPr>
      </w:pPr>
    </w:p>
    <w:p w14:paraId="1AE6030C" w14:textId="77777777" w:rsidR="00694F14" w:rsidRDefault="00694F14">
      <w:pPr>
        <w:spacing w:line="360" w:lineRule="auto"/>
        <w:ind w:firstLine="480"/>
        <w:rPr>
          <w:rFonts w:ascii="宋体" w:eastAsia="宋体" w:hAnsi="宋体" w:cs="宋体"/>
          <w:color w:val="000000"/>
          <w:szCs w:val="21"/>
        </w:rPr>
      </w:pPr>
    </w:p>
    <w:p w14:paraId="050FA7B3" w14:textId="77777777" w:rsidR="00694F14" w:rsidRDefault="00A463B7">
      <w:pPr>
        <w:spacing w:line="360" w:lineRule="auto"/>
        <w:ind w:firstLine="480"/>
        <w:rPr>
          <w:rFonts w:ascii="宋体" w:eastAsia="宋体" w:hAnsi="宋体" w:cs="宋体"/>
          <w:color w:val="000000"/>
          <w:szCs w:val="21"/>
        </w:rPr>
      </w:pPr>
      <w:r>
        <w:rPr>
          <w:rFonts w:ascii="宋体" w:eastAsia="宋体" w:hAnsi="宋体" w:cs="宋体" w:hint="eastAsia"/>
          <w:color w:val="000000"/>
          <w:szCs w:val="21"/>
        </w:rPr>
        <w:t>投资指令签发业务章（</w:t>
      </w:r>
      <w:r>
        <w:rPr>
          <w:rFonts w:ascii="宋体" w:eastAsia="宋体" w:hAnsi="宋体" w:cs="宋体" w:hint="eastAsia"/>
          <w:bCs/>
          <w:color w:val="000000"/>
          <w:szCs w:val="21"/>
        </w:rPr>
        <w:t>预留印鉴章）</w:t>
      </w:r>
      <w:r>
        <w:rPr>
          <w:rFonts w:ascii="宋体" w:eastAsia="宋体" w:hAnsi="宋体" w:cs="宋体" w:hint="eastAsia"/>
          <w:bCs/>
          <w:color w:val="000000"/>
          <w:szCs w:val="21"/>
        </w:rPr>
        <w:t>:</w:t>
      </w:r>
    </w:p>
    <w:p w14:paraId="44A12451" w14:textId="77777777" w:rsidR="00694F14" w:rsidRDefault="00694F14">
      <w:pPr>
        <w:spacing w:line="360" w:lineRule="auto"/>
        <w:rPr>
          <w:rFonts w:ascii="宋体" w:eastAsia="宋体" w:hAnsi="宋体" w:cs="宋体"/>
          <w:color w:val="000000"/>
          <w:szCs w:val="21"/>
        </w:rPr>
      </w:pPr>
    </w:p>
    <w:p w14:paraId="74FB0A4B" w14:textId="77777777" w:rsidR="00694F14" w:rsidRDefault="00694F14">
      <w:pPr>
        <w:spacing w:line="360" w:lineRule="auto"/>
        <w:ind w:firstLine="480"/>
        <w:jc w:val="right"/>
        <w:rPr>
          <w:rFonts w:ascii="宋体" w:eastAsia="宋体" w:hAnsi="宋体" w:cs="宋体"/>
          <w:color w:val="000000"/>
          <w:szCs w:val="21"/>
        </w:rPr>
      </w:pPr>
    </w:p>
    <w:p w14:paraId="5DC6DB67" w14:textId="77777777" w:rsidR="00694F14" w:rsidRDefault="00A463B7">
      <w:pPr>
        <w:spacing w:line="360" w:lineRule="auto"/>
        <w:ind w:firstLine="5184"/>
        <w:jc w:val="left"/>
        <w:rPr>
          <w:rFonts w:ascii="宋体" w:eastAsia="宋体" w:hAnsi="宋体" w:cs="宋体"/>
          <w:color w:val="000000"/>
          <w:szCs w:val="21"/>
        </w:rPr>
      </w:pPr>
      <w:r>
        <w:rPr>
          <w:rFonts w:ascii="宋体" w:eastAsia="宋体" w:hAnsi="宋体" w:cs="宋体" w:hint="eastAsia"/>
          <w:color w:val="000000"/>
          <w:szCs w:val="21"/>
        </w:rPr>
        <w:t>【光大期货有限公司】（公章）：</w:t>
      </w:r>
    </w:p>
    <w:p w14:paraId="30DBD782" w14:textId="77777777" w:rsidR="00694F14" w:rsidRDefault="00694F14">
      <w:pPr>
        <w:spacing w:line="360" w:lineRule="auto"/>
        <w:ind w:firstLine="5184"/>
        <w:jc w:val="left"/>
        <w:rPr>
          <w:rFonts w:ascii="宋体" w:eastAsia="宋体" w:hAnsi="宋体" w:cs="宋体"/>
          <w:color w:val="000000"/>
          <w:szCs w:val="21"/>
        </w:rPr>
      </w:pPr>
    </w:p>
    <w:p w14:paraId="7CE76EF0" w14:textId="77777777" w:rsidR="00694F14" w:rsidRDefault="00A463B7">
      <w:pPr>
        <w:spacing w:line="360" w:lineRule="auto"/>
        <w:ind w:firstLine="5184"/>
        <w:jc w:val="left"/>
        <w:rPr>
          <w:rFonts w:ascii="宋体" w:eastAsia="宋体" w:hAnsi="宋体" w:cs="宋体"/>
          <w:color w:val="000000"/>
          <w:szCs w:val="21"/>
        </w:rPr>
      </w:pPr>
      <w:r>
        <w:rPr>
          <w:rFonts w:ascii="宋体" w:eastAsia="宋体" w:hAnsi="宋体" w:cs="宋体" w:hint="eastAsia"/>
          <w:color w:val="000000"/>
          <w:szCs w:val="21"/>
        </w:rPr>
        <w:t>法定代表人（签字）：</w:t>
      </w:r>
    </w:p>
    <w:p w14:paraId="5597EFC9" w14:textId="77777777" w:rsidR="00694F14" w:rsidRDefault="00694F14">
      <w:pPr>
        <w:spacing w:line="360" w:lineRule="auto"/>
        <w:jc w:val="right"/>
        <w:rPr>
          <w:rFonts w:ascii="宋体" w:eastAsia="宋体" w:hAnsi="宋体" w:cs="宋体"/>
          <w:color w:val="000000"/>
        </w:rPr>
      </w:pPr>
      <w:bookmarkStart w:id="94" w:name="_Toc200270600"/>
      <w:bookmarkStart w:id="95" w:name="_Toc199320555"/>
      <w:bookmarkStart w:id="96" w:name="_Toc199669155"/>
    </w:p>
    <w:p w14:paraId="40D6E2F0" w14:textId="77777777" w:rsidR="00694F14" w:rsidRDefault="00A463B7">
      <w:pPr>
        <w:spacing w:line="360" w:lineRule="auto"/>
        <w:jc w:val="right"/>
        <w:rPr>
          <w:rFonts w:ascii="宋体" w:eastAsia="宋体" w:hAnsi="宋体" w:cs="宋体"/>
          <w:color w:val="000000"/>
        </w:rPr>
      </w:pPr>
      <w:r>
        <w:rPr>
          <w:rFonts w:ascii="宋体" w:eastAsia="宋体" w:hAnsi="宋体" w:cs="宋体" w:hint="eastAsia"/>
          <w:color w:val="000000"/>
        </w:rPr>
        <w:t>日期：</w:t>
      </w:r>
      <w:r>
        <w:rPr>
          <w:rFonts w:ascii="宋体" w:eastAsia="宋体" w:hAnsi="宋体" w:cs="宋体" w:hint="eastAsia"/>
          <w:color w:val="000000"/>
        </w:rPr>
        <w:t xml:space="preserve">        </w:t>
      </w:r>
      <w:r>
        <w:rPr>
          <w:rFonts w:ascii="宋体" w:eastAsia="宋体" w:hAnsi="宋体" w:cs="宋体" w:hint="eastAsia"/>
          <w:color w:val="000000"/>
        </w:rPr>
        <w:t>年</w:t>
      </w:r>
      <w:r>
        <w:rPr>
          <w:rFonts w:ascii="宋体" w:eastAsia="宋体" w:hAnsi="宋体" w:cs="宋体" w:hint="eastAsia"/>
          <w:color w:val="000000"/>
        </w:rPr>
        <w:t xml:space="preserve">       </w:t>
      </w:r>
      <w:r>
        <w:rPr>
          <w:rFonts w:ascii="宋体" w:eastAsia="宋体" w:hAnsi="宋体" w:cs="宋体" w:hint="eastAsia"/>
          <w:color w:val="000000"/>
        </w:rPr>
        <w:t>月</w:t>
      </w:r>
      <w:r>
        <w:rPr>
          <w:rFonts w:ascii="宋体" w:eastAsia="宋体" w:hAnsi="宋体" w:cs="宋体" w:hint="eastAsia"/>
          <w:color w:val="000000"/>
        </w:rPr>
        <w:t xml:space="preserve">         </w:t>
      </w:r>
      <w:r>
        <w:rPr>
          <w:rFonts w:ascii="宋体" w:eastAsia="宋体" w:hAnsi="宋体" w:cs="宋体" w:hint="eastAsia"/>
          <w:color w:val="000000"/>
        </w:rPr>
        <w:t>日</w:t>
      </w:r>
      <w:bookmarkEnd w:id="94"/>
      <w:bookmarkEnd w:id="95"/>
      <w:bookmarkEnd w:id="96"/>
    </w:p>
    <w:p w14:paraId="0ECCE0C4" w14:textId="77777777" w:rsidR="00694F14" w:rsidRDefault="00694F14">
      <w:pPr>
        <w:pStyle w:val="1"/>
        <w:rPr>
          <w:rFonts w:ascii="华文宋体" w:hAnsi="华文宋体"/>
          <w:sz w:val="24"/>
        </w:rPr>
        <w:sectPr w:rsidR="00694F14">
          <w:footerReference w:type="default" r:id="rId13"/>
          <w:pgSz w:w="11906" w:h="16838"/>
          <w:pgMar w:top="1440" w:right="1080" w:bottom="1440" w:left="1080" w:header="851" w:footer="992" w:gutter="0"/>
          <w:cols w:space="425"/>
          <w:docGrid w:type="lines" w:linePitch="326"/>
        </w:sectPr>
      </w:pPr>
      <w:bookmarkStart w:id="97" w:name="_Toc489358446"/>
      <w:bookmarkStart w:id="98" w:name="_Toc44426230"/>
      <w:bookmarkStart w:id="99" w:name="_Toc8289772"/>
    </w:p>
    <w:p w14:paraId="64D76EEE" w14:textId="77777777" w:rsidR="00694F14" w:rsidRDefault="00A463B7">
      <w:pPr>
        <w:pStyle w:val="1"/>
        <w:rPr>
          <w:rFonts w:ascii="宋体" w:eastAsia="宋体" w:hAnsi="宋体" w:cs="宋体"/>
          <w:sz w:val="24"/>
        </w:rPr>
      </w:pPr>
      <w:bookmarkStart w:id="100" w:name="_Toc70622215"/>
      <w:r>
        <w:rPr>
          <w:rFonts w:ascii="宋体" w:eastAsia="宋体" w:hAnsi="宋体" w:cs="宋体" w:hint="eastAsia"/>
          <w:sz w:val="24"/>
        </w:rPr>
        <w:lastRenderedPageBreak/>
        <w:t>附件五</w:t>
      </w:r>
      <w:bookmarkEnd w:id="100"/>
    </w:p>
    <w:p w14:paraId="37C7955A" w14:textId="77777777" w:rsidR="00694F14" w:rsidRDefault="00A463B7">
      <w:pPr>
        <w:spacing w:after="120"/>
        <w:jc w:val="center"/>
        <w:rPr>
          <w:rFonts w:ascii="宋体" w:eastAsia="宋体" w:hAnsi="宋体" w:cs="宋体"/>
          <w:color w:val="000000"/>
          <w:sz w:val="28"/>
          <w:szCs w:val="28"/>
        </w:rPr>
      </w:pPr>
      <w:r>
        <w:rPr>
          <w:rFonts w:ascii="宋体" w:eastAsia="宋体" w:hAnsi="宋体" w:cs="宋体" w:hint="eastAsia"/>
          <w:b/>
          <w:color w:val="000000"/>
          <w:sz w:val="28"/>
          <w:szCs w:val="28"/>
        </w:rPr>
        <w:t>各方业务人员联系核实信息表</w:t>
      </w:r>
      <w:bookmarkEnd w:id="97"/>
      <w:bookmarkEnd w:id="98"/>
      <w:bookmarkEnd w:id="99"/>
    </w:p>
    <w:p w14:paraId="7EB95EF4" w14:textId="77777777" w:rsidR="00694F14" w:rsidRDefault="00694F14">
      <w:pPr>
        <w:widowControl/>
        <w:jc w:val="left"/>
        <w:rPr>
          <w:rFonts w:ascii="宋体" w:eastAsia="宋体" w:hAnsi="宋体" w:cs="宋体"/>
          <w:b/>
          <w:bCs/>
          <w:color w:val="000000"/>
        </w:rPr>
      </w:pPr>
    </w:p>
    <w:p w14:paraId="287CBEDD" w14:textId="77777777" w:rsidR="00694F14" w:rsidRDefault="00694F14">
      <w:pPr>
        <w:widowControl/>
        <w:jc w:val="left"/>
        <w:rPr>
          <w:rFonts w:ascii="宋体" w:eastAsia="宋体" w:hAnsi="宋体" w:cs="宋体"/>
          <w:b/>
          <w:bCs/>
          <w:color w:val="000000"/>
        </w:rPr>
      </w:pPr>
    </w:p>
    <w:tbl>
      <w:tblPr>
        <w:tblW w:w="863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71"/>
        <w:gridCol w:w="735"/>
        <w:gridCol w:w="1935"/>
        <w:gridCol w:w="104"/>
        <w:gridCol w:w="1943"/>
        <w:gridCol w:w="1063"/>
        <w:gridCol w:w="2382"/>
      </w:tblGrid>
      <w:tr w:rsidR="00694F14" w14:paraId="059AEC6A" w14:textId="77777777">
        <w:trPr>
          <w:cantSplit/>
          <w:trHeight w:val="285"/>
          <w:jc w:val="center"/>
        </w:trPr>
        <w:tc>
          <w:tcPr>
            <w:tcW w:w="471" w:type="dxa"/>
            <w:vMerge w:val="restart"/>
            <w:vAlign w:val="center"/>
          </w:tcPr>
          <w:p w14:paraId="54B2E074" w14:textId="77777777" w:rsidR="00694F14" w:rsidRDefault="00694F14">
            <w:pPr>
              <w:widowControl/>
              <w:jc w:val="center"/>
              <w:rPr>
                <w:rFonts w:ascii="宋体" w:eastAsia="宋体" w:hAnsi="宋体" w:cs="宋体"/>
                <w:b/>
                <w:bCs/>
                <w:sz w:val="21"/>
                <w:szCs w:val="21"/>
              </w:rPr>
            </w:pPr>
          </w:p>
          <w:p w14:paraId="6D599682" w14:textId="77777777" w:rsidR="00694F14" w:rsidRDefault="00A463B7">
            <w:pPr>
              <w:widowControl/>
              <w:jc w:val="center"/>
              <w:rPr>
                <w:rFonts w:ascii="宋体" w:eastAsia="宋体" w:hAnsi="宋体" w:cs="宋体"/>
                <w:b/>
                <w:bCs/>
                <w:sz w:val="21"/>
                <w:szCs w:val="21"/>
              </w:rPr>
            </w:pPr>
            <w:r>
              <w:rPr>
                <w:rFonts w:ascii="宋体" w:eastAsia="宋体" w:hAnsi="宋体" w:cs="宋体" w:hint="eastAsia"/>
                <w:b/>
                <w:bCs/>
                <w:sz w:val="21"/>
                <w:szCs w:val="21"/>
              </w:rPr>
              <w:t>管理人</w:t>
            </w:r>
            <w:r>
              <w:rPr>
                <w:rFonts w:ascii="宋体" w:eastAsia="宋体" w:hAnsi="宋体" w:cs="宋体" w:hint="eastAsia"/>
                <w:b/>
                <w:bCs/>
                <w:sz w:val="21"/>
                <w:szCs w:val="21"/>
              </w:rPr>
              <w:t xml:space="preserve">  </w:t>
            </w:r>
          </w:p>
        </w:tc>
        <w:tc>
          <w:tcPr>
            <w:tcW w:w="735" w:type="dxa"/>
            <w:vMerge w:val="restart"/>
            <w:vAlign w:val="center"/>
          </w:tcPr>
          <w:p w14:paraId="20EFE74C" w14:textId="77777777" w:rsidR="00694F14" w:rsidRDefault="00A463B7">
            <w:pPr>
              <w:widowControl/>
              <w:rPr>
                <w:rFonts w:ascii="宋体" w:eastAsia="宋体" w:hAnsi="宋体" w:cs="宋体"/>
                <w:sz w:val="21"/>
                <w:szCs w:val="21"/>
              </w:rPr>
            </w:pPr>
            <w:r>
              <w:rPr>
                <w:rFonts w:ascii="宋体" w:eastAsia="宋体" w:hAnsi="宋体" w:cs="宋体" w:hint="eastAsia"/>
                <w:sz w:val="21"/>
                <w:szCs w:val="21"/>
              </w:rPr>
              <w:t>光大期货有限公司</w:t>
            </w:r>
          </w:p>
        </w:tc>
        <w:tc>
          <w:tcPr>
            <w:tcW w:w="1935" w:type="dxa"/>
            <w:vAlign w:val="bottom"/>
          </w:tcPr>
          <w:p w14:paraId="2E892202"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业务人员及其工作职责</w:t>
            </w:r>
          </w:p>
        </w:tc>
        <w:tc>
          <w:tcPr>
            <w:tcW w:w="2047" w:type="dxa"/>
            <w:gridSpan w:val="2"/>
            <w:vAlign w:val="center"/>
          </w:tcPr>
          <w:p w14:paraId="5DEA6092"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办公电话</w:t>
            </w:r>
          </w:p>
        </w:tc>
        <w:tc>
          <w:tcPr>
            <w:tcW w:w="3445" w:type="dxa"/>
            <w:gridSpan w:val="2"/>
            <w:vAlign w:val="center"/>
          </w:tcPr>
          <w:p w14:paraId="0387A393"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邮箱</w:t>
            </w:r>
          </w:p>
        </w:tc>
      </w:tr>
      <w:tr w:rsidR="00694F14" w14:paraId="797B6BC2" w14:textId="77777777">
        <w:trPr>
          <w:cantSplit/>
          <w:trHeight w:val="285"/>
          <w:jc w:val="center"/>
        </w:trPr>
        <w:tc>
          <w:tcPr>
            <w:tcW w:w="471" w:type="dxa"/>
            <w:vMerge/>
            <w:vAlign w:val="center"/>
          </w:tcPr>
          <w:p w14:paraId="236C3FDA" w14:textId="77777777" w:rsidR="00694F14" w:rsidRDefault="00694F14">
            <w:pPr>
              <w:widowControl/>
              <w:jc w:val="left"/>
              <w:rPr>
                <w:rFonts w:ascii="宋体" w:eastAsia="宋体" w:hAnsi="宋体" w:cs="宋体"/>
                <w:b/>
                <w:bCs/>
                <w:sz w:val="21"/>
                <w:szCs w:val="21"/>
              </w:rPr>
            </w:pPr>
          </w:p>
        </w:tc>
        <w:tc>
          <w:tcPr>
            <w:tcW w:w="735" w:type="dxa"/>
            <w:vMerge/>
            <w:vAlign w:val="bottom"/>
          </w:tcPr>
          <w:p w14:paraId="0ADA6185" w14:textId="77777777" w:rsidR="00694F14" w:rsidRDefault="00694F14">
            <w:pPr>
              <w:jc w:val="center"/>
              <w:rPr>
                <w:rFonts w:ascii="宋体" w:eastAsia="宋体" w:hAnsi="宋体" w:cs="宋体"/>
                <w:sz w:val="21"/>
                <w:szCs w:val="21"/>
              </w:rPr>
            </w:pPr>
          </w:p>
        </w:tc>
        <w:tc>
          <w:tcPr>
            <w:tcW w:w="1935" w:type="dxa"/>
          </w:tcPr>
          <w:p w14:paraId="76DBDE31"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投资经理</w:t>
            </w:r>
            <w:r>
              <w:rPr>
                <w:rFonts w:ascii="宋体" w:eastAsia="宋体" w:hAnsi="宋体" w:cs="宋体" w:hint="eastAsia"/>
                <w:sz w:val="21"/>
                <w:szCs w:val="21"/>
              </w:rPr>
              <w:t xml:space="preserve"> </w:t>
            </w:r>
            <w:r>
              <w:rPr>
                <w:rFonts w:ascii="宋体" w:eastAsia="宋体" w:hAnsi="宋体" w:cs="宋体" w:hint="eastAsia"/>
                <w:sz w:val="21"/>
                <w:szCs w:val="21"/>
              </w:rPr>
              <w:t>李宇霆</w:t>
            </w:r>
          </w:p>
        </w:tc>
        <w:tc>
          <w:tcPr>
            <w:tcW w:w="2047" w:type="dxa"/>
            <w:gridSpan w:val="2"/>
          </w:tcPr>
          <w:p w14:paraId="6BE7E473"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 xml:space="preserve">021-80213739 </w:t>
            </w:r>
          </w:p>
        </w:tc>
        <w:tc>
          <w:tcPr>
            <w:tcW w:w="3445" w:type="dxa"/>
            <w:gridSpan w:val="2"/>
          </w:tcPr>
          <w:p w14:paraId="3A340A49"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 xml:space="preserve"> liyt@ebfcn.com.cn </w:t>
            </w:r>
          </w:p>
        </w:tc>
      </w:tr>
      <w:tr w:rsidR="00694F14" w14:paraId="21530ABC" w14:textId="77777777">
        <w:trPr>
          <w:cantSplit/>
          <w:trHeight w:val="285"/>
          <w:jc w:val="center"/>
        </w:trPr>
        <w:tc>
          <w:tcPr>
            <w:tcW w:w="471" w:type="dxa"/>
            <w:vMerge/>
            <w:vAlign w:val="center"/>
          </w:tcPr>
          <w:p w14:paraId="0EE1D822" w14:textId="77777777" w:rsidR="00694F14" w:rsidRDefault="00694F14">
            <w:pPr>
              <w:widowControl/>
              <w:jc w:val="left"/>
              <w:rPr>
                <w:rFonts w:ascii="宋体" w:eastAsia="宋体" w:hAnsi="宋体" w:cs="宋体"/>
                <w:b/>
                <w:bCs/>
                <w:sz w:val="21"/>
                <w:szCs w:val="21"/>
              </w:rPr>
            </w:pPr>
          </w:p>
        </w:tc>
        <w:tc>
          <w:tcPr>
            <w:tcW w:w="735" w:type="dxa"/>
            <w:vMerge/>
            <w:vAlign w:val="bottom"/>
          </w:tcPr>
          <w:p w14:paraId="092D3E23" w14:textId="77777777" w:rsidR="00694F14" w:rsidRDefault="00694F14">
            <w:pPr>
              <w:jc w:val="center"/>
              <w:rPr>
                <w:rFonts w:ascii="宋体" w:eastAsia="宋体" w:hAnsi="宋体" w:cs="宋体"/>
                <w:sz w:val="21"/>
                <w:szCs w:val="21"/>
              </w:rPr>
            </w:pPr>
          </w:p>
        </w:tc>
        <w:tc>
          <w:tcPr>
            <w:tcW w:w="1935" w:type="dxa"/>
          </w:tcPr>
          <w:p w14:paraId="27B57785" w14:textId="77777777" w:rsidR="00694F14" w:rsidRDefault="00A463B7">
            <w:pPr>
              <w:jc w:val="center"/>
              <w:rPr>
                <w:rFonts w:ascii="宋体" w:eastAsia="宋体" w:hAnsi="宋体" w:cs="宋体"/>
                <w:sz w:val="21"/>
                <w:szCs w:val="21"/>
              </w:rPr>
            </w:pPr>
            <w:proofErr w:type="gramStart"/>
            <w:r>
              <w:rPr>
                <w:rFonts w:ascii="宋体" w:eastAsia="宋体" w:hAnsi="宋体" w:cs="宋体" w:hint="eastAsia"/>
                <w:sz w:val="21"/>
                <w:szCs w:val="21"/>
              </w:rPr>
              <w:t>风控员</w:t>
            </w:r>
            <w:proofErr w:type="gramEnd"/>
            <w:r>
              <w:rPr>
                <w:rFonts w:ascii="宋体" w:eastAsia="宋体" w:hAnsi="宋体" w:cs="宋体" w:hint="eastAsia"/>
                <w:sz w:val="21"/>
                <w:szCs w:val="21"/>
              </w:rPr>
              <w:t xml:space="preserve"> </w:t>
            </w:r>
            <w:proofErr w:type="gramStart"/>
            <w:r>
              <w:rPr>
                <w:rFonts w:ascii="宋体" w:eastAsia="宋体" w:hAnsi="宋体" w:cs="宋体" w:hint="eastAsia"/>
                <w:sz w:val="21"/>
                <w:szCs w:val="21"/>
              </w:rPr>
              <w:t>张钦智</w:t>
            </w:r>
            <w:proofErr w:type="gramEnd"/>
          </w:p>
        </w:tc>
        <w:tc>
          <w:tcPr>
            <w:tcW w:w="2047" w:type="dxa"/>
            <w:gridSpan w:val="2"/>
          </w:tcPr>
          <w:p w14:paraId="77B6E2A2"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 xml:space="preserve">021-80212231 </w:t>
            </w:r>
          </w:p>
        </w:tc>
        <w:tc>
          <w:tcPr>
            <w:tcW w:w="3445" w:type="dxa"/>
            <w:gridSpan w:val="2"/>
          </w:tcPr>
          <w:p w14:paraId="3E215F55"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zhangqz@ebfcn.com.cn</w:t>
            </w:r>
          </w:p>
        </w:tc>
      </w:tr>
      <w:tr w:rsidR="00694F14" w14:paraId="4637EC53" w14:textId="77777777">
        <w:trPr>
          <w:cantSplit/>
          <w:trHeight w:val="202"/>
          <w:jc w:val="center"/>
        </w:trPr>
        <w:tc>
          <w:tcPr>
            <w:tcW w:w="471" w:type="dxa"/>
            <w:vMerge/>
            <w:vAlign w:val="center"/>
          </w:tcPr>
          <w:p w14:paraId="09CF9362" w14:textId="77777777" w:rsidR="00694F14" w:rsidRDefault="00694F14">
            <w:pPr>
              <w:widowControl/>
              <w:jc w:val="left"/>
              <w:rPr>
                <w:rFonts w:ascii="宋体" w:eastAsia="宋体" w:hAnsi="宋体" w:cs="宋体"/>
                <w:b/>
                <w:bCs/>
                <w:sz w:val="21"/>
                <w:szCs w:val="21"/>
              </w:rPr>
            </w:pPr>
          </w:p>
        </w:tc>
        <w:tc>
          <w:tcPr>
            <w:tcW w:w="735" w:type="dxa"/>
            <w:vMerge/>
            <w:vAlign w:val="bottom"/>
          </w:tcPr>
          <w:p w14:paraId="7B55DC35" w14:textId="77777777" w:rsidR="00694F14" w:rsidRDefault="00694F14">
            <w:pPr>
              <w:jc w:val="center"/>
              <w:rPr>
                <w:rFonts w:ascii="宋体" w:eastAsia="宋体" w:hAnsi="宋体" w:cs="宋体"/>
                <w:sz w:val="21"/>
                <w:szCs w:val="21"/>
              </w:rPr>
            </w:pPr>
          </w:p>
        </w:tc>
        <w:tc>
          <w:tcPr>
            <w:tcW w:w="1935" w:type="dxa"/>
          </w:tcPr>
          <w:p w14:paraId="27EDD3A4"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估值核算</w:t>
            </w:r>
            <w:r>
              <w:rPr>
                <w:rFonts w:ascii="宋体" w:eastAsia="宋体" w:hAnsi="宋体" w:cs="宋体" w:hint="eastAsia"/>
                <w:sz w:val="21"/>
                <w:szCs w:val="21"/>
              </w:rPr>
              <w:t xml:space="preserve"> </w:t>
            </w:r>
            <w:proofErr w:type="gramStart"/>
            <w:r>
              <w:rPr>
                <w:rFonts w:ascii="宋体" w:eastAsia="宋体" w:hAnsi="宋体" w:cs="宋体" w:hint="eastAsia"/>
                <w:sz w:val="21"/>
                <w:szCs w:val="21"/>
              </w:rPr>
              <w:t>王志鹤</w:t>
            </w:r>
            <w:proofErr w:type="gramEnd"/>
          </w:p>
        </w:tc>
        <w:tc>
          <w:tcPr>
            <w:tcW w:w="2047" w:type="dxa"/>
            <w:gridSpan w:val="2"/>
          </w:tcPr>
          <w:p w14:paraId="69DD141D"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 xml:space="preserve">021-80212233 </w:t>
            </w:r>
          </w:p>
        </w:tc>
        <w:tc>
          <w:tcPr>
            <w:tcW w:w="3445" w:type="dxa"/>
            <w:gridSpan w:val="2"/>
          </w:tcPr>
          <w:p w14:paraId="61599F0F"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wangzhihe@ebfcn.com.cn</w:t>
            </w:r>
          </w:p>
        </w:tc>
      </w:tr>
      <w:tr w:rsidR="00694F14" w14:paraId="380E4C87" w14:textId="77777777">
        <w:trPr>
          <w:cantSplit/>
          <w:trHeight w:val="285"/>
          <w:jc w:val="center"/>
        </w:trPr>
        <w:tc>
          <w:tcPr>
            <w:tcW w:w="471" w:type="dxa"/>
            <w:vMerge/>
            <w:vAlign w:val="center"/>
          </w:tcPr>
          <w:p w14:paraId="6A71F8E0" w14:textId="77777777" w:rsidR="00694F14" w:rsidRDefault="00694F14">
            <w:pPr>
              <w:widowControl/>
              <w:jc w:val="left"/>
              <w:rPr>
                <w:rFonts w:ascii="宋体" w:eastAsia="宋体" w:hAnsi="宋体" w:cs="宋体"/>
                <w:b/>
                <w:bCs/>
                <w:sz w:val="21"/>
                <w:szCs w:val="21"/>
              </w:rPr>
            </w:pPr>
          </w:p>
        </w:tc>
        <w:tc>
          <w:tcPr>
            <w:tcW w:w="735" w:type="dxa"/>
            <w:vMerge/>
            <w:vAlign w:val="bottom"/>
          </w:tcPr>
          <w:p w14:paraId="3165A994" w14:textId="77777777" w:rsidR="00694F14" w:rsidRDefault="00694F14">
            <w:pPr>
              <w:jc w:val="center"/>
              <w:rPr>
                <w:rFonts w:ascii="宋体" w:eastAsia="宋体" w:hAnsi="宋体" w:cs="宋体"/>
                <w:sz w:val="21"/>
                <w:szCs w:val="21"/>
              </w:rPr>
            </w:pPr>
          </w:p>
        </w:tc>
        <w:tc>
          <w:tcPr>
            <w:tcW w:w="1935" w:type="dxa"/>
          </w:tcPr>
          <w:p w14:paraId="24276471" w14:textId="77777777" w:rsidR="00694F14" w:rsidRDefault="00A463B7">
            <w:pPr>
              <w:jc w:val="center"/>
              <w:rPr>
                <w:rFonts w:ascii="宋体" w:eastAsia="宋体" w:hAnsi="宋体" w:cs="宋体"/>
                <w:sz w:val="21"/>
                <w:szCs w:val="21"/>
              </w:rPr>
            </w:pPr>
            <w:r>
              <w:rPr>
                <w:rFonts w:ascii="宋体" w:eastAsia="宋体" w:hAnsi="宋体" w:cs="宋体" w:hint="eastAsia"/>
                <w:color w:val="000000"/>
                <w:sz w:val="21"/>
                <w:szCs w:val="21"/>
              </w:rPr>
              <w:t>信息披露</w:t>
            </w:r>
            <w:r>
              <w:rPr>
                <w:rFonts w:ascii="宋体" w:eastAsia="宋体" w:hAnsi="宋体" w:cs="宋体" w:hint="eastAsia"/>
                <w:color w:val="000000"/>
                <w:sz w:val="21"/>
                <w:szCs w:val="21"/>
              </w:rPr>
              <w:t xml:space="preserve"> </w:t>
            </w:r>
            <w:r>
              <w:rPr>
                <w:rFonts w:ascii="宋体" w:eastAsia="宋体" w:hAnsi="宋体" w:cs="宋体" w:hint="eastAsia"/>
                <w:color w:val="000000"/>
                <w:sz w:val="21"/>
                <w:szCs w:val="21"/>
              </w:rPr>
              <w:t>凌鹤</w:t>
            </w:r>
          </w:p>
        </w:tc>
        <w:tc>
          <w:tcPr>
            <w:tcW w:w="2047" w:type="dxa"/>
            <w:gridSpan w:val="2"/>
            <w:vAlign w:val="bottom"/>
          </w:tcPr>
          <w:p w14:paraId="1644F614" w14:textId="77777777" w:rsidR="00694F14" w:rsidRDefault="00A463B7">
            <w:pPr>
              <w:widowControl/>
              <w:jc w:val="center"/>
              <w:rPr>
                <w:rFonts w:ascii="宋体" w:eastAsia="宋体" w:hAnsi="宋体" w:cs="宋体"/>
                <w:color w:val="000000"/>
                <w:sz w:val="21"/>
                <w:szCs w:val="21"/>
              </w:rPr>
            </w:pPr>
            <w:r>
              <w:rPr>
                <w:rFonts w:ascii="宋体" w:eastAsia="宋体" w:hAnsi="宋体" w:cs="宋体" w:hint="eastAsia"/>
                <w:sz w:val="21"/>
                <w:szCs w:val="21"/>
              </w:rPr>
              <w:t>021-80213748</w:t>
            </w:r>
          </w:p>
        </w:tc>
        <w:tc>
          <w:tcPr>
            <w:tcW w:w="3445" w:type="dxa"/>
            <w:gridSpan w:val="2"/>
            <w:vAlign w:val="center"/>
          </w:tcPr>
          <w:p w14:paraId="6EA12B7D" w14:textId="77777777" w:rsidR="00694F14" w:rsidRDefault="00A463B7">
            <w:pPr>
              <w:widowControl/>
              <w:jc w:val="center"/>
              <w:rPr>
                <w:rFonts w:ascii="宋体" w:eastAsia="宋体" w:hAnsi="宋体" w:cs="宋体"/>
                <w:color w:val="000000"/>
                <w:sz w:val="21"/>
                <w:szCs w:val="21"/>
              </w:rPr>
            </w:pPr>
            <w:r>
              <w:rPr>
                <w:rFonts w:ascii="宋体" w:eastAsia="宋体" w:hAnsi="宋体" w:cs="宋体" w:hint="eastAsia"/>
                <w:color w:val="000000"/>
                <w:sz w:val="21"/>
                <w:szCs w:val="21"/>
              </w:rPr>
              <w:t>linghe@ebfcn.com.cn</w:t>
            </w:r>
          </w:p>
        </w:tc>
      </w:tr>
      <w:tr w:rsidR="00694F14" w14:paraId="1C6ED950" w14:textId="77777777">
        <w:trPr>
          <w:cantSplit/>
          <w:trHeight w:val="285"/>
          <w:jc w:val="center"/>
        </w:trPr>
        <w:tc>
          <w:tcPr>
            <w:tcW w:w="471" w:type="dxa"/>
            <w:vMerge/>
            <w:vAlign w:val="center"/>
          </w:tcPr>
          <w:p w14:paraId="179AA319" w14:textId="77777777" w:rsidR="00694F14" w:rsidRDefault="00694F14">
            <w:pPr>
              <w:widowControl/>
              <w:jc w:val="left"/>
              <w:rPr>
                <w:rFonts w:ascii="宋体" w:eastAsia="宋体" w:hAnsi="宋体" w:cs="宋体"/>
                <w:b/>
                <w:bCs/>
                <w:sz w:val="21"/>
                <w:szCs w:val="21"/>
              </w:rPr>
            </w:pPr>
          </w:p>
        </w:tc>
        <w:tc>
          <w:tcPr>
            <w:tcW w:w="735" w:type="dxa"/>
            <w:vMerge/>
            <w:vAlign w:val="bottom"/>
          </w:tcPr>
          <w:p w14:paraId="226FB792" w14:textId="77777777" w:rsidR="00694F14" w:rsidRDefault="00694F14">
            <w:pPr>
              <w:jc w:val="center"/>
              <w:rPr>
                <w:rFonts w:ascii="宋体" w:eastAsia="宋体" w:hAnsi="宋体" w:cs="宋体"/>
                <w:sz w:val="21"/>
                <w:szCs w:val="21"/>
              </w:rPr>
            </w:pPr>
          </w:p>
        </w:tc>
        <w:tc>
          <w:tcPr>
            <w:tcW w:w="5045" w:type="dxa"/>
            <w:gridSpan w:val="4"/>
            <w:vAlign w:val="bottom"/>
          </w:tcPr>
          <w:p w14:paraId="32E22C70"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指定邮寄地址及邮编</w:t>
            </w:r>
          </w:p>
        </w:tc>
        <w:tc>
          <w:tcPr>
            <w:tcW w:w="2382" w:type="dxa"/>
            <w:vAlign w:val="bottom"/>
          </w:tcPr>
          <w:p w14:paraId="29CF9AB5"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指定传真</w:t>
            </w:r>
          </w:p>
        </w:tc>
      </w:tr>
      <w:tr w:rsidR="00694F14" w14:paraId="5CE7EB8D" w14:textId="77777777">
        <w:trPr>
          <w:cantSplit/>
          <w:trHeight w:val="337"/>
          <w:jc w:val="center"/>
        </w:trPr>
        <w:tc>
          <w:tcPr>
            <w:tcW w:w="471" w:type="dxa"/>
            <w:vMerge/>
            <w:vAlign w:val="center"/>
          </w:tcPr>
          <w:p w14:paraId="63939772" w14:textId="77777777" w:rsidR="00694F14" w:rsidRDefault="00694F14">
            <w:pPr>
              <w:widowControl/>
              <w:jc w:val="left"/>
              <w:rPr>
                <w:rFonts w:ascii="宋体" w:eastAsia="宋体" w:hAnsi="宋体" w:cs="宋体"/>
                <w:b/>
                <w:bCs/>
                <w:sz w:val="21"/>
                <w:szCs w:val="21"/>
              </w:rPr>
            </w:pPr>
          </w:p>
        </w:tc>
        <w:tc>
          <w:tcPr>
            <w:tcW w:w="735" w:type="dxa"/>
            <w:vMerge/>
            <w:vAlign w:val="bottom"/>
          </w:tcPr>
          <w:p w14:paraId="3025D1E6" w14:textId="77777777" w:rsidR="00694F14" w:rsidRDefault="00694F14">
            <w:pPr>
              <w:widowControl/>
              <w:jc w:val="center"/>
              <w:rPr>
                <w:rFonts w:ascii="宋体" w:eastAsia="宋体" w:hAnsi="宋体" w:cs="宋体"/>
                <w:sz w:val="21"/>
                <w:szCs w:val="21"/>
              </w:rPr>
            </w:pPr>
          </w:p>
        </w:tc>
        <w:tc>
          <w:tcPr>
            <w:tcW w:w="5045" w:type="dxa"/>
            <w:gridSpan w:val="4"/>
          </w:tcPr>
          <w:p w14:paraId="35F22418"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上海市杨高南路</w:t>
            </w:r>
            <w:r>
              <w:rPr>
                <w:rFonts w:ascii="宋体" w:eastAsia="宋体" w:hAnsi="宋体" w:cs="宋体" w:hint="eastAsia"/>
                <w:sz w:val="21"/>
                <w:szCs w:val="21"/>
              </w:rPr>
              <w:t>729</w:t>
            </w:r>
            <w:r>
              <w:rPr>
                <w:rFonts w:ascii="宋体" w:eastAsia="宋体" w:hAnsi="宋体" w:cs="宋体" w:hint="eastAsia"/>
                <w:sz w:val="21"/>
                <w:szCs w:val="21"/>
              </w:rPr>
              <w:t>号</w:t>
            </w:r>
            <w:r>
              <w:rPr>
                <w:rFonts w:ascii="宋体" w:eastAsia="宋体" w:hAnsi="宋体" w:cs="宋体" w:hint="eastAsia"/>
                <w:sz w:val="21"/>
                <w:szCs w:val="21"/>
              </w:rPr>
              <w:t>6</w:t>
            </w:r>
            <w:r>
              <w:rPr>
                <w:rFonts w:ascii="宋体" w:eastAsia="宋体" w:hAnsi="宋体" w:cs="宋体" w:hint="eastAsia"/>
                <w:sz w:val="21"/>
                <w:szCs w:val="21"/>
              </w:rPr>
              <w:t>楼</w:t>
            </w:r>
          </w:p>
        </w:tc>
        <w:tc>
          <w:tcPr>
            <w:tcW w:w="2382" w:type="dxa"/>
          </w:tcPr>
          <w:p w14:paraId="255F87C2" w14:textId="77777777" w:rsidR="00694F14" w:rsidRDefault="00A463B7">
            <w:pPr>
              <w:pStyle w:val="2"/>
              <w:ind w:leftChars="0" w:left="0"/>
              <w:jc w:val="center"/>
              <w:rPr>
                <w:rFonts w:ascii="宋体" w:hAnsi="宋体" w:cs="宋体"/>
              </w:rPr>
            </w:pPr>
            <w:r>
              <w:rPr>
                <w:rFonts w:ascii="宋体" w:hAnsi="宋体" w:cs="宋体" w:hint="eastAsia"/>
              </w:rPr>
              <w:t>021-80212200</w:t>
            </w:r>
          </w:p>
        </w:tc>
      </w:tr>
      <w:tr w:rsidR="00694F14" w14:paraId="483C7F13" w14:textId="77777777">
        <w:trPr>
          <w:cantSplit/>
          <w:trHeight w:val="285"/>
          <w:jc w:val="center"/>
        </w:trPr>
        <w:tc>
          <w:tcPr>
            <w:tcW w:w="471" w:type="dxa"/>
            <w:vMerge w:val="restart"/>
            <w:vAlign w:val="center"/>
          </w:tcPr>
          <w:p w14:paraId="48446467" w14:textId="77777777" w:rsidR="00694F14" w:rsidRDefault="00A463B7">
            <w:pPr>
              <w:widowControl/>
              <w:jc w:val="center"/>
              <w:rPr>
                <w:rFonts w:ascii="宋体" w:eastAsia="宋体" w:hAnsi="宋体" w:cs="宋体"/>
                <w:b/>
                <w:bCs/>
                <w:sz w:val="21"/>
                <w:szCs w:val="21"/>
              </w:rPr>
            </w:pPr>
            <w:r>
              <w:rPr>
                <w:rFonts w:ascii="宋体" w:eastAsia="宋体" w:hAnsi="宋体" w:cs="宋体" w:hint="eastAsia"/>
                <w:b/>
                <w:bCs/>
                <w:sz w:val="21"/>
                <w:szCs w:val="21"/>
              </w:rPr>
              <w:t>托管人</w:t>
            </w:r>
            <w:r>
              <w:rPr>
                <w:rFonts w:ascii="宋体" w:eastAsia="宋体" w:hAnsi="宋体" w:cs="宋体" w:hint="eastAsia"/>
                <w:b/>
                <w:bCs/>
                <w:sz w:val="21"/>
                <w:szCs w:val="21"/>
              </w:rPr>
              <w:t xml:space="preserve">  </w:t>
            </w:r>
          </w:p>
        </w:tc>
        <w:tc>
          <w:tcPr>
            <w:tcW w:w="735" w:type="dxa"/>
            <w:vMerge w:val="restart"/>
            <w:vAlign w:val="center"/>
          </w:tcPr>
          <w:p w14:paraId="02CC97A4"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中国光大银行股份有限公司青岛分行</w:t>
            </w:r>
          </w:p>
        </w:tc>
        <w:tc>
          <w:tcPr>
            <w:tcW w:w="2039" w:type="dxa"/>
            <w:gridSpan w:val="2"/>
            <w:vAlign w:val="center"/>
          </w:tcPr>
          <w:p w14:paraId="7DE22858"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业务人员及其工作职责</w:t>
            </w:r>
          </w:p>
        </w:tc>
        <w:tc>
          <w:tcPr>
            <w:tcW w:w="1943" w:type="dxa"/>
            <w:vAlign w:val="center"/>
          </w:tcPr>
          <w:p w14:paraId="6832B9E5"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办公电话</w:t>
            </w:r>
          </w:p>
        </w:tc>
        <w:tc>
          <w:tcPr>
            <w:tcW w:w="3445" w:type="dxa"/>
            <w:gridSpan w:val="2"/>
            <w:vAlign w:val="center"/>
          </w:tcPr>
          <w:p w14:paraId="7D1275C2"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邮箱</w:t>
            </w:r>
          </w:p>
        </w:tc>
      </w:tr>
      <w:tr w:rsidR="00694F14" w14:paraId="1BD669D7" w14:textId="77777777">
        <w:trPr>
          <w:cantSplit/>
          <w:trHeight w:val="285"/>
          <w:jc w:val="center"/>
        </w:trPr>
        <w:tc>
          <w:tcPr>
            <w:tcW w:w="471" w:type="dxa"/>
            <w:vMerge/>
            <w:vAlign w:val="center"/>
          </w:tcPr>
          <w:p w14:paraId="53E3CF72" w14:textId="77777777" w:rsidR="00694F14" w:rsidRDefault="00694F14">
            <w:pPr>
              <w:widowControl/>
              <w:jc w:val="left"/>
              <w:rPr>
                <w:rFonts w:ascii="宋体" w:eastAsia="宋体" w:hAnsi="宋体" w:cs="宋体"/>
                <w:b/>
                <w:bCs/>
                <w:sz w:val="21"/>
                <w:szCs w:val="21"/>
              </w:rPr>
            </w:pPr>
          </w:p>
        </w:tc>
        <w:tc>
          <w:tcPr>
            <w:tcW w:w="735" w:type="dxa"/>
            <w:vMerge/>
            <w:vAlign w:val="bottom"/>
          </w:tcPr>
          <w:p w14:paraId="659A368F" w14:textId="77777777" w:rsidR="00694F14" w:rsidRDefault="00694F14">
            <w:pPr>
              <w:jc w:val="center"/>
              <w:rPr>
                <w:rFonts w:ascii="宋体" w:eastAsia="宋体" w:hAnsi="宋体" w:cs="宋体"/>
                <w:sz w:val="21"/>
                <w:szCs w:val="21"/>
              </w:rPr>
            </w:pPr>
          </w:p>
        </w:tc>
        <w:tc>
          <w:tcPr>
            <w:tcW w:w="2039" w:type="dxa"/>
            <w:gridSpan w:val="2"/>
            <w:vAlign w:val="center"/>
          </w:tcPr>
          <w:p w14:paraId="682BE63C"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r>
              <w:rPr>
                <w:rFonts w:ascii="宋体" w:eastAsia="宋体" w:hAnsi="宋体" w:cs="宋体" w:hint="eastAsia"/>
                <w:sz w:val="21"/>
                <w:szCs w:val="21"/>
              </w:rPr>
              <w:t>王峰</w:t>
            </w:r>
          </w:p>
        </w:tc>
        <w:tc>
          <w:tcPr>
            <w:tcW w:w="1943" w:type="dxa"/>
            <w:vAlign w:val="center"/>
          </w:tcPr>
          <w:p w14:paraId="772C8747"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0532-81973522</w:t>
            </w:r>
          </w:p>
        </w:tc>
        <w:tc>
          <w:tcPr>
            <w:tcW w:w="3445" w:type="dxa"/>
            <w:gridSpan w:val="2"/>
            <w:vAlign w:val="center"/>
          </w:tcPr>
          <w:p w14:paraId="024E95D3"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wangfeng@qd.cebbank.com</w:t>
            </w:r>
          </w:p>
        </w:tc>
      </w:tr>
      <w:tr w:rsidR="00694F14" w14:paraId="1249499A" w14:textId="77777777">
        <w:trPr>
          <w:cantSplit/>
          <w:trHeight w:val="285"/>
          <w:jc w:val="center"/>
        </w:trPr>
        <w:tc>
          <w:tcPr>
            <w:tcW w:w="471" w:type="dxa"/>
            <w:vMerge/>
            <w:vAlign w:val="center"/>
          </w:tcPr>
          <w:p w14:paraId="0BA71AB4" w14:textId="77777777" w:rsidR="00694F14" w:rsidRDefault="00694F14">
            <w:pPr>
              <w:widowControl/>
              <w:jc w:val="left"/>
              <w:rPr>
                <w:rFonts w:ascii="宋体" w:eastAsia="宋体" w:hAnsi="宋体" w:cs="宋体"/>
                <w:b/>
                <w:bCs/>
                <w:sz w:val="21"/>
                <w:szCs w:val="21"/>
              </w:rPr>
            </w:pPr>
          </w:p>
        </w:tc>
        <w:tc>
          <w:tcPr>
            <w:tcW w:w="735" w:type="dxa"/>
            <w:vMerge/>
            <w:vAlign w:val="bottom"/>
          </w:tcPr>
          <w:p w14:paraId="24B81B59" w14:textId="77777777" w:rsidR="00694F14" w:rsidRDefault="00694F14">
            <w:pPr>
              <w:jc w:val="center"/>
              <w:rPr>
                <w:rFonts w:ascii="宋体" w:eastAsia="宋体" w:hAnsi="宋体" w:cs="宋体"/>
                <w:sz w:val="21"/>
                <w:szCs w:val="21"/>
              </w:rPr>
            </w:pPr>
          </w:p>
        </w:tc>
        <w:tc>
          <w:tcPr>
            <w:tcW w:w="2039" w:type="dxa"/>
            <w:gridSpan w:val="2"/>
            <w:vAlign w:val="center"/>
          </w:tcPr>
          <w:p w14:paraId="45FDE266"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r>
              <w:rPr>
                <w:rFonts w:ascii="宋体" w:eastAsia="宋体" w:hAnsi="宋体" w:cs="宋体" w:hint="eastAsia"/>
                <w:sz w:val="21"/>
                <w:szCs w:val="21"/>
              </w:rPr>
              <w:t>高超</w:t>
            </w:r>
          </w:p>
        </w:tc>
        <w:tc>
          <w:tcPr>
            <w:tcW w:w="1943" w:type="dxa"/>
            <w:vAlign w:val="center"/>
          </w:tcPr>
          <w:p w14:paraId="37E33E51"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0532-81973522</w:t>
            </w:r>
          </w:p>
        </w:tc>
        <w:tc>
          <w:tcPr>
            <w:tcW w:w="3445" w:type="dxa"/>
            <w:gridSpan w:val="2"/>
            <w:vAlign w:val="center"/>
          </w:tcPr>
          <w:p w14:paraId="23DA8C68"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gaochao@qd.cebbank.com</w:t>
            </w:r>
          </w:p>
        </w:tc>
      </w:tr>
      <w:tr w:rsidR="00694F14" w14:paraId="04D7569B" w14:textId="77777777">
        <w:trPr>
          <w:cantSplit/>
          <w:trHeight w:val="285"/>
          <w:jc w:val="center"/>
        </w:trPr>
        <w:tc>
          <w:tcPr>
            <w:tcW w:w="471" w:type="dxa"/>
            <w:vMerge/>
            <w:vAlign w:val="center"/>
          </w:tcPr>
          <w:p w14:paraId="209947ED" w14:textId="77777777" w:rsidR="00694F14" w:rsidRDefault="00694F14">
            <w:pPr>
              <w:widowControl/>
              <w:jc w:val="left"/>
              <w:rPr>
                <w:rFonts w:ascii="宋体" w:eastAsia="宋体" w:hAnsi="宋体" w:cs="宋体"/>
                <w:b/>
                <w:bCs/>
                <w:sz w:val="21"/>
                <w:szCs w:val="21"/>
              </w:rPr>
            </w:pPr>
          </w:p>
        </w:tc>
        <w:tc>
          <w:tcPr>
            <w:tcW w:w="735" w:type="dxa"/>
            <w:vMerge/>
            <w:vAlign w:val="bottom"/>
          </w:tcPr>
          <w:p w14:paraId="336924AB" w14:textId="77777777" w:rsidR="00694F14" w:rsidRDefault="00694F14">
            <w:pPr>
              <w:jc w:val="center"/>
              <w:rPr>
                <w:rFonts w:ascii="宋体" w:eastAsia="宋体" w:hAnsi="宋体" w:cs="宋体"/>
                <w:sz w:val="21"/>
                <w:szCs w:val="21"/>
              </w:rPr>
            </w:pPr>
          </w:p>
        </w:tc>
        <w:tc>
          <w:tcPr>
            <w:tcW w:w="2039" w:type="dxa"/>
            <w:gridSpan w:val="2"/>
            <w:vAlign w:val="center"/>
          </w:tcPr>
          <w:p w14:paraId="63B0783B"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proofErr w:type="gramStart"/>
            <w:r>
              <w:rPr>
                <w:rFonts w:ascii="宋体" w:eastAsia="宋体" w:hAnsi="宋体" w:cs="宋体" w:hint="eastAsia"/>
                <w:sz w:val="21"/>
                <w:szCs w:val="21"/>
              </w:rPr>
              <w:t>王健全</w:t>
            </w:r>
            <w:proofErr w:type="gramEnd"/>
          </w:p>
        </w:tc>
        <w:tc>
          <w:tcPr>
            <w:tcW w:w="1943" w:type="dxa"/>
            <w:vAlign w:val="center"/>
          </w:tcPr>
          <w:p w14:paraId="04014D8C"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0532-81973520</w:t>
            </w:r>
          </w:p>
        </w:tc>
        <w:tc>
          <w:tcPr>
            <w:tcW w:w="3445" w:type="dxa"/>
            <w:gridSpan w:val="2"/>
            <w:vAlign w:val="center"/>
          </w:tcPr>
          <w:p w14:paraId="4108ACBB"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wangjianquan@qd.cebbank.com</w:t>
            </w:r>
          </w:p>
        </w:tc>
      </w:tr>
      <w:tr w:rsidR="00694F14" w14:paraId="68B213EC" w14:textId="77777777">
        <w:trPr>
          <w:cantSplit/>
          <w:trHeight w:val="285"/>
          <w:jc w:val="center"/>
        </w:trPr>
        <w:tc>
          <w:tcPr>
            <w:tcW w:w="471" w:type="dxa"/>
            <w:vMerge/>
            <w:vAlign w:val="center"/>
          </w:tcPr>
          <w:p w14:paraId="54223586" w14:textId="77777777" w:rsidR="00694F14" w:rsidRDefault="00694F14">
            <w:pPr>
              <w:widowControl/>
              <w:jc w:val="left"/>
              <w:rPr>
                <w:rFonts w:ascii="宋体" w:eastAsia="宋体" w:hAnsi="宋体" w:cs="宋体"/>
                <w:b/>
                <w:bCs/>
                <w:sz w:val="21"/>
                <w:szCs w:val="21"/>
              </w:rPr>
            </w:pPr>
          </w:p>
        </w:tc>
        <w:tc>
          <w:tcPr>
            <w:tcW w:w="735" w:type="dxa"/>
            <w:vMerge/>
            <w:vAlign w:val="bottom"/>
          </w:tcPr>
          <w:p w14:paraId="3F6C3EE1" w14:textId="77777777" w:rsidR="00694F14" w:rsidRDefault="00694F14">
            <w:pPr>
              <w:jc w:val="center"/>
              <w:rPr>
                <w:rFonts w:ascii="宋体" w:eastAsia="宋体" w:hAnsi="宋体" w:cs="宋体"/>
                <w:sz w:val="21"/>
                <w:szCs w:val="21"/>
              </w:rPr>
            </w:pPr>
          </w:p>
        </w:tc>
        <w:tc>
          <w:tcPr>
            <w:tcW w:w="2039" w:type="dxa"/>
            <w:gridSpan w:val="2"/>
            <w:vAlign w:val="center"/>
          </w:tcPr>
          <w:p w14:paraId="36B5187A"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r>
              <w:rPr>
                <w:rFonts w:ascii="宋体" w:eastAsia="宋体" w:hAnsi="宋体" w:cs="宋体" w:hint="eastAsia"/>
                <w:sz w:val="21"/>
                <w:szCs w:val="21"/>
              </w:rPr>
              <w:t>王凯丽</w:t>
            </w:r>
          </w:p>
        </w:tc>
        <w:tc>
          <w:tcPr>
            <w:tcW w:w="1943" w:type="dxa"/>
            <w:vAlign w:val="center"/>
          </w:tcPr>
          <w:p w14:paraId="5C78D8E2"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0532-83860601</w:t>
            </w:r>
          </w:p>
        </w:tc>
        <w:tc>
          <w:tcPr>
            <w:tcW w:w="3445" w:type="dxa"/>
            <w:gridSpan w:val="2"/>
            <w:vAlign w:val="center"/>
          </w:tcPr>
          <w:p w14:paraId="23254AC4" w14:textId="77777777" w:rsidR="00694F14" w:rsidRDefault="00A463B7">
            <w:pPr>
              <w:pStyle w:val="Default"/>
              <w:jc w:val="center"/>
              <w:rPr>
                <w:rFonts w:ascii="宋体" w:eastAsia="宋体" w:hAnsi="宋体" w:cs="宋体"/>
                <w:sz w:val="21"/>
                <w:szCs w:val="21"/>
              </w:rPr>
            </w:pPr>
            <w:r>
              <w:rPr>
                <w:rFonts w:ascii="宋体" w:eastAsia="宋体" w:hAnsi="宋体" w:cs="宋体" w:hint="eastAsia"/>
                <w:sz w:val="21"/>
                <w:szCs w:val="21"/>
              </w:rPr>
              <w:t>wangkaili@qd.cebbank.com</w:t>
            </w:r>
          </w:p>
        </w:tc>
      </w:tr>
      <w:tr w:rsidR="00694F14" w14:paraId="2D7AB78A" w14:textId="77777777">
        <w:trPr>
          <w:cantSplit/>
          <w:trHeight w:val="285"/>
          <w:jc w:val="center"/>
        </w:trPr>
        <w:tc>
          <w:tcPr>
            <w:tcW w:w="471" w:type="dxa"/>
            <w:vMerge/>
            <w:vAlign w:val="center"/>
          </w:tcPr>
          <w:p w14:paraId="12B332F5" w14:textId="77777777" w:rsidR="00694F14" w:rsidRDefault="00694F14">
            <w:pPr>
              <w:widowControl/>
              <w:jc w:val="left"/>
              <w:rPr>
                <w:rFonts w:ascii="宋体" w:eastAsia="宋体" w:hAnsi="宋体" w:cs="宋体"/>
                <w:b/>
                <w:bCs/>
                <w:sz w:val="21"/>
                <w:szCs w:val="21"/>
              </w:rPr>
            </w:pPr>
          </w:p>
        </w:tc>
        <w:tc>
          <w:tcPr>
            <w:tcW w:w="735" w:type="dxa"/>
            <w:vMerge/>
            <w:vAlign w:val="bottom"/>
          </w:tcPr>
          <w:p w14:paraId="7FB69BE5" w14:textId="77777777" w:rsidR="00694F14" w:rsidRDefault="00694F14">
            <w:pPr>
              <w:jc w:val="center"/>
              <w:rPr>
                <w:rFonts w:ascii="宋体" w:eastAsia="宋体" w:hAnsi="宋体" w:cs="宋体"/>
                <w:sz w:val="21"/>
                <w:szCs w:val="21"/>
              </w:rPr>
            </w:pPr>
          </w:p>
        </w:tc>
        <w:tc>
          <w:tcPr>
            <w:tcW w:w="2039" w:type="dxa"/>
            <w:gridSpan w:val="2"/>
            <w:vAlign w:val="center"/>
          </w:tcPr>
          <w:p w14:paraId="1B87978E"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r>
              <w:rPr>
                <w:rFonts w:ascii="宋体" w:eastAsia="宋体" w:hAnsi="宋体" w:cs="宋体" w:hint="eastAsia"/>
                <w:sz w:val="21"/>
                <w:szCs w:val="21"/>
              </w:rPr>
              <w:t>杨</w:t>
            </w:r>
            <w:proofErr w:type="gramStart"/>
            <w:r>
              <w:rPr>
                <w:rFonts w:ascii="宋体" w:eastAsia="宋体" w:hAnsi="宋体" w:cs="宋体" w:hint="eastAsia"/>
                <w:sz w:val="21"/>
                <w:szCs w:val="21"/>
              </w:rPr>
              <w:t>础</w:t>
            </w:r>
            <w:proofErr w:type="gramEnd"/>
            <w:r>
              <w:rPr>
                <w:rFonts w:ascii="宋体" w:eastAsia="宋体" w:hAnsi="宋体" w:cs="宋体" w:hint="eastAsia"/>
                <w:sz w:val="21"/>
                <w:szCs w:val="21"/>
              </w:rPr>
              <w:t>帆</w:t>
            </w:r>
          </w:p>
        </w:tc>
        <w:tc>
          <w:tcPr>
            <w:tcW w:w="1943" w:type="dxa"/>
            <w:vAlign w:val="center"/>
          </w:tcPr>
          <w:p w14:paraId="3BCDE3B3" w14:textId="77777777" w:rsidR="00694F14" w:rsidRDefault="00A463B7">
            <w:pPr>
              <w:pStyle w:val="Default"/>
              <w:ind w:firstLineChars="100" w:firstLine="210"/>
              <w:jc w:val="center"/>
              <w:rPr>
                <w:rFonts w:ascii="宋体" w:eastAsia="宋体" w:hAnsi="宋体" w:cs="宋体"/>
                <w:sz w:val="21"/>
                <w:szCs w:val="21"/>
              </w:rPr>
            </w:pPr>
            <w:r>
              <w:rPr>
                <w:rFonts w:ascii="宋体" w:eastAsia="宋体" w:hAnsi="宋体" w:cs="宋体" w:hint="eastAsia"/>
                <w:sz w:val="21"/>
                <w:szCs w:val="21"/>
              </w:rPr>
              <w:t>0532-83860601</w:t>
            </w:r>
          </w:p>
        </w:tc>
        <w:tc>
          <w:tcPr>
            <w:tcW w:w="3445" w:type="dxa"/>
            <w:gridSpan w:val="2"/>
            <w:vAlign w:val="center"/>
          </w:tcPr>
          <w:p w14:paraId="64A51DF2" w14:textId="77777777" w:rsidR="00694F14" w:rsidRDefault="00A463B7">
            <w:pPr>
              <w:pStyle w:val="Default"/>
              <w:ind w:firstLineChars="200" w:firstLine="420"/>
              <w:jc w:val="center"/>
              <w:rPr>
                <w:rFonts w:ascii="宋体" w:eastAsia="宋体" w:hAnsi="宋体" w:cs="宋体"/>
                <w:sz w:val="21"/>
                <w:szCs w:val="21"/>
              </w:rPr>
            </w:pPr>
            <w:r>
              <w:rPr>
                <w:rFonts w:ascii="宋体" w:eastAsia="宋体" w:hAnsi="宋体" w:cs="宋体" w:hint="eastAsia"/>
                <w:sz w:val="21"/>
                <w:szCs w:val="21"/>
              </w:rPr>
              <w:t>yangchufan@qd.cebbank.com</w:t>
            </w:r>
          </w:p>
        </w:tc>
      </w:tr>
      <w:tr w:rsidR="00694F14" w14:paraId="64BA238F" w14:textId="77777777">
        <w:trPr>
          <w:cantSplit/>
          <w:trHeight w:val="285"/>
          <w:jc w:val="center"/>
        </w:trPr>
        <w:tc>
          <w:tcPr>
            <w:tcW w:w="471" w:type="dxa"/>
            <w:vMerge/>
            <w:vAlign w:val="center"/>
          </w:tcPr>
          <w:p w14:paraId="57DFEED1" w14:textId="77777777" w:rsidR="00694F14" w:rsidRDefault="00694F14">
            <w:pPr>
              <w:widowControl/>
              <w:jc w:val="left"/>
              <w:rPr>
                <w:rFonts w:ascii="宋体" w:eastAsia="宋体" w:hAnsi="宋体" w:cs="宋体"/>
                <w:b/>
                <w:bCs/>
                <w:sz w:val="21"/>
                <w:szCs w:val="21"/>
              </w:rPr>
            </w:pPr>
          </w:p>
        </w:tc>
        <w:tc>
          <w:tcPr>
            <w:tcW w:w="735" w:type="dxa"/>
            <w:vMerge/>
            <w:vAlign w:val="bottom"/>
          </w:tcPr>
          <w:p w14:paraId="44D99EEB" w14:textId="77777777" w:rsidR="00694F14" w:rsidRDefault="00694F14">
            <w:pPr>
              <w:jc w:val="center"/>
              <w:rPr>
                <w:rFonts w:ascii="宋体" w:eastAsia="宋体" w:hAnsi="宋体" w:cs="宋体"/>
                <w:sz w:val="21"/>
                <w:szCs w:val="21"/>
              </w:rPr>
            </w:pPr>
          </w:p>
        </w:tc>
        <w:tc>
          <w:tcPr>
            <w:tcW w:w="2039" w:type="dxa"/>
            <w:gridSpan w:val="2"/>
            <w:vAlign w:val="center"/>
          </w:tcPr>
          <w:p w14:paraId="6BB272C9"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清算、核算</w:t>
            </w:r>
            <w:r>
              <w:rPr>
                <w:rFonts w:ascii="宋体" w:eastAsia="宋体" w:hAnsi="宋体" w:cs="宋体" w:hint="eastAsia"/>
                <w:sz w:val="21"/>
                <w:szCs w:val="21"/>
              </w:rPr>
              <w:t xml:space="preserve"> </w:t>
            </w:r>
            <w:r>
              <w:rPr>
                <w:rFonts w:ascii="宋体" w:eastAsia="宋体" w:hAnsi="宋体" w:cs="宋体" w:hint="eastAsia"/>
                <w:sz w:val="21"/>
                <w:szCs w:val="21"/>
              </w:rPr>
              <w:t>战昱君</w:t>
            </w:r>
          </w:p>
        </w:tc>
        <w:tc>
          <w:tcPr>
            <w:tcW w:w="1943" w:type="dxa"/>
            <w:vAlign w:val="center"/>
          </w:tcPr>
          <w:p w14:paraId="37EA8BEC" w14:textId="77777777" w:rsidR="00694F14" w:rsidRDefault="00A463B7">
            <w:pPr>
              <w:pStyle w:val="Default"/>
              <w:ind w:firstLineChars="100" w:firstLine="210"/>
              <w:jc w:val="center"/>
              <w:rPr>
                <w:rFonts w:ascii="宋体" w:eastAsia="宋体" w:hAnsi="宋体" w:cs="宋体"/>
                <w:sz w:val="21"/>
                <w:szCs w:val="21"/>
              </w:rPr>
            </w:pPr>
            <w:r>
              <w:rPr>
                <w:rFonts w:ascii="宋体" w:eastAsia="宋体" w:hAnsi="宋体" w:cs="宋体" w:hint="eastAsia"/>
                <w:sz w:val="21"/>
                <w:szCs w:val="21"/>
              </w:rPr>
              <w:t>0532-81973522</w:t>
            </w:r>
          </w:p>
        </w:tc>
        <w:tc>
          <w:tcPr>
            <w:tcW w:w="3445" w:type="dxa"/>
            <w:gridSpan w:val="2"/>
            <w:vAlign w:val="center"/>
          </w:tcPr>
          <w:p w14:paraId="3C069CCC" w14:textId="77777777" w:rsidR="00694F14" w:rsidRDefault="00A463B7">
            <w:pPr>
              <w:pStyle w:val="Default"/>
              <w:ind w:firstLineChars="200" w:firstLine="420"/>
              <w:jc w:val="center"/>
              <w:rPr>
                <w:rFonts w:ascii="宋体" w:eastAsia="宋体" w:hAnsi="宋体" w:cs="宋体"/>
                <w:sz w:val="21"/>
                <w:szCs w:val="21"/>
              </w:rPr>
            </w:pPr>
            <w:r>
              <w:rPr>
                <w:rFonts w:ascii="宋体" w:eastAsia="宋体" w:hAnsi="宋体" w:cs="宋体" w:hint="eastAsia"/>
                <w:sz w:val="21"/>
                <w:szCs w:val="21"/>
              </w:rPr>
              <w:t>zhangyujun@qd.cebbank.com</w:t>
            </w:r>
          </w:p>
        </w:tc>
      </w:tr>
      <w:tr w:rsidR="00694F14" w14:paraId="174F1778" w14:textId="77777777">
        <w:trPr>
          <w:cantSplit/>
          <w:trHeight w:val="285"/>
          <w:jc w:val="center"/>
        </w:trPr>
        <w:tc>
          <w:tcPr>
            <w:tcW w:w="471" w:type="dxa"/>
            <w:vMerge/>
            <w:vAlign w:val="center"/>
          </w:tcPr>
          <w:p w14:paraId="53F322E7" w14:textId="77777777" w:rsidR="00694F14" w:rsidRDefault="00694F14">
            <w:pPr>
              <w:widowControl/>
              <w:jc w:val="left"/>
              <w:rPr>
                <w:rFonts w:ascii="宋体" w:eastAsia="宋体" w:hAnsi="宋体" w:cs="宋体"/>
                <w:b/>
                <w:bCs/>
                <w:sz w:val="21"/>
                <w:szCs w:val="21"/>
              </w:rPr>
            </w:pPr>
          </w:p>
        </w:tc>
        <w:tc>
          <w:tcPr>
            <w:tcW w:w="735" w:type="dxa"/>
            <w:vMerge/>
            <w:vAlign w:val="bottom"/>
          </w:tcPr>
          <w:p w14:paraId="318EDEB9" w14:textId="77777777" w:rsidR="00694F14" w:rsidRDefault="00694F14">
            <w:pPr>
              <w:jc w:val="center"/>
              <w:rPr>
                <w:rFonts w:ascii="宋体" w:eastAsia="宋体" w:hAnsi="宋体" w:cs="宋体"/>
                <w:sz w:val="21"/>
                <w:szCs w:val="21"/>
              </w:rPr>
            </w:pPr>
          </w:p>
        </w:tc>
        <w:tc>
          <w:tcPr>
            <w:tcW w:w="5045" w:type="dxa"/>
            <w:gridSpan w:val="4"/>
            <w:vAlign w:val="center"/>
          </w:tcPr>
          <w:p w14:paraId="51031AC6"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指定邮寄地址及邮编</w:t>
            </w:r>
          </w:p>
        </w:tc>
        <w:tc>
          <w:tcPr>
            <w:tcW w:w="2382" w:type="dxa"/>
            <w:vAlign w:val="center"/>
          </w:tcPr>
          <w:p w14:paraId="7F270746" w14:textId="77777777" w:rsidR="00694F14" w:rsidRDefault="00A463B7">
            <w:pPr>
              <w:widowControl/>
              <w:jc w:val="center"/>
              <w:rPr>
                <w:rFonts w:ascii="宋体" w:eastAsia="宋体" w:hAnsi="宋体" w:cs="宋体"/>
                <w:sz w:val="21"/>
                <w:szCs w:val="21"/>
              </w:rPr>
            </w:pPr>
            <w:r>
              <w:rPr>
                <w:rFonts w:ascii="宋体" w:eastAsia="宋体" w:hAnsi="宋体" w:cs="宋体" w:hint="eastAsia"/>
                <w:sz w:val="21"/>
                <w:szCs w:val="21"/>
              </w:rPr>
              <w:t>指定传真</w:t>
            </w:r>
          </w:p>
        </w:tc>
      </w:tr>
      <w:tr w:rsidR="00694F14" w14:paraId="01B281D4" w14:textId="77777777">
        <w:trPr>
          <w:cantSplit/>
          <w:trHeight w:val="300"/>
          <w:jc w:val="center"/>
        </w:trPr>
        <w:tc>
          <w:tcPr>
            <w:tcW w:w="471" w:type="dxa"/>
            <w:vMerge/>
            <w:vAlign w:val="center"/>
          </w:tcPr>
          <w:p w14:paraId="504426FE" w14:textId="77777777" w:rsidR="00694F14" w:rsidRDefault="00694F14">
            <w:pPr>
              <w:widowControl/>
              <w:jc w:val="left"/>
              <w:rPr>
                <w:rFonts w:ascii="宋体" w:eastAsia="宋体" w:hAnsi="宋体" w:cs="宋体"/>
                <w:b/>
                <w:bCs/>
                <w:sz w:val="21"/>
                <w:szCs w:val="21"/>
              </w:rPr>
            </w:pPr>
          </w:p>
        </w:tc>
        <w:tc>
          <w:tcPr>
            <w:tcW w:w="735" w:type="dxa"/>
            <w:vMerge/>
            <w:vAlign w:val="bottom"/>
          </w:tcPr>
          <w:p w14:paraId="6198B44A" w14:textId="77777777" w:rsidR="00694F14" w:rsidRDefault="00694F14">
            <w:pPr>
              <w:widowControl/>
              <w:jc w:val="center"/>
              <w:rPr>
                <w:rFonts w:ascii="宋体" w:eastAsia="宋体" w:hAnsi="宋体" w:cs="宋体"/>
                <w:sz w:val="21"/>
                <w:szCs w:val="21"/>
              </w:rPr>
            </w:pPr>
          </w:p>
        </w:tc>
        <w:tc>
          <w:tcPr>
            <w:tcW w:w="5045" w:type="dxa"/>
            <w:gridSpan w:val="4"/>
            <w:vAlign w:val="center"/>
          </w:tcPr>
          <w:p w14:paraId="3A4968CE"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青岛市市南区香港西路</w:t>
            </w:r>
            <w:r>
              <w:rPr>
                <w:rFonts w:ascii="宋体" w:eastAsia="宋体" w:hAnsi="宋体" w:cs="宋体" w:hint="eastAsia"/>
                <w:sz w:val="21"/>
                <w:szCs w:val="21"/>
              </w:rPr>
              <w:t>69</w:t>
            </w:r>
            <w:r>
              <w:rPr>
                <w:rFonts w:ascii="宋体" w:eastAsia="宋体" w:hAnsi="宋体" w:cs="宋体" w:hint="eastAsia"/>
                <w:sz w:val="21"/>
                <w:szCs w:val="21"/>
              </w:rPr>
              <w:t>号</w:t>
            </w:r>
          </w:p>
        </w:tc>
        <w:tc>
          <w:tcPr>
            <w:tcW w:w="2382" w:type="dxa"/>
            <w:vAlign w:val="center"/>
          </w:tcPr>
          <w:p w14:paraId="2D466C39" w14:textId="77777777" w:rsidR="00694F14" w:rsidRDefault="00A463B7">
            <w:pPr>
              <w:jc w:val="center"/>
              <w:rPr>
                <w:rFonts w:ascii="宋体" w:eastAsia="宋体" w:hAnsi="宋体" w:cs="宋体"/>
                <w:sz w:val="21"/>
                <w:szCs w:val="21"/>
              </w:rPr>
            </w:pPr>
            <w:r>
              <w:rPr>
                <w:rFonts w:ascii="宋体" w:eastAsia="宋体" w:hAnsi="宋体" w:cs="宋体" w:hint="eastAsia"/>
                <w:sz w:val="21"/>
                <w:szCs w:val="21"/>
              </w:rPr>
              <w:t>0532-81973529</w:t>
            </w:r>
          </w:p>
        </w:tc>
      </w:tr>
    </w:tbl>
    <w:p w14:paraId="382B618E" w14:textId="77777777" w:rsidR="00694F14" w:rsidRDefault="00694F14">
      <w:pPr>
        <w:rPr>
          <w:rFonts w:ascii="华文宋体" w:hAnsi="华文宋体"/>
        </w:rPr>
      </w:pPr>
    </w:p>
    <w:p w14:paraId="734A5FA0" w14:textId="77777777" w:rsidR="00694F14" w:rsidRDefault="00A463B7">
      <w:pPr>
        <w:pStyle w:val="a4"/>
        <w:ind w:firstLine="0"/>
        <w:rPr>
          <w:rFonts w:ascii="华文宋体" w:hAnsi="华文宋体"/>
        </w:rPr>
      </w:pPr>
      <w:r>
        <w:rPr>
          <w:rFonts w:ascii="华文宋体" w:hAnsi="华文宋体"/>
        </w:rPr>
        <w:br w:type="page"/>
      </w:r>
    </w:p>
    <w:p w14:paraId="07436235" w14:textId="77777777" w:rsidR="00694F14" w:rsidRDefault="00A463B7">
      <w:pPr>
        <w:pStyle w:val="1"/>
        <w:rPr>
          <w:rFonts w:ascii="宋体" w:eastAsia="宋体" w:hAnsi="宋体" w:cs="宋体"/>
          <w:sz w:val="24"/>
        </w:rPr>
      </w:pPr>
      <w:bookmarkStart w:id="101" w:name="_Toc70622216"/>
      <w:r>
        <w:rPr>
          <w:rFonts w:ascii="宋体" w:eastAsia="宋体" w:hAnsi="宋体" w:cs="宋体" w:hint="eastAsia"/>
          <w:sz w:val="24"/>
        </w:rPr>
        <w:lastRenderedPageBreak/>
        <w:t>附件六</w:t>
      </w:r>
      <w:bookmarkEnd w:id="101"/>
    </w:p>
    <w:p w14:paraId="3F1B4014" w14:textId="77777777" w:rsidR="00694F14" w:rsidRDefault="00A463B7">
      <w:pPr>
        <w:pStyle w:val="a4"/>
        <w:ind w:firstLine="0"/>
        <w:jc w:val="center"/>
        <w:rPr>
          <w:rFonts w:ascii="宋体" w:eastAsia="宋体" w:hAnsi="宋体" w:cs="宋体"/>
          <w:b/>
          <w:szCs w:val="44"/>
        </w:rPr>
      </w:pPr>
      <w:r>
        <w:rPr>
          <w:rFonts w:ascii="宋体" w:eastAsia="宋体" w:hAnsi="宋体" w:cs="宋体" w:hint="eastAsia"/>
          <w:b/>
          <w:szCs w:val="44"/>
        </w:rPr>
        <w:t>托管人关联方信息</w:t>
      </w:r>
    </w:p>
    <w:tbl>
      <w:tblPr>
        <w:tblW w:w="8494" w:type="dxa"/>
        <w:jc w:val="center"/>
        <w:tblLayout w:type="fixed"/>
        <w:tblCellMar>
          <w:top w:w="15" w:type="dxa"/>
          <w:left w:w="15" w:type="dxa"/>
          <w:bottom w:w="15" w:type="dxa"/>
          <w:right w:w="15" w:type="dxa"/>
        </w:tblCellMar>
        <w:tblLook w:val="04A0" w:firstRow="1" w:lastRow="0" w:firstColumn="1" w:lastColumn="0" w:noHBand="0" w:noVBand="1"/>
      </w:tblPr>
      <w:tblGrid>
        <w:gridCol w:w="675"/>
        <w:gridCol w:w="7819"/>
      </w:tblGrid>
      <w:tr w:rsidR="00694F14" w14:paraId="0E3630E8"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61B48"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序号</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14EBB"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名称</w:t>
            </w:r>
          </w:p>
        </w:tc>
      </w:tr>
      <w:tr w:rsidR="00694F14" w14:paraId="3B109B4A"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E70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11072"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中国光大集团股份公司</w:t>
            </w:r>
          </w:p>
        </w:tc>
      </w:tr>
      <w:tr w:rsidR="00694F14" w14:paraId="14202AC2"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2305E"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633DB"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华侨城集团有限公司</w:t>
            </w:r>
          </w:p>
        </w:tc>
      </w:tr>
      <w:tr w:rsidR="00694F14" w14:paraId="63D7F2E9"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511EB"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D3C1E"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 xml:space="preserve">OCEAN FORTUNE </w:t>
            </w:r>
            <w:r>
              <w:rPr>
                <w:rFonts w:ascii="宋体" w:eastAsia="宋体" w:hAnsi="宋体" w:cs="宋体" w:hint="eastAsia"/>
                <w:bCs/>
                <w:szCs w:val="44"/>
              </w:rPr>
              <w:t>INVESTMENT LIMITED</w:t>
            </w:r>
          </w:p>
        </w:tc>
      </w:tr>
      <w:tr w:rsidR="00694F14" w14:paraId="38A44474"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EAE55"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2DCF9"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中远海运</w:t>
            </w:r>
            <w:r>
              <w:rPr>
                <w:rFonts w:ascii="宋体" w:eastAsia="宋体" w:hAnsi="宋体" w:cs="宋体" w:hint="eastAsia"/>
                <w:bCs/>
                <w:szCs w:val="44"/>
              </w:rPr>
              <w:t>(</w:t>
            </w:r>
            <w:r>
              <w:rPr>
                <w:rFonts w:ascii="宋体" w:eastAsia="宋体" w:hAnsi="宋体" w:cs="宋体" w:hint="eastAsia"/>
                <w:bCs/>
                <w:szCs w:val="44"/>
              </w:rPr>
              <w:t>上海</w:t>
            </w:r>
            <w:r>
              <w:rPr>
                <w:rFonts w:ascii="宋体" w:eastAsia="宋体" w:hAnsi="宋体" w:cs="宋体" w:hint="eastAsia"/>
                <w:bCs/>
                <w:szCs w:val="44"/>
              </w:rPr>
              <w:t>)</w:t>
            </w:r>
            <w:r>
              <w:rPr>
                <w:rFonts w:ascii="宋体" w:eastAsia="宋体" w:hAnsi="宋体" w:cs="宋体" w:hint="eastAsia"/>
                <w:bCs/>
                <w:szCs w:val="44"/>
              </w:rPr>
              <w:t>投资管理有限公司</w:t>
            </w:r>
          </w:p>
        </w:tc>
      </w:tr>
      <w:tr w:rsidR="00694F14" w14:paraId="715871E0"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2E3B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5</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5D710"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中国再保险（集团）股份有限公司</w:t>
            </w:r>
          </w:p>
        </w:tc>
      </w:tr>
      <w:tr w:rsidR="00694F14" w14:paraId="0C10E17C"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A25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6</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1F0B"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申能（集团）有限公司</w:t>
            </w:r>
          </w:p>
        </w:tc>
      </w:tr>
      <w:tr w:rsidR="00694F14" w14:paraId="0E065CDD"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70884"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7</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EB22D"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光大证券股份有限公司</w:t>
            </w:r>
          </w:p>
        </w:tc>
      </w:tr>
      <w:tr w:rsidR="00694F14" w14:paraId="63B18EB8"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54F1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8</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735A4"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光大永明人寿保险有限公司</w:t>
            </w:r>
          </w:p>
        </w:tc>
      </w:tr>
      <w:tr w:rsidR="00694F14" w14:paraId="6C01B5EB"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D2740"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9</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78622"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光大兴</w:t>
            </w:r>
            <w:proofErr w:type="gramStart"/>
            <w:r>
              <w:rPr>
                <w:rFonts w:ascii="宋体" w:eastAsia="宋体" w:hAnsi="宋体" w:cs="宋体" w:hint="eastAsia"/>
                <w:bCs/>
                <w:szCs w:val="44"/>
              </w:rPr>
              <w:t>陇</w:t>
            </w:r>
            <w:proofErr w:type="gramEnd"/>
            <w:r>
              <w:rPr>
                <w:rFonts w:ascii="宋体" w:eastAsia="宋体" w:hAnsi="宋体" w:cs="宋体" w:hint="eastAsia"/>
                <w:bCs/>
                <w:szCs w:val="44"/>
              </w:rPr>
              <w:t>信托有限责任公司</w:t>
            </w:r>
          </w:p>
        </w:tc>
      </w:tr>
      <w:tr w:rsidR="00694F14" w14:paraId="48317F5C"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CE3F9"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10</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274A4"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w:t>
            </w:r>
            <w:proofErr w:type="gramStart"/>
            <w:r>
              <w:rPr>
                <w:rFonts w:ascii="宋体" w:eastAsia="宋体" w:hAnsi="宋体" w:cs="宋体" w:hint="eastAsia"/>
                <w:bCs/>
                <w:szCs w:val="44"/>
              </w:rPr>
              <w:t>金控资产</w:t>
            </w:r>
            <w:proofErr w:type="gramEnd"/>
            <w:r>
              <w:rPr>
                <w:rFonts w:ascii="宋体" w:eastAsia="宋体" w:hAnsi="宋体" w:cs="宋体" w:hint="eastAsia"/>
                <w:bCs/>
                <w:szCs w:val="44"/>
              </w:rPr>
              <w:t>管理有限公司</w:t>
            </w:r>
          </w:p>
        </w:tc>
      </w:tr>
      <w:tr w:rsidR="00694F14" w14:paraId="3D1A29D3"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EFC6B6"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7093C"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中国光大实业（集团）有限责任公司</w:t>
            </w:r>
          </w:p>
        </w:tc>
      </w:tr>
      <w:tr w:rsidR="00694F14" w14:paraId="70DF4678"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35420"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F2C9C"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中国光大集团有限公司</w:t>
            </w:r>
          </w:p>
        </w:tc>
      </w:tr>
      <w:tr w:rsidR="00694F14" w14:paraId="3D9A3F38"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F55B7"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82B84"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中国光大控股有限公司</w:t>
            </w:r>
          </w:p>
        </w:tc>
      </w:tr>
      <w:tr w:rsidR="00694F14" w14:paraId="32DD834F" w14:textId="77777777">
        <w:trPr>
          <w:trHeight w:hRule="exact" w:val="517"/>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8202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59B8E"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中国光大国际有限公司</w:t>
            </w:r>
            <w:r>
              <w:rPr>
                <w:rFonts w:ascii="宋体" w:eastAsia="宋体" w:hAnsi="宋体" w:cs="宋体" w:hint="eastAsia"/>
                <w:bCs/>
                <w:szCs w:val="44"/>
              </w:rPr>
              <w:t>China Everbright International Limited</w:t>
            </w:r>
          </w:p>
        </w:tc>
      </w:tr>
      <w:tr w:rsidR="00694F14" w14:paraId="594B88E6"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336AD"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15</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587E7" w14:textId="77777777" w:rsidR="00694F14" w:rsidRDefault="00A463B7">
            <w:pPr>
              <w:pStyle w:val="a4"/>
              <w:ind w:firstLine="0"/>
              <w:rPr>
                <w:rFonts w:ascii="宋体" w:eastAsia="宋体" w:hAnsi="宋体" w:cs="宋体"/>
                <w:bCs/>
                <w:szCs w:val="44"/>
              </w:rPr>
            </w:pPr>
            <w:proofErr w:type="gramStart"/>
            <w:r>
              <w:rPr>
                <w:rFonts w:ascii="宋体" w:eastAsia="宋体" w:hAnsi="宋体" w:cs="宋体" w:hint="eastAsia"/>
                <w:bCs/>
                <w:szCs w:val="44"/>
              </w:rPr>
              <w:t>光大云付互联网</w:t>
            </w:r>
            <w:proofErr w:type="gramEnd"/>
            <w:r>
              <w:rPr>
                <w:rFonts w:ascii="宋体" w:eastAsia="宋体" w:hAnsi="宋体" w:cs="宋体" w:hint="eastAsia"/>
                <w:bCs/>
                <w:szCs w:val="44"/>
              </w:rPr>
              <w:t>股份有限公司</w:t>
            </w:r>
          </w:p>
        </w:tc>
      </w:tr>
      <w:tr w:rsidR="00694F14" w14:paraId="7F260A03"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FD38B"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16</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35C3A"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中国青旅集团公司</w:t>
            </w:r>
          </w:p>
        </w:tc>
      </w:tr>
      <w:tr w:rsidR="00694F14" w14:paraId="31E2D9CE"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B1956"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17</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7E902"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中国青年实业发展总公司</w:t>
            </w:r>
          </w:p>
        </w:tc>
      </w:tr>
      <w:tr w:rsidR="00694F14" w14:paraId="05CB03F6"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A72C6"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18</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205F2"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光大金融租赁股份有限公司</w:t>
            </w:r>
          </w:p>
        </w:tc>
      </w:tr>
      <w:tr w:rsidR="00694F14" w14:paraId="54A72A88"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3AF56"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19</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A4E36"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韶山光大村镇银行股份有限公司</w:t>
            </w:r>
          </w:p>
        </w:tc>
      </w:tr>
      <w:tr w:rsidR="00694F14" w14:paraId="191592EB"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9719"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20</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C75F2"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江苏淮安光大村镇银行股份有限公司</w:t>
            </w:r>
          </w:p>
        </w:tc>
      </w:tr>
      <w:tr w:rsidR="00694F14" w14:paraId="13999D69"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1F837"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21</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54B0"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光银国际投资有限公司</w:t>
            </w:r>
          </w:p>
        </w:tc>
      </w:tr>
      <w:tr w:rsidR="00694F14" w14:paraId="02AF10E5"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884D6"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22</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CC85B"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中国光大银行股份有限公司（欧洲）</w:t>
            </w:r>
          </w:p>
        </w:tc>
      </w:tr>
      <w:tr w:rsidR="00694F14" w14:paraId="796714F4"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7DFC2"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23</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FE2A8"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江西瑞金光大村镇银行股份有限公司</w:t>
            </w:r>
          </w:p>
        </w:tc>
      </w:tr>
      <w:tr w:rsidR="00694F14" w14:paraId="46492797" w14:textId="77777777">
        <w:trPr>
          <w:trHeight w:hRule="exact" w:val="454"/>
          <w:jc w:val="center"/>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BD140" w14:textId="77777777" w:rsidR="00694F14" w:rsidRDefault="00A463B7">
            <w:pPr>
              <w:pStyle w:val="a4"/>
              <w:ind w:firstLine="0"/>
              <w:jc w:val="center"/>
              <w:rPr>
                <w:rFonts w:ascii="宋体" w:eastAsia="宋体" w:hAnsi="宋体" w:cs="宋体"/>
                <w:bCs/>
                <w:szCs w:val="44"/>
              </w:rPr>
            </w:pPr>
            <w:r>
              <w:rPr>
                <w:rFonts w:ascii="宋体" w:eastAsia="宋体" w:hAnsi="宋体" w:cs="宋体" w:hint="eastAsia"/>
                <w:bCs/>
                <w:szCs w:val="44"/>
              </w:rPr>
              <w:t>24</w:t>
            </w:r>
          </w:p>
        </w:tc>
        <w:tc>
          <w:tcPr>
            <w:tcW w:w="7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3A6D" w14:textId="77777777" w:rsidR="00694F14" w:rsidRDefault="00A463B7">
            <w:pPr>
              <w:pStyle w:val="a4"/>
              <w:ind w:firstLine="0"/>
              <w:rPr>
                <w:rFonts w:ascii="宋体" w:eastAsia="宋体" w:hAnsi="宋体" w:cs="宋体"/>
                <w:bCs/>
                <w:szCs w:val="44"/>
              </w:rPr>
            </w:pPr>
            <w:r>
              <w:rPr>
                <w:rFonts w:ascii="宋体" w:eastAsia="宋体" w:hAnsi="宋体" w:cs="宋体" w:hint="eastAsia"/>
                <w:bCs/>
                <w:szCs w:val="44"/>
              </w:rPr>
              <w:t>光大理财有限责任公司</w:t>
            </w:r>
          </w:p>
        </w:tc>
      </w:tr>
      <w:tr w:rsidR="00694F14" w14:paraId="6CA3E957" w14:textId="77777777">
        <w:trPr>
          <w:trHeight w:hRule="exact" w:val="454"/>
          <w:jc w:val="center"/>
          <w:ins w:id="102" w:author="高超" w:date="2021-09-28T14:34:00Z"/>
        </w:trPr>
        <w:tc>
          <w:tcPr>
            <w:tcW w:w="84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809AFA" w14:textId="77777777" w:rsidR="00694F14" w:rsidRPr="00694F14" w:rsidRDefault="00A463B7">
            <w:pPr>
              <w:pStyle w:val="a4"/>
              <w:ind w:firstLine="0"/>
              <w:rPr>
                <w:ins w:id="103" w:author="高超" w:date="2021-09-28T14:34:00Z"/>
                <w:rFonts w:ascii="宋体" w:eastAsia="宋体" w:hAnsi="宋体" w:cs="宋体"/>
                <w:bCs/>
                <w:szCs w:val="44"/>
                <w:rPrChange w:id="104" w:author="高超" w:date="2021-09-28T14:34:00Z">
                  <w:rPr>
                    <w:ins w:id="105" w:author="高超" w:date="2021-09-28T14:34:00Z"/>
                  </w:rPr>
                </w:rPrChange>
              </w:rPr>
            </w:pPr>
            <w:ins w:id="106" w:author="高超" w:date="2021-09-28T14:34:00Z">
              <w:r>
                <w:rPr>
                  <w:rFonts w:ascii="宋体" w:eastAsia="宋体" w:hAnsi="宋体" w:cs="宋体" w:hint="eastAsia"/>
                  <w:bCs/>
                  <w:szCs w:val="44"/>
                  <w:rPrChange w:id="107" w:author="高超" w:date="2021-09-28T14:34:00Z">
                    <w:rPr>
                      <w:rFonts w:hint="eastAsia"/>
                    </w:rPr>
                  </w:rPrChange>
                </w:rPr>
                <w:t>托管人应根据资产管理人的要求，及时提供托管人关联方名单。</w:t>
              </w:r>
            </w:ins>
          </w:p>
          <w:p w14:paraId="03C661D5" w14:textId="77777777" w:rsidR="00694F14" w:rsidRDefault="00694F14">
            <w:pPr>
              <w:pStyle w:val="a4"/>
              <w:ind w:firstLine="0"/>
              <w:rPr>
                <w:ins w:id="108" w:author="高超" w:date="2021-09-28T14:34:00Z"/>
                <w:rFonts w:ascii="宋体" w:eastAsia="宋体" w:hAnsi="宋体" w:cs="宋体"/>
                <w:bCs/>
                <w:szCs w:val="44"/>
              </w:rPr>
            </w:pPr>
          </w:p>
        </w:tc>
      </w:tr>
    </w:tbl>
    <w:p w14:paraId="673B9AF3" w14:textId="77777777" w:rsidR="00694F14" w:rsidRDefault="00694F14">
      <w:pPr>
        <w:pStyle w:val="a4"/>
        <w:spacing w:line="20" w:lineRule="exact"/>
        <w:ind w:firstLine="0"/>
        <w:rPr>
          <w:ins w:id="109" w:author="高超" w:date="2021-09-28T14:33:00Z"/>
          <w:rFonts w:ascii="宋体" w:eastAsia="宋体" w:hAnsi="宋体" w:cs="宋体"/>
          <w:bCs/>
          <w:szCs w:val="44"/>
        </w:rPr>
      </w:pPr>
    </w:p>
    <w:p w14:paraId="74B44F4A" w14:textId="77777777" w:rsidR="00694F14" w:rsidRDefault="00694F14">
      <w:pPr>
        <w:pStyle w:val="a4"/>
        <w:spacing w:line="20" w:lineRule="exact"/>
        <w:ind w:firstLine="0"/>
        <w:rPr>
          <w:ins w:id="110" w:author="高超" w:date="2021-09-28T14:33:00Z"/>
          <w:rFonts w:ascii="宋体" w:eastAsia="宋体" w:hAnsi="宋体" w:cs="宋体"/>
          <w:bCs/>
          <w:szCs w:val="44"/>
        </w:rPr>
      </w:pPr>
    </w:p>
    <w:p w14:paraId="4452C31E" w14:textId="77777777" w:rsidR="00694F14" w:rsidRDefault="00694F14">
      <w:pPr>
        <w:pStyle w:val="a4"/>
        <w:spacing w:line="20" w:lineRule="exact"/>
        <w:ind w:firstLine="0"/>
        <w:rPr>
          <w:rFonts w:ascii="宋体" w:eastAsia="宋体" w:hAnsi="宋体" w:cs="宋体"/>
          <w:bCs/>
          <w:szCs w:val="44"/>
        </w:rPr>
      </w:pPr>
    </w:p>
    <w:sectPr w:rsidR="00694F1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E4D8" w14:textId="77777777" w:rsidR="00A463B7" w:rsidRDefault="00A463B7">
      <w:r>
        <w:separator/>
      </w:r>
    </w:p>
  </w:endnote>
  <w:endnote w:type="continuationSeparator" w:id="0">
    <w:p w14:paraId="05C4F9F9" w14:textId="77777777" w:rsidR="00A463B7" w:rsidRDefault="00A4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823E" w14:textId="77777777" w:rsidR="00694F14" w:rsidRDefault="00A463B7">
    <w:pPr>
      <w:pStyle w:val="a9"/>
      <w:rPr>
        <w:rStyle w:val="af6"/>
      </w:rPr>
    </w:pPr>
    <w:r>
      <w:rPr>
        <w:rStyle w:val="af6"/>
      </w:rPr>
      <w:fldChar w:fldCharType="begin"/>
    </w:r>
    <w:r>
      <w:rPr>
        <w:rStyle w:val="af6"/>
      </w:rPr>
      <w:instrText xml:space="preserve">PAGE  </w:instrText>
    </w:r>
    <w:r>
      <w:rPr>
        <w:rStyle w:val="af6"/>
      </w:rPr>
      <w:fldChar w:fldCharType="end"/>
    </w:r>
  </w:p>
  <w:p w14:paraId="35FE5A8B" w14:textId="77777777" w:rsidR="00694F14" w:rsidRDefault="00694F14">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3478" w14:textId="77777777" w:rsidR="00694F14" w:rsidRDefault="00A463B7">
    <w:pPr>
      <w:pStyle w:val="a9"/>
      <w:rPr>
        <w:rStyle w:val="af6"/>
      </w:rPr>
    </w:pPr>
    <w:r>
      <w:rPr>
        <w:rStyle w:val="af6"/>
      </w:rPr>
      <w:fldChar w:fldCharType="begin"/>
    </w:r>
    <w:r>
      <w:rPr>
        <w:rStyle w:val="af6"/>
      </w:rPr>
      <w:instrText xml:space="preserve">PAGE  </w:instrText>
    </w:r>
    <w:r>
      <w:rPr>
        <w:rStyle w:val="af6"/>
      </w:rPr>
      <w:fldChar w:fldCharType="separate"/>
    </w:r>
    <w:r>
      <w:rPr>
        <w:rStyle w:val="af6"/>
      </w:rPr>
      <w:t>2</w:t>
    </w:r>
    <w:r>
      <w:rPr>
        <w:rStyle w:val="af6"/>
      </w:rPr>
      <w:fldChar w:fldCharType="end"/>
    </w:r>
  </w:p>
  <w:p w14:paraId="1850C13A" w14:textId="77777777" w:rsidR="00694F14" w:rsidRDefault="00694F14">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217481"/>
    </w:sdtPr>
    <w:sdtEndPr/>
    <w:sdtContent>
      <w:p w14:paraId="57891CA7" w14:textId="77777777" w:rsidR="00694F14" w:rsidRDefault="00A463B7">
        <w:pPr>
          <w:pStyle w:val="a9"/>
          <w:jc w:val="center"/>
        </w:pPr>
        <w:r>
          <w:fldChar w:fldCharType="begin"/>
        </w:r>
        <w:r>
          <w:instrText>PAGE   \* MERGEFORMAT</w:instrText>
        </w:r>
        <w:r>
          <w:fldChar w:fldCharType="separate"/>
        </w:r>
        <w:r>
          <w:rPr>
            <w:lang w:val="zh-CN"/>
          </w:rPr>
          <w:t>1</w:t>
        </w:r>
        <w:r>
          <w:fldChar w:fldCharType="end"/>
        </w:r>
      </w:p>
    </w:sdtContent>
  </w:sdt>
  <w:p w14:paraId="421D27EE" w14:textId="77777777" w:rsidR="00694F14" w:rsidRDefault="00694F14">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BCED" w14:textId="77777777" w:rsidR="00694F14" w:rsidRDefault="00A463B7">
    <w:pPr>
      <w:pStyle w:val="a9"/>
      <w:jc w:val="center"/>
    </w:pPr>
    <w:r>
      <w:fldChar w:fldCharType="begin"/>
    </w:r>
    <w:r>
      <w:instrText>PAGE   \* MERGEFORMAT</w:instrText>
    </w:r>
    <w:r>
      <w:fldChar w:fldCharType="separate"/>
    </w:r>
    <w:r>
      <w:rPr>
        <w:lang w:val="zh-CN"/>
      </w:rPr>
      <w:t>78</w:t>
    </w:r>
    <w:r>
      <w:rPr>
        <w:lang w:val="zh-CN"/>
      </w:rPr>
      <w:fldChar w:fldCharType="end"/>
    </w:r>
  </w:p>
  <w:p w14:paraId="70C4B46D" w14:textId="77777777" w:rsidR="00694F14" w:rsidRDefault="00694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8FF0" w14:textId="77777777" w:rsidR="00A463B7" w:rsidRDefault="00A463B7">
      <w:r>
        <w:separator/>
      </w:r>
    </w:p>
  </w:footnote>
  <w:footnote w:type="continuationSeparator" w:id="0">
    <w:p w14:paraId="11DB92AE" w14:textId="77777777" w:rsidR="00A463B7" w:rsidRDefault="00A46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4AD" w14:textId="77777777" w:rsidR="00694F14" w:rsidRDefault="00A463B7">
    <w:pPr>
      <w:pStyle w:val="ab"/>
      <w:rPr>
        <w:rFonts w:ascii="宋体" w:eastAsia="宋体" w:hAnsi="宋体" w:cs="宋体"/>
      </w:rPr>
    </w:pPr>
    <w:r>
      <w:rPr>
        <w:rFonts w:ascii="宋体" w:eastAsia="宋体" w:hAnsi="宋体" w:cs="宋体" w:hint="eastAsia"/>
      </w:rPr>
      <w:t>光大期货光大理财阳光</w:t>
    </w:r>
    <w:proofErr w:type="gramStart"/>
    <w:r>
      <w:rPr>
        <w:rFonts w:ascii="宋体" w:eastAsia="宋体" w:hAnsi="宋体" w:cs="宋体" w:hint="eastAsia"/>
      </w:rPr>
      <w:t>橙</w:t>
    </w:r>
    <w:proofErr w:type="gramEnd"/>
    <w:r>
      <w:rPr>
        <w:rFonts w:ascii="宋体" w:eastAsia="宋体" w:hAnsi="宋体" w:cs="宋体" w:hint="eastAsia"/>
      </w:rPr>
      <w:t>精选</w:t>
    </w:r>
    <w:r>
      <w:rPr>
        <w:rFonts w:ascii="宋体" w:eastAsia="宋体" w:hAnsi="宋体" w:cs="宋体" w:hint="eastAsia"/>
      </w:rPr>
      <w:t>1</w:t>
    </w:r>
    <w:r>
      <w:rPr>
        <w:rFonts w:ascii="宋体" w:eastAsia="宋体" w:hAnsi="宋体" w:cs="宋体" w:hint="eastAsia"/>
      </w:rPr>
      <w:t>号</w:t>
    </w:r>
    <w:r>
      <w:rPr>
        <w:rFonts w:ascii="宋体" w:eastAsia="宋体" w:hAnsi="宋体" w:cs="宋体" w:hint="eastAsia"/>
      </w:rPr>
      <w:t>集合资产管理计划资产管理合同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074FC"/>
    <w:multiLevelType w:val="multilevel"/>
    <w:tmpl w:val="7B1074FC"/>
    <w:lvl w:ilvl="0">
      <w:start w:val="1"/>
      <w:numFmt w:val="decimal"/>
      <w:suff w:val="nothing"/>
      <w:lvlText w:val="%1、"/>
      <w:lvlJc w:val="left"/>
      <w:pPr>
        <w:snapToGrid/>
        <w:ind w:left="0" w:firstLine="720"/>
      </w:pPr>
      <w:rPr>
        <w:rFonts w:hint="default"/>
      </w:rPr>
    </w:lvl>
    <w:lvl w:ilvl="1">
      <w:start w:val="1"/>
      <w:numFmt w:val="lowerLetter"/>
      <w:lvlText w:val="%2)"/>
      <w:lvlJc w:val="left"/>
      <w:pPr>
        <w:snapToGrid/>
        <w:ind w:left="1560" w:hanging="420"/>
      </w:pPr>
    </w:lvl>
    <w:lvl w:ilvl="2">
      <w:start w:val="1"/>
      <w:numFmt w:val="lowerRoman"/>
      <w:lvlText w:val="%3."/>
      <w:lvlJc w:val="right"/>
      <w:pPr>
        <w:snapToGrid/>
        <w:ind w:left="1980" w:hanging="420"/>
      </w:pPr>
    </w:lvl>
    <w:lvl w:ilvl="3">
      <w:start w:val="1"/>
      <w:numFmt w:val="decimal"/>
      <w:lvlText w:val="%4."/>
      <w:lvlJc w:val="left"/>
      <w:pPr>
        <w:snapToGrid/>
        <w:ind w:left="2400" w:hanging="420"/>
      </w:pPr>
    </w:lvl>
    <w:lvl w:ilvl="4">
      <w:start w:val="1"/>
      <w:numFmt w:val="lowerLetter"/>
      <w:lvlText w:val="%5)"/>
      <w:lvlJc w:val="left"/>
      <w:pPr>
        <w:snapToGrid/>
        <w:ind w:left="2820" w:hanging="420"/>
      </w:pPr>
    </w:lvl>
    <w:lvl w:ilvl="5">
      <w:start w:val="1"/>
      <w:numFmt w:val="lowerRoman"/>
      <w:lvlText w:val="%6."/>
      <w:lvlJc w:val="right"/>
      <w:pPr>
        <w:snapToGrid/>
        <w:ind w:left="3240" w:hanging="420"/>
      </w:pPr>
    </w:lvl>
    <w:lvl w:ilvl="6">
      <w:start w:val="1"/>
      <w:numFmt w:val="decimal"/>
      <w:lvlText w:val="%7."/>
      <w:lvlJc w:val="left"/>
      <w:pPr>
        <w:snapToGrid/>
        <w:ind w:left="3660" w:hanging="420"/>
      </w:pPr>
    </w:lvl>
    <w:lvl w:ilvl="7">
      <w:start w:val="1"/>
      <w:numFmt w:val="lowerLetter"/>
      <w:lvlText w:val="%8)"/>
      <w:lvlJc w:val="left"/>
      <w:pPr>
        <w:snapToGrid/>
        <w:ind w:left="4080" w:hanging="420"/>
      </w:pPr>
    </w:lvl>
    <w:lvl w:ilvl="8">
      <w:start w:val="1"/>
      <w:numFmt w:val="lowerRoman"/>
      <w:lvlText w:val="%9."/>
      <w:lvlJc w:val="right"/>
      <w:pPr>
        <w:snapToGrid/>
        <w:ind w:left="45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高超">
    <w15:presenceInfo w15:providerId="None" w15:userId="高超"/>
  </w15:person>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F6"/>
    <w:rsid w:val="000278CD"/>
    <w:rsid w:val="000777B5"/>
    <w:rsid w:val="00096940"/>
    <w:rsid w:val="000B3132"/>
    <w:rsid w:val="001119E6"/>
    <w:rsid w:val="001F2C5F"/>
    <w:rsid w:val="002E6A77"/>
    <w:rsid w:val="0030141D"/>
    <w:rsid w:val="003401FF"/>
    <w:rsid w:val="00364F46"/>
    <w:rsid w:val="003729B3"/>
    <w:rsid w:val="00374C6B"/>
    <w:rsid w:val="00381688"/>
    <w:rsid w:val="003E64FB"/>
    <w:rsid w:val="00420B24"/>
    <w:rsid w:val="0045638F"/>
    <w:rsid w:val="00516CB9"/>
    <w:rsid w:val="00632186"/>
    <w:rsid w:val="0064448B"/>
    <w:rsid w:val="006653AF"/>
    <w:rsid w:val="00667230"/>
    <w:rsid w:val="00694F14"/>
    <w:rsid w:val="006A0FF6"/>
    <w:rsid w:val="007A41DC"/>
    <w:rsid w:val="008050CD"/>
    <w:rsid w:val="00847550"/>
    <w:rsid w:val="008720CB"/>
    <w:rsid w:val="008866D7"/>
    <w:rsid w:val="008C0EE5"/>
    <w:rsid w:val="008C1188"/>
    <w:rsid w:val="009102D5"/>
    <w:rsid w:val="009270DB"/>
    <w:rsid w:val="00933D7C"/>
    <w:rsid w:val="00957013"/>
    <w:rsid w:val="00970E9D"/>
    <w:rsid w:val="0098204B"/>
    <w:rsid w:val="00985A9F"/>
    <w:rsid w:val="00992711"/>
    <w:rsid w:val="00994C38"/>
    <w:rsid w:val="009F5CB9"/>
    <w:rsid w:val="00A13513"/>
    <w:rsid w:val="00A463B7"/>
    <w:rsid w:val="00A76820"/>
    <w:rsid w:val="00AD11DC"/>
    <w:rsid w:val="00BB441B"/>
    <w:rsid w:val="00D14487"/>
    <w:rsid w:val="00D45A1C"/>
    <w:rsid w:val="00D56B0E"/>
    <w:rsid w:val="00EB7E84"/>
    <w:rsid w:val="00EE6BA6"/>
    <w:rsid w:val="00F863CC"/>
    <w:rsid w:val="00FA2DA9"/>
    <w:rsid w:val="00FA537C"/>
    <w:rsid w:val="00FD149A"/>
    <w:rsid w:val="01935C90"/>
    <w:rsid w:val="019444EE"/>
    <w:rsid w:val="02056DA0"/>
    <w:rsid w:val="02451E2E"/>
    <w:rsid w:val="0286452D"/>
    <w:rsid w:val="03043AB8"/>
    <w:rsid w:val="034A5932"/>
    <w:rsid w:val="03A61FE0"/>
    <w:rsid w:val="03F429C1"/>
    <w:rsid w:val="041E2906"/>
    <w:rsid w:val="0421386F"/>
    <w:rsid w:val="05364E83"/>
    <w:rsid w:val="056C05B1"/>
    <w:rsid w:val="07137EE7"/>
    <w:rsid w:val="072A3DA1"/>
    <w:rsid w:val="07492AD3"/>
    <w:rsid w:val="07C65C29"/>
    <w:rsid w:val="086C4973"/>
    <w:rsid w:val="08A427D2"/>
    <w:rsid w:val="08E863A5"/>
    <w:rsid w:val="093542A9"/>
    <w:rsid w:val="0A0B6532"/>
    <w:rsid w:val="0B39023F"/>
    <w:rsid w:val="0B590FC9"/>
    <w:rsid w:val="0B623DB2"/>
    <w:rsid w:val="0B9B53C8"/>
    <w:rsid w:val="0BF8456B"/>
    <w:rsid w:val="0C08696C"/>
    <w:rsid w:val="0CBD6DFE"/>
    <w:rsid w:val="0D025716"/>
    <w:rsid w:val="0D4610F8"/>
    <w:rsid w:val="0DE70994"/>
    <w:rsid w:val="0F2E6679"/>
    <w:rsid w:val="0F5A4850"/>
    <w:rsid w:val="0FE37A70"/>
    <w:rsid w:val="0FFC4F62"/>
    <w:rsid w:val="10725D20"/>
    <w:rsid w:val="10E21CF6"/>
    <w:rsid w:val="10F955EB"/>
    <w:rsid w:val="11304F2D"/>
    <w:rsid w:val="125033FF"/>
    <w:rsid w:val="12CB10CE"/>
    <w:rsid w:val="12F23A48"/>
    <w:rsid w:val="136866DE"/>
    <w:rsid w:val="139E00BF"/>
    <w:rsid w:val="13A009C0"/>
    <w:rsid w:val="14AC3DF4"/>
    <w:rsid w:val="1575035E"/>
    <w:rsid w:val="16560614"/>
    <w:rsid w:val="165F4A6E"/>
    <w:rsid w:val="167B3287"/>
    <w:rsid w:val="16C5604F"/>
    <w:rsid w:val="17291C91"/>
    <w:rsid w:val="17C54239"/>
    <w:rsid w:val="17EC642C"/>
    <w:rsid w:val="181A3DFA"/>
    <w:rsid w:val="18276FCC"/>
    <w:rsid w:val="183D421D"/>
    <w:rsid w:val="18CF2EC8"/>
    <w:rsid w:val="18E50D81"/>
    <w:rsid w:val="1A0045F4"/>
    <w:rsid w:val="1B251236"/>
    <w:rsid w:val="1B641AF4"/>
    <w:rsid w:val="1B6C0320"/>
    <w:rsid w:val="1B8F6C9E"/>
    <w:rsid w:val="1B9A6BBF"/>
    <w:rsid w:val="1C4B6D83"/>
    <w:rsid w:val="1C741C8D"/>
    <w:rsid w:val="1CF47B01"/>
    <w:rsid w:val="1CFB3BF1"/>
    <w:rsid w:val="1D0537F6"/>
    <w:rsid w:val="1D174497"/>
    <w:rsid w:val="1D9752AD"/>
    <w:rsid w:val="1DA05F63"/>
    <w:rsid w:val="1E01538F"/>
    <w:rsid w:val="1EBB4B02"/>
    <w:rsid w:val="1ED5123A"/>
    <w:rsid w:val="1EE936B9"/>
    <w:rsid w:val="1F135D7E"/>
    <w:rsid w:val="1FB002EB"/>
    <w:rsid w:val="1FFA79EA"/>
    <w:rsid w:val="20304054"/>
    <w:rsid w:val="20986D66"/>
    <w:rsid w:val="21210F31"/>
    <w:rsid w:val="223A54DA"/>
    <w:rsid w:val="22893CEB"/>
    <w:rsid w:val="22C16984"/>
    <w:rsid w:val="22E51CBB"/>
    <w:rsid w:val="233C36C7"/>
    <w:rsid w:val="235D2F46"/>
    <w:rsid w:val="23D470EC"/>
    <w:rsid w:val="245028ED"/>
    <w:rsid w:val="25F323BA"/>
    <w:rsid w:val="2668070A"/>
    <w:rsid w:val="27394946"/>
    <w:rsid w:val="2741506D"/>
    <w:rsid w:val="282C4A2C"/>
    <w:rsid w:val="28FF649B"/>
    <w:rsid w:val="29201176"/>
    <w:rsid w:val="294F5F62"/>
    <w:rsid w:val="29F50804"/>
    <w:rsid w:val="2A7B3FBE"/>
    <w:rsid w:val="2B653E80"/>
    <w:rsid w:val="2B810A32"/>
    <w:rsid w:val="2BE83C5D"/>
    <w:rsid w:val="2C0438A6"/>
    <w:rsid w:val="2C446DAA"/>
    <w:rsid w:val="2D17043D"/>
    <w:rsid w:val="2D87089B"/>
    <w:rsid w:val="2E59710C"/>
    <w:rsid w:val="2EE9089E"/>
    <w:rsid w:val="2F81571C"/>
    <w:rsid w:val="2FB51F3C"/>
    <w:rsid w:val="30772057"/>
    <w:rsid w:val="30A538D7"/>
    <w:rsid w:val="31343080"/>
    <w:rsid w:val="31616C9C"/>
    <w:rsid w:val="31C75BCD"/>
    <w:rsid w:val="31D4343D"/>
    <w:rsid w:val="32291188"/>
    <w:rsid w:val="324C1D97"/>
    <w:rsid w:val="33610C1E"/>
    <w:rsid w:val="33816FF9"/>
    <w:rsid w:val="33AB5D2E"/>
    <w:rsid w:val="346F7105"/>
    <w:rsid w:val="34A058C2"/>
    <w:rsid w:val="34C557A9"/>
    <w:rsid w:val="34E61663"/>
    <w:rsid w:val="35111965"/>
    <w:rsid w:val="35AA596B"/>
    <w:rsid w:val="37247EB8"/>
    <w:rsid w:val="372E1537"/>
    <w:rsid w:val="373F7968"/>
    <w:rsid w:val="37642D85"/>
    <w:rsid w:val="3795559C"/>
    <w:rsid w:val="37D50DD4"/>
    <w:rsid w:val="388E5083"/>
    <w:rsid w:val="39511A6E"/>
    <w:rsid w:val="3A197DF6"/>
    <w:rsid w:val="3AE700DE"/>
    <w:rsid w:val="3B20496D"/>
    <w:rsid w:val="3BD20FD6"/>
    <w:rsid w:val="3BF5719E"/>
    <w:rsid w:val="3C3878A0"/>
    <w:rsid w:val="3C4D5CE0"/>
    <w:rsid w:val="3C597D6B"/>
    <w:rsid w:val="3C5C7D80"/>
    <w:rsid w:val="3C74124E"/>
    <w:rsid w:val="3C8447E5"/>
    <w:rsid w:val="3D9A3C1E"/>
    <w:rsid w:val="3E17713A"/>
    <w:rsid w:val="3ED53982"/>
    <w:rsid w:val="3F4F6BA9"/>
    <w:rsid w:val="416941DD"/>
    <w:rsid w:val="417F467D"/>
    <w:rsid w:val="41AF686F"/>
    <w:rsid w:val="41CF18C3"/>
    <w:rsid w:val="42A734DF"/>
    <w:rsid w:val="42EA00C6"/>
    <w:rsid w:val="43645FFD"/>
    <w:rsid w:val="43914667"/>
    <w:rsid w:val="43E14459"/>
    <w:rsid w:val="44775175"/>
    <w:rsid w:val="45010596"/>
    <w:rsid w:val="454B0111"/>
    <w:rsid w:val="45731E9C"/>
    <w:rsid w:val="45837FA9"/>
    <w:rsid w:val="458715B7"/>
    <w:rsid w:val="458D3DB2"/>
    <w:rsid w:val="45AC18CC"/>
    <w:rsid w:val="45ED14D3"/>
    <w:rsid w:val="460933DD"/>
    <w:rsid w:val="46586D5E"/>
    <w:rsid w:val="46701E63"/>
    <w:rsid w:val="46DA1EB1"/>
    <w:rsid w:val="46E61A3C"/>
    <w:rsid w:val="47BD7C56"/>
    <w:rsid w:val="47DA0EC5"/>
    <w:rsid w:val="484776FB"/>
    <w:rsid w:val="48F56AD4"/>
    <w:rsid w:val="493F4A2D"/>
    <w:rsid w:val="4A29690D"/>
    <w:rsid w:val="4A4F073B"/>
    <w:rsid w:val="4A4F414B"/>
    <w:rsid w:val="4AA3776D"/>
    <w:rsid w:val="4B017533"/>
    <w:rsid w:val="4B2F64AC"/>
    <w:rsid w:val="4B7E212A"/>
    <w:rsid w:val="4C502940"/>
    <w:rsid w:val="4C7E033B"/>
    <w:rsid w:val="4C9E4ADA"/>
    <w:rsid w:val="4D892E78"/>
    <w:rsid w:val="4DA3715A"/>
    <w:rsid w:val="4DE045A8"/>
    <w:rsid w:val="4E1975E7"/>
    <w:rsid w:val="4E8D610F"/>
    <w:rsid w:val="4EBF0904"/>
    <w:rsid w:val="4F105A20"/>
    <w:rsid w:val="4F371C60"/>
    <w:rsid w:val="4F3F3CFA"/>
    <w:rsid w:val="4F5751FC"/>
    <w:rsid w:val="502000D6"/>
    <w:rsid w:val="508E6DFF"/>
    <w:rsid w:val="51177EE8"/>
    <w:rsid w:val="51184497"/>
    <w:rsid w:val="51464752"/>
    <w:rsid w:val="52042CE8"/>
    <w:rsid w:val="52566214"/>
    <w:rsid w:val="52A77E63"/>
    <w:rsid w:val="536E1913"/>
    <w:rsid w:val="53AF060E"/>
    <w:rsid w:val="53C80F7D"/>
    <w:rsid w:val="53EE199A"/>
    <w:rsid w:val="54117485"/>
    <w:rsid w:val="56586F00"/>
    <w:rsid w:val="56713207"/>
    <w:rsid w:val="56E774FA"/>
    <w:rsid w:val="571A5864"/>
    <w:rsid w:val="57936CD8"/>
    <w:rsid w:val="57CE5985"/>
    <w:rsid w:val="585A1139"/>
    <w:rsid w:val="589370CD"/>
    <w:rsid w:val="58FE22CA"/>
    <w:rsid w:val="59116C82"/>
    <w:rsid w:val="5A51540B"/>
    <w:rsid w:val="5AE87392"/>
    <w:rsid w:val="5BAC1A7A"/>
    <w:rsid w:val="5BD34020"/>
    <w:rsid w:val="5C1809A7"/>
    <w:rsid w:val="5C256094"/>
    <w:rsid w:val="5C842F22"/>
    <w:rsid w:val="5CAC7795"/>
    <w:rsid w:val="5D705E20"/>
    <w:rsid w:val="5DCA5528"/>
    <w:rsid w:val="5DFD13ED"/>
    <w:rsid w:val="5E3E5FB1"/>
    <w:rsid w:val="5E865200"/>
    <w:rsid w:val="5E91094B"/>
    <w:rsid w:val="5EE36BD1"/>
    <w:rsid w:val="5F562F50"/>
    <w:rsid w:val="5FD44C6C"/>
    <w:rsid w:val="606C199C"/>
    <w:rsid w:val="6094409A"/>
    <w:rsid w:val="610D2C45"/>
    <w:rsid w:val="616F4CB4"/>
    <w:rsid w:val="61CE4009"/>
    <w:rsid w:val="61F673AB"/>
    <w:rsid w:val="6256735A"/>
    <w:rsid w:val="6275695F"/>
    <w:rsid w:val="62B86B58"/>
    <w:rsid w:val="62D93E6D"/>
    <w:rsid w:val="632C6B35"/>
    <w:rsid w:val="63761F7B"/>
    <w:rsid w:val="63D33A5E"/>
    <w:rsid w:val="640B6315"/>
    <w:rsid w:val="64821445"/>
    <w:rsid w:val="64D24001"/>
    <w:rsid w:val="658203E6"/>
    <w:rsid w:val="65AB7AF5"/>
    <w:rsid w:val="65FF6C0C"/>
    <w:rsid w:val="6654241C"/>
    <w:rsid w:val="67C4651F"/>
    <w:rsid w:val="67F06A9C"/>
    <w:rsid w:val="69315DAD"/>
    <w:rsid w:val="69335B90"/>
    <w:rsid w:val="694D072E"/>
    <w:rsid w:val="6999259E"/>
    <w:rsid w:val="6A2603E4"/>
    <w:rsid w:val="6A3065CC"/>
    <w:rsid w:val="6A472123"/>
    <w:rsid w:val="6B734616"/>
    <w:rsid w:val="6BE67A8E"/>
    <w:rsid w:val="6C2C21F2"/>
    <w:rsid w:val="6C380A61"/>
    <w:rsid w:val="6C5D6682"/>
    <w:rsid w:val="6C817E7F"/>
    <w:rsid w:val="6D113340"/>
    <w:rsid w:val="6D7F4C4E"/>
    <w:rsid w:val="6D9B373B"/>
    <w:rsid w:val="6E5E25B5"/>
    <w:rsid w:val="6F44041E"/>
    <w:rsid w:val="6F5715CC"/>
    <w:rsid w:val="6FA0690A"/>
    <w:rsid w:val="6FE957B3"/>
    <w:rsid w:val="70925036"/>
    <w:rsid w:val="70CB0784"/>
    <w:rsid w:val="71566FDD"/>
    <w:rsid w:val="717B12AA"/>
    <w:rsid w:val="723D2D69"/>
    <w:rsid w:val="72E57CDD"/>
    <w:rsid w:val="73036ED2"/>
    <w:rsid w:val="739D0D9F"/>
    <w:rsid w:val="742024A5"/>
    <w:rsid w:val="74463F01"/>
    <w:rsid w:val="74C2328D"/>
    <w:rsid w:val="74E25B49"/>
    <w:rsid w:val="75D600A5"/>
    <w:rsid w:val="768316FC"/>
    <w:rsid w:val="769F696C"/>
    <w:rsid w:val="76B35D79"/>
    <w:rsid w:val="76C042DF"/>
    <w:rsid w:val="77020B80"/>
    <w:rsid w:val="77B06BD4"/>
    <w:rsid w:val="77C73328"/>
    <w:rsid w:val="77EF0D45"/>
    <w:rsid w:val="78852499"/>
    <w:rsid w:val="78B70358"/>
    <w:rsid w:val="78FC6E63"/>
    <w:rsid w:val="790E35B4"/>
    <w:rsid w:val="79AA10B5"/>
    <w:rsid w:val="79CE17FD"/>
    <w:rsid w:val="7A095739"/>
    <w:rsid w:val="7A0F4D29"/>
    <w:rsid w:val="7A3830C7"/>
    <w:rsid w:val="7B0D0700"/>
    <w:rsid w:val="7B20413F"/>
    <w:rsid w:val="7B3E28C0"/>
    <w:rsid w:val="7CC16F75"/>
    <w:rsid w:val="7D6549C7"/>
    <w:rsid w:val="7D9F561F"/>
    <w:rsid w:val="7E4F5771"/>
    <w:rsid w:val="7F87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3714"/>
  <w15:docId w15:val="{72643D56-B66A-4A68-AACB-F207F4C8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0"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iPriority="0" w:qFormat="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华文宋体" w:hAnsi="Times New Roman" w:cs="Times New Roman"/>
      <w:sz w:val="24"/>
      <w:szCs w:val="24"/>
    </w:rPr>
  </w:style>
  <w:style w:type="paragraph" w:styleId="1">
    <w:name w:val="heading 1"/>
    <w:basedOn w:val="a"/>
    <w:next w:val="a"/>
    <w:link w:val="10"/>
    <w:qFormat/>
    <w:pPr>
      <w:keepNext/>
      <w:keepLines/>
      <w:spacing w:before="340" w:after="330" w:line="578" w:lineRule="auto"/>
      <w:outlineLvl w:val="0"/>
    </w:pPr>
    <w:rPr>
      <w:b/>
      <w:bCs/>
      <w:sz w:val="44"/>
      <w:szCs w:val="44"/>
    </w:rPr>
  </w:style>
  <w:style w:type="paragraph" w:styleId="20">
    <w:name w:val="heading 2"/>
    <w:basedOn w:val="a"/>
    <w:next w:val="a"/>
    <w:link w:val="21"/>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rPr>
  </w:style>
  <w:style w:type="paragraph" w:styleId="7">
    <w:name w:val="heading 7"/>
    <w:basedOn w:val="a"/>
    <w:next w:val="a"/>
    <w:link w:val="70"/>
    <w:qFormat/>
    <w:pPr>
      <w:keepNext/>
      <w:keepLines/>
      <w:spacing w:before="240" w:after="64" w:line="320" w:lineRule="auto"/>
      <w:outlineLvl w:val="6"/>
    </w:pPr>
    <w:rPr>
      <w:b/>
      <w:bCs/>
    </w:rPr>
  </w:style>
  <w:style w:type="paragraph" w:styleId="8">
    <w:name w:val="heading 8"/>
    <w:basedOn w:val="a"/>
    <w:next w:val="a"/>
    <w:link w:val="80"/>
    <w:qFormat/>
    <w:pPr>
      <w:keepNext/>
      <w:keepLines/>
      <w:spacing w:before="240" w:after="64" w:line="320" w:lineRule="auto"/>
      <w:outlineLvl w:val="7"/>
    </w:pPr>
    <w:rPr>
      <w:rFonts w:ascii="Arial" w:eastAsia="黑体" w:hAnsi="Arial"/>
    </w:rPr>
  </w:style>
  <w:style w:type="paragraph" w:styleId="9">
    <w:name w:val="heading 9"/>
    <w:basedOn w:val="a"/>
    <w:next w:val="a"/>
    <w:link w:val="90"/>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pPr>
      <w:spacing w:after="120" w:line="240" w:lineRule="auto"/>
      <w:ind w:leftChars="200" w:left="420" w:firstLineChars="200"/>
    </w:pPr>
    <w:rPr>
      <w:rFonts w:eastAsia="宋体"/>
      <w:color w:val="auto"/>
      <w:sz w:val="21"/>
    </w:rPr>
  </w:style>
  <w:style w:type="paragraph" w:styleId="a3">
    <w:name w:val="Body Text Indent"/>
    <w:basedOn w:val="a"/>
    <w:qFormat/>
    <w:pPr>
      <w:spacing w:line="360" w:lineRule="auto"/>
      <w:ind w:firstLine="420"/>
    </w:pPr>
    <w:rPr>
      <w:color w:val="000000"/>
      <w:szCs w:val="21"/>
    </w:rPr>
  </w:style>
  <w:style w:type="paragraph" w:styleId="TOC7">
    <w:name w:val="toc 7"/>
    <w:basedOn w:val="a"/>
    <w:next w:val="a"/>
    <w:uiPriority w:val="39"/>
    <w:unhideWhenUsed/>
    <w:qFormat/>
    <w:pPr>
      <w:spacing w:after="57"/>
      <w:ind w:left="1701"/>
    </w:pPr>
  </w:style>
  <w:style w:type="paragraph" w:styleId="a4">
    <w:name w:val="Normal Indent"/>
    <w:basedOn w:val="a"/>
    <w:unhideWhenUsed/>
    <w:qFormat/>
    <w:pPr>
      <w:ind w:firstLine="420"/>
    </w:pPr>
    <w:rPr>
      <w:szCs w:val="20"/>
    </w:rPr>
  </w:style>
  <w:style w:type="paragraph" w:styleId="a5">
    <w:name w:val="Document Map"/>
    <w:basedOn w:val="a"/>
    <w:semiHidden/>
    <w:qFormat/>
    <w:pPr>
      <w:shd w:val="clear" w:color="auto" w:fill="000080"/>
    </w:pPr>
  </w:style>
  <w:style w:type="paragraph" w:styleId="a6">
    <w:name w:val="annotation text"/>
    <w:basedOn w:val="a"/>
    <w:link w:val="11"/>
    <w:uiPriority w:val="99"/>
    <w:qFormat/>
    <w:pPr>
      <w:jc w:val="left"/>
    </w:pPr>
  </w:style>
  <w:style w:type="paragraph" w:styleId="TOC5">
    <w:name w:val="toc 5"/>
    <w:basedOn w:val="a"/>
    <w:next w:val="a"/>
    <w:uiPriority w:val="39"/>
    <w:unhideWhenUsed/>
    <w:qFormat/>
    <w:pPr>
      <w:spacing w:after="57"/>
      <w:ind w:left="1134"/>
    </w:pPr>
  </w:style>
  <w:style w:type="paragraph" w:styleId="TOC3">
    <w:name w:val="toc 3"/>
    <w:basedOn w:val="a"/>
    <w:next w:val="a"/>
    <w:uiPriority w:val="39"/>
    <w:unhideWhenUsed/>
    <w:qFormat/>
    <w:pPr>
      <w:spacing w:after="57"/>
      <w:ind w:left="567"/>
    </w:pPr>
  </w:style>
  <w:style w:type="paragraph" w:styleId="TOC8">
    <w:name w:val="toc 8"/>
    <w:basedOn w:val="a"/>
    <w:next w:val="a"/>
    <w:uiPriority w:val="39"/>
    <w:unhideWhenUsed/>
    <w:qFormat/>
    <w:pPr>
      <w:spacing w:after="57"/>
      <w:ind w:left="1984"/>
    </w:pPr>
  </w:style>
  <w:style w:type="paragraph" w:styleId="a7">
    <w:name w:val="Date"/>
    <w:basedOn w:val="a"/>
    <w:next w:val="a"/>
    <w:qFormat/>
    <w:rPr>
      <w:sz w:val="28"/>
      <w:szCs w:val="20"/>
    </w:rPr>
  </w:style>
  <w:style w:type="paragraph" w:styleId="22">
    <w:name w:val="Body Text Indent 2"/>
    <w:basedOn w:val="a"/>
    <w:qFormat/>
    <w:pPr>
      <w:spacing w:after="120" w:line="480" w:lineRule="auto"/>
      <w:ind w:left="420"/>
    </w:p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jc w:val="left"/>
    </w:pPr>
    <w:rPr>
      <w:sz w:val="18"/>
      <w:szCs w:val="18"/>
    </w:rPr>
  </w:style>
  <w:style w:type="paragraph" w:styleId="ab">
    <w:name w:val="header"/>
    <w:basedOn w:val="a"/>
    <w:link w:val="ac"/>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qFormat/>
    <w:pPr>
      <w:tabs>
        <w:tab w:val="right" w:leader="dot" w:pos="8296"/>
      </w:tabs>
      <w:spacing w:line="300" w:lineRule="auto"/>
    </w:pPr>
  </w:style>
  <w:style w:type="paragraph" w:styleId="TOC4">
    <w:name w:val="toc 4"/>
    <w:basedOn w:val="a"/>
    <w:next w:val="a"/>
    <w:uiPriority w:val="39"/>
    <w:unhideWhenUsed/>
    <w:qFormat/>
    <w:pPr>
      <w:spacing w:after="57"/>
      <w:ind w:left="850"/>
    </w:pPr>
  </w:style>
  <w:style w:type="paragraph" w:styleId="ad">
    <w:name w:val="Subtitle"/>
    <w:basedOn w:val="a"/>
    <w:next w:val="a"/>
    <w:link w:val="ae"/>
    <w:uiPriority w:val="11"/>
    <w:qFormat/>
    <w:pPr>
      <w:spacing w:before="200" w:after="200"/>
    </w:pPr>
  </w:style>
  <w:style w:type="paragraph" w:styleId="af">
    <w:name w:val="footnote text"/>
    <w:basedOn w:val="a"/>
    <w:link w:val="af0"/>
    <w:semiHidden/>
    <w:qFormat/>
    <w:pPr>
      <w:jc w:val="left"/>
    </w:pPr>
    <w:rPr>
      <w:sz w:val="18"/>
      <w:szCs w:val="18"/>
    </w:rPr>
  </w:style>
  <w:style w:type="paragraph" w:styleId="TOC6">
    <w:name w:val="toc 6"/>
    <w:basedOn w:val="a"/>
    <w:next w:val="a"/>
    <w:uiPriority w:val="39"/>
    <w:unhideWhenUsed/>
    <w:qFormat/>
    <w:pPr>
      <w:spacing w:after="57"/>
      <w:ind w:left="1417"/>
    </w:pPr>
  </w:style>
  <w:style w:type="paragraph" w:styleId="TOC2">
    <w:name w:val="toc 2"/>
    <w:basedOn w:val="a"/>
    <w:next w:val="a"/>
    <w:semiHidden/>
    <w:qFormat/>
    <w:pPr>
      <w:ind w:left="420"/>
    </w:pPr>
  </w:style>
  <w:style w:type="paragraph" w:styleId="TOC9">
    <w:name w:val="toc 9"/>
    <w:basedOn w:val="a"/>
    <w:next w:val="a"/>
    <w:uiPriority w:val="39"/>
    <w:unhideWhenUsed/>
    <w:qFormat/>
    <w:pPr>
      <w:spacing w:after="57"/>
      <w:ind w:left="2268"/>
    </w:p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rPr>
  </w:style>
  <w:style w:type="paragraph" w:styleId="af2">
    <w:name w:val="Title"/>
    <w:basedOn w:val="a"/>
    <w:next w:val="a"/>
    <w:link w:val="af3"/>
    <w:uiPriority w:val="10"/>
    <w:qFormat/>
    <w:pPr>
      <w:spacing w:before="300" w:after="200"/>
      <w:contextualSpacing/>
    </w:pPr>
    <w:rPr>
      <w:sz w:val="48"/>
      <w:szCs w:val="48"/>
    </w:rPr>
  </w:style>
  <w:style w:type="paragraph" w:styleId="af4">
    <w:name w:val="annotation subject"/>
    <w:basedOn w:val="a6"/>
    <w:next w:val="a6"/>
    <w:semiHidden/>
    <w:qFormat/>
    <w:rPr>
      <w:b/>
      <w:bCs/>
    </w:rPr>
  </w:style>
  <w:style w:type="table" w:styleId="af5">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styleId="af6">
    <w:name w:val="page number"/>
    <w:basedOn w:val="a0"/>
    <w:qFormat/>
  </w:style>
  <w:style w:type="character" w:styleId="af7">
    <w:name w:val="FollowedHyperlink"/>
    <w:qFormat/>
    <w:rPr>
      <w:color w:val="800080"/>
      <w:u w:val="single"/>
    </w:rPr>
  </w:style>
  <w:style w:type="character" w:styleId="af8">
    <w:name w:val="Hyperlink"/>
    <w:uiPriority w:val="99"/>
    <w:qFormat/>
    <w:rPr>
      <w:color w:val="0000FF"/>
      <w:u w:val="single"/>
    </w:rPr>
  </w:style>
  <w:style w:type="character" w:styleId="af9">
    <w:name w:val="annotation reference"/>
    <w:qFormat/>
    <w:rPr>
      <w:sz w:val="21"/>
      <w:szCs w:val="21"/>
    </w:rPr>
  </w:style>
  <w:style w:type="character" w:styleId="afa">
    <w:name w:val="footnote reference"/>
    <w:uiPriority w:val="99"/>
    <w:qFormat/>
    <w:rPr>
      <w:vertAlign w:val="superscript"/>
    </w:rPr>
  </w:style>
  <w:style w:type="character" w:customStyle="1" w:styleId="10">
    <w:name w:val="标题 1 字符"/>
    <w:basedOn w:val="a0"/>
    <w:link w:val="1"/>
    <w:uiPriority w:val="9"/>
    <w:qFormat/>
    <w:rPr>
      <w:rFonts w:ascii="Arial" w:eastAsia="Arial" w:hAnsi="Arial" w:cs="Arial"/>
      <w:sz w:val="40"/>
      <w:szCs w:val="40"/>
    </w:rPr>
  </w:style>
  <w:style w:type="character" w:customStyle="1" w:styleId="21">
    <w:name w:val="标题 2 字符"/>
    <w:basedOn w:val="a0"/>
    <w:link w:val="20"/>
    <w:uiPriority w:val="9"/>
    <w:qFormat/>
    <w:rPr>
      <w:rFonts w:ascii="Arial" w:eastAsia="Arial" w:hAnsi="Arial" w:cs="Arial"/>
      <w:sz w:val="34"/>
    </w:rPr>
  </w:style>
  <w:style w:type="character" w:customStyle="1" w:styleId="Heading3Char">
    <w:name w:val="Heading 3 Char"/>
    <w:basedOn w:val="a0"/>
    <w:uiPriority w:val="9"/>
    <w:qFormat/>
    <w:rPr>
      <w:rFonts w:ascii="Arial" w:eastAsia="Arial" w:hAnsi="Arial" w:cs="Arial"/>
      <w:sz w:val="30"/>
      <w:szCs w:val="30"/>
    </w:rPr>
  </w:style>
  <w:style w:type="character" w:customStyle="1" w:styleId="40">
    <w:name w:val="标题 4 字符"/>
    <w:basedOn w:val="a0"/>
    <w:link w:val="4"/>
    <w:uiPriority w:val="9"/>
    <w:qFormat/>
    <w:rPr>
      <w:rFonts w:ascii="Arial" w:eastAsia="Arial" w:hAnsi="Arial" w:cs="Arial"/>
      <w:b/>
      <w:bCs/>
      <w:sz w:val="26"/>
      <w:szCs w:val="26"/>
    </w:rPr>
  </w:style>
  <w:style w:type="character" w:customStyle="1" w:styleId="50">
    <w:name w:val="标题 5 字符"/>
    <w:basedOn w:val="a0"/>
    <w:link w:val="5"/>
    <w:uiPriority w:val="9"/>
    <w:qFormat/>
    <w:rPr>
      <w:rFonts w:ascii="Arial" w:eastAsia="Arial" w:hAnsi="Arial" w:cs="Arial"/>
      <w:b/>
      <w:bCs/>
      <w:sz w:val="24"/>
      <w:szCs w:val="24"/>
    </w:rPr>
  </w:style>
  <w:style w:type="character" w:customStyle="1" w:styleId="60">
    <w:name w:val="标题 6 字符"/>
    <w:basedOn w:val="a0"/>
    <w:link w:val="6"/>
    <w:uiPriority w:val="9"/>
    <w:qFormat/>
    <w:rPr>
      <w:rFonts w:ascii="Arial" w:eastAsia="Arial" w:hAnsi="Arial" w:cs="Arial"/>
      <w:b/>
      <w:bCs/>
      <w:sz w:val="22"/>
      <w:szCs w:val="22"/>
    </w:rPr>
  </w:style>
  <w:style w:type="character" w:customStyle="1" w:styleId="70">
    <w:name w:val="标题 7 字符"/>
    <w:basedOn w:val="a0"/>
    <w:link w:val="7"/>
    <w:uiPriority w:val="9"/>
    <w:qFormat/>
    <w:rPr>
      <w:rFonts w:ascii="Arial" w:eastAsia="Arial" w:hAnsi="Arial" w:cs="Arial"/>
      <w:b/>
      <w:bCs/>
      <w:i/>
      <w:iCs/>
      <w:sz w:val="22"/>
      <w:szCs w:val="22"/>
    </w:rPr>
  </w:style>
  <w:style w:type="character" w:customStyle="1" w:styleId="80">
    <w:name w:val="标题 8 字符"/>
    <w:basedOn w:val="a0"/>
    <w:link w:val="8"/>
    <w:uiPriority w:val="9"/>
    <w:qFormat/>
    <w:rPr>
      <w:rFonts w:ascii="Arial" w:eastAsia="Arial" w:hAnsi="Arial" w:cs="Arial"/>
      <w:i/>
      <w:iCs/>
      <w:sz w:val="22"/>
      <w:szCs w:val="22"/>
    </w:rPr>
  </w:style>
  <w:style w:type="character" w:customStyle="1" w:styleId="90">
    <w:name w:val="标题 9 字符"/>
    <w:basedOn w:val="a0"/>
    <w:link w:val="9"/>
    <w:uiPriority w:val="9"/>
    <w:qFormat/>
    <w:rPr>
      <w:rFonts w:ascii="Arial" w:eastAsia="Arial" w:hAnsi="Arial" w:cs="Arial"/>
      <w:i/>
      <w:iCs/>
      <w:sz w:val="21"/>
      <w:szCs w:val="21"/>
    </w:rPr>
  </w:style>
  <w:style w:type="paragraph" w:customStyle="1" w:styleId="12">
    <w:name w:val="无间隔1"/>
    <w:uiPriority w:val="1"/>
    <w:qFormat/>
    <w:pPr>
      <w:pBdr>
        <w:top w:val="none" w:sz="0" w:space="0" w:color="000000"/>
        <w:left w:val="none" w:sz="0" w:space="0" w:color="000000"/>
        <w:bottom w:val="none" w:sz="0" w:space="0" w:color="000000"/>
        <w:right w:val="none" w:sz="0" w:space="0" w:color="000000"/>
        <w:between w:val="none" w:sz="0" w:space="0" w:color="000000"/>
      </w:pBdr>
    </w:pPr>
    <w:rPr>
      <w:szCs w:val="22"/>
      <w:lang w:eastAsia="en-US" w:bidi="en-US"/>
    </w:rPr>
  </w:style>
  <w:style w:type="character" w:customStyle="1" w:styleId="af3">
    <w:name w:val="标题 字符"/>
    <w:basedOn w:val="a0"/>
    <w:link w:val="af2"/>
    <w:uiPriority w:val="10"/>
    <w:qFormat/>
    <w:rPr>
      <w:sz w:val="48"/>
      <w:szCs w:val="48"/>
    </w:rPr>
  </w:style>
  <w:style w:type="character" w:customStyle="1" w:styleId="ae">
    <w:name w:val="副标题 字符"/>
    <w:basedOn w:val="a0"/>
    <w:link w:val="ad"/>
    <w:uiPriority w:val="11"/>
    <w:qFormat/>
    <w:rPr>
      <w:sz w:val="24"/>
      <w:szCs w:val="24"/>
    </w:rPr>
  </w:style>
  <w:style w:type="paragraph" w:customStyle="1" w:styleId="13">
    <w:name w:val="引用1"/>
    <w:basedOn w:val="a"/>
    <w:next w:val="a"/>
    <w:link w:val="afb"/>
    <w:uiPriority w:val="29"/>
    <w:qFormat/>
    <w:pPr>
      <w:ind w:left="720" w:right="720"/>
    </w:pPr>
    <w:rPr>
      <w:i/>
    </w:rPr>
  </w:style>
  <w:style w:type="character" w:customStyle="1" w:styleId="afb">
    <w:name w:val="引用 字符"/>
    <w:link w:val="13"/>
    <w:uiPriority w:val="29"/>
    <w:qFormat/>
    <w:rPr>
      <w:i/>
    </w:rPr>
  </w:style>
  <w:style w:type="paragraph" w:customStyle="1" w:styleId="14">
    <w:name w:val="明显引用1"/>
    <w:basedOn w:val="a"/>
    <w:next w:val="a"/>
    <w:link w:val="af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c">
    <w:name w:val="明显引用 字符"/>
    <w:link w:val="14"/>
    <w:uiPriority w:val="30"/>
    <w:qFormat/>
    <w:rPr>
      <w:i/>
    </w:rPr>
  </w:style>
  <w:style w:type="character" w:customStyle="1" w:styleId="ac">
    <w:name w:val="页眉 字符"/>
    <w:basedOn w:val="a0"/>
    <w:link w:val="ab"/>
    <w:uiPriority w:val="99"/>
    <w:qFormat/>
  </w:style>
  <w:style w:type="character" w:customStyle="1" w:styleId="FooterChar">
    <w:name w:val="Footer Char"/>
    <w:basedOn w:val="a0"/>
    <w:uiPriority w:val="99"/>
    <w:qFormat/>
  </w:style>
  <w:style w:type="table" w:customStyle="1" w:styleId="TableGridLight">
    <w:name w:val="Table Grid Light"/>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pPr>
        <w:snapToGrid/>
      </w:pPr>
    </w:tblStylePr>
    <w:tblStylePr w:type="lastRow">
      <w:pPr>
        <w:snapToGrid/>
      </w:pPr>
    </w:tblStylePr>
    <w:tblStylePr w:type="firstCol">
      <w:pPr>
        <w:snapToGrid/>
      </w:pPr>
    </w:tblStylePr>
    <w:tblStylePr w:type="lastCol">
      <w:pPr>
        <w:snapToGrid/>
      </w:pPr>
    </w:tblStylePr>
    <w:tblStylePr w:type="band1Vert">
      <w:pPr>
        <w:snapToGrid/>
      </w:pPr>
    </w:tblStylePr>
    <w:tblStylePr w:type="band2Vert">
      <w:pPr>
        <w:snapToGrid/>
      </w:pPr>
    </w:tblStylePr>
    <w:tblStylePr w:type="band1Horz">
      <w:pPr>
        <w:snapToGrid/>
      </w:p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0">
    <w:name w:val="无格式表格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pPr>
        <w:snapToGrid/>
      </w:pPr>
      <w:rPr>
        <w:rFonts w:ascii="Arial" w:hAnsi="Arial"/>
        <w:b/>
        <w:color w:val="404040"/>
        <w:sz w:val="22"/>
      </w:r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blPr/>
      <w:tcPr>
        <w:shd w:val="clear" w:color="auto" w:fill="F2F2F2" w:themeFill="text1" w:themeFillTint="0D"/>
      </w:tcPr>
    </w:tblStylePr>
    <w:tblStylePr w:type="band2Vert">
      <w:pPr>
        <w:snapToGrid/>
      </w:pPr>
    </w:tblStylePr>
    <w:tblStylePr w:type="band1Horz">
      <w:pPr>
        <w:snapToGrid/>
      </w:p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0">
    <w:name w:val="无格式表格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pPr>
        <w:snapToGrid/>
      </w:pPr>
      <w:rPr>
        <w:rFonts w:ascii="Arial" w:hAnsi="Arial"/>
        <w:b/>
        <w:color w:val="404040"/>
        <w:sz w:val="22"/>
      </w:rPr>
      <w:tblPr/>
      <w:tcPr>
        <w:tcBorders>
          <w:top w:val="single" w:sz="4" w:space="0" w:color="000000" w:themeColor="text1"/>
          <w:bottom w:val="single" w:sz="4" w:space="0" w:color="000000" w:themeColor="text1"/>
        </w:tcBorders>
      </w:tcPr>
    </w:tblStylePr>
    <w:tblStylePr w:type="lastRow">
      <w:pPr>
        <w:snapToGrid/>
      </w:pPr>
      <w:rPr>
        <w:rFonts w:ascii="Arial" w:hAnsi="Arial"/>
        <w:b/>
        <w:color w:val="404040"/>
        <w:sz w:val="22"/>
      </w:r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tblPr/>
      <w:tcPr>
        <w:tcBorders>
          <w:left w:val="single" w:sz="4" w:space="0" w:color="000000" w:themeColor="text1"/>
          <w:right w:val="single" w:sz="4" w:space="0" w:color="000000" w:themeColor="text1"/>
        </w:tcBorders>
      </w:tcPr>
    </w:tblStylePr>
    <w:tblStylePr w:type="band2Vert">
      <w:pPr>
        <w:snapToGrid/>
      </w:pPr>
      <w:tblPr/>
      <w:tcPr>
        <w:tcBorders>
          <w:left w:val="single" w:sz="4" w:space="0" w:color="000000" w:themeColor="text1"/>
          <w:right w:val="single" w:sz="4" w:space="0" w:color="000000" w:themeColor="text1"/>
        </w:tcBorders>
      </w:tcPr>
    </w:tblStylePr>
    <w:tblStylePr w:type="band1Horz">
      <w:pPr>
        <w:snapToGrid/>
      </w:pPr>
      <w:tblPr/>
      <w:tcPr>
        <w:tcBorders>
          <w:top w:val="single" w:sz="4" w:space="0" w:color="000000" w:themeColor="text1"/>
          <w:bottom w:val="single" w:sz="4" w:space="0" w:color="000000" w:themeColor="tex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
    <w:name w:val="无格式表格 31"/>
    <w:basedOn w:val="a1"/>
    <w:uiPriority w:val="99"/>
    <w:qFormat/>
    <w:tblPr/>
    <w:tblStylePr w:type="firstRow">
      <w:pPr>
        <w:snapToGrid/>
      </w:pPr>
      <w:rPr>
        <w:b/>
        <w:caps/>
        <w:color w:val="404040"/>
      </w:rPr>
      <w:tblPr/>
      <w:tcPr>
        <w:tcBorders>
          <w:top w:val="nil"/>
          <w:left w:val="nil"/>
          <w:bottom w:val="single" w:sz="4" w:space="0" w:color="404040"/>
          <w:right w:val="nil"/>
        </w:tcBorders>
      </w:tcPr>
    </w:tblStylePr>
    <w:tblStylePr w:type="lastRow">
      <w:pPr>
        <w:snapToGrid/>
      </w:pPr>
      <w:rPr>
        <w:b/>
        <w:caps/>
        <w:color w:val="404040"/>
      </w:rPr>
    </w:tblStylePr>
    <w:tblStylePr w:type="firstCol">
      <w:pPr>
        <w:snapToGrid/>
      </w:pPr>
      <w:rPr>
        <w:b/>
        <w:caps/>
        <w:color w:val="404040"/>
      </w:rPr>
      <w:tblPr/>
      <w:tcPr>
        <w:tcBorders>
          <w:top w:val="nil"/>
          <w:left w:val="nil"/>
          <w:bottom w:val="nil"/>
          <w:right w:val="single" w:sz="4" w:space="0" w:color="404040"/>
        </w:tcBorders>
      </w:tcPr>
    </w:tblStylePr>
    <w:tblStylePr w:type="lastCol">
      <w:pPr>
        <w:snapToGrid/>
      </w:pPr>
      <w:rPr>
        <w:b/>
        <w:caps/>
        <w:color w:val="404040"/>
      </w:r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
    <w:name w:val="无格式表格 41"/>
    <w:basedOn w:val="a1"/>
    <w:uiPriority w:val="99"/>
    <w:qFormat/>
    <w:tblPr/>
    <w:tblStylePr w:type="firstRow">
      <w:pPr>
        <w:snapToGrid/>
      </w:pPr>
      <w:rPr>
        <w:b/>
        <w:color w:val="404040"/>
      </w:r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
    <w:name w:val="无格式表格 51"/>
    <w:basedOn w:val="a1"/>
    <w:uiPriority w:val="99"/>
    <w:qFormat/>
    <w:tblPr/>
    <w:tblStylePr w:type="firstRow">
      <w:pPr>
        <w:snapToGrid/>
      </w:pPr>
      <w:rPr>
        <w:i/>
        <w:color w:val="404040"/>
      </w:rPr>
      <w:tblPr/>
      <w:tcPr>
        <w:tcBorders>
          <w:left w:val="nil"/>
          <w:bottom w:val="single" w:sz="4" w:space="0" w:color="404040"/>
          <w:right w:val="nil"/>
        </w:tcBorders>
        <w:shd w:val="clear" w:color="auto" w:fill="FFFFFF"/>
      </w:tcPr>
    </w:tblStylePr>
    <w:tblStylePr w:type="lastRow">
      <w:pPr>
        <w:snapToGrid/>
      </w:pPr>
      <w:rPr>
        <w:i/>
        <w:color w:val="404040"/>
      </w:rPr>
      <w:tblPr/>
      <w:tcPr>
        <w:tcBorders>
          <w:top w:val="single" w:sz="4" w:space="0" w:color="404040"/>
          <w:left w:val="nil"/>
          <w:right w:val="nil"/>
        </w:tcBorders>
        <w:shd w:val="clear" w:color="auto" w:fill="FFFFFF"/>
      </w:tcPr>
    </w:tblStylePr>
    <w:tblStylePr w:type="firstCol">
      <w:pPr>
        <w:snapToGrid/>
        <w:jc w:val="right"/>
      </w:pPr>
      <w:rPr>
        <w:i/>
        <w:color w:val="404040"/>
      </w:rPr>
      <w:tblPr/>
      <w:tcPr>
        <w:tcBorders>
          <w:right w:val="single" w:sz="4" w:space="0" w:color="404040"/>
        </w:tcBorders>
        <w:shd w:val="clear" w:color="auto" w:fill="FFFFFF"/>
      </w:tcPr>
    </w:tblStylePr>
    <w:tblStylePr w:type="lastCol">
      <w:pPr>
        <w:snapToGrid/>
      </w:pPr>
      <w:rPr>
        <w:i/>
        <w:color w:val="404040"/>
      </w:rPr>
      <w:tblPr/>
      <w:tcPr>
        <w:tcBorders>
          <w:left w:val="single" w:sz="4" w:space="0" w:color="404040"/>
        </w:tcBorders>
        <w:shd w:val="clear" w:color="auto" w:fill="FFFFFF"/>
      </w:tcPr>
    </w:tblStylePr>
    <w:tblStylePr w:type="band1Vert">
      <w:pPr>
        <w:snapToGrid/>
      </w:pPr>
      <w:rPr>
        <w:rFonts w:ascii="Arial" w:hAnsi="Arial"/>
        <w:color w:val="404040"/>
        <w:sz w:val="22"/>
      </w:rPr>
      <w:tblPr/>
      <w:tcPr>
        <w:shd w:val="clear" w:color="auto" w:fill="F2F2F2" w:themeFill="text1" w:themeFillTint="0D"/>
      </w:tcPr>
    </w:tblStylePr>
    <w:tblStylePr w:type="band2Vert">
      <w:pPr>
        <w:snapToGrid/>
      </w:pPr>
    </w:tblStylePr>
    <w:tblStylePr w:type="band1Horz">
      <w:pPr>
        <w:snapToGrid/>
      </w:pPr>
      <w:rPr>
        <w:rFonts w:ascii="Arial" w:hAnsi="Arial"/>
        <w:color w:val="404040"/>
        <w:sz w:val="22"/>
      </w:rPr>
      <w:tblPr/>
      <w:tcPr>
        <w:shd w:val="clear" w:color="auto" w:fill="F2F2F2" w:themeFill="text1" w:themeFillTint="0D"/>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1">
    <w:name w:val="网格表 1 浅色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pPr>
        <w:snapToGrid/>
      </w:pPr>
      <w:rPr>
        <w:b/>
        <w:color w:val="404040"/>
      </w:rPr>
      <w:tblPr/>
      <w:tcPr>
        <w:tcBorders>
          <w:bottom w:val="single" w:sz="12" w:space="0" w:color="6A6A6A" w:themeColor="text1"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1">
    <w:name w:val="Grid Table 1 Light - Accent 1"/>
    <w:basedOn w:val="a1"/>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pPr>
        <w:snapToGrid/>
      </w:pPr>
      <w:rPr>
        <w:b/>
        <w:color w:val="404040"/>
      </w:rPr>
      <w:tblPr/>
      <w:tcPr>
        <w:tcBorders>
          <w:bottom w:val="single" w:sz="12" w:space="0" w:color="97B4D8" w:themeColor="accent1"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2">
    <w:name w:val="Grid Table 1 Light - Accent 2"/>
    <w:basedOn w:val="a1"/>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pPr>
        <w:snapToGrid/>
      </w:pPr>
      <w:rPr>
        <w:b/>
        <w:color w:val="404040"/>
      </w:rPr>
      <w:tblPr/>
      <w:tcPr>
        <w:tcBorders>
          <w:bottom w:val="single" w:sz="12" w:space="0" w:color="DA9896" w:themeColor="accent2"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3">
    <w:name w:val="Grid Table 1 Light - Accent 3"/>
    <w:basedOn w:val="a1"/>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pPr>
        <w:snapToGrid/>
      </w:pPr>
      <w:rPr>
        <w:b/>
        <w:color w:val="404040"/>
      </w:rPr>
      <w:tblPr/>
      <w:tcPr>
        <w:tcBorders>
          <w:bottom w:val="single" w:sz="12" w:space="0" w:color="C4D79D" w:themeColor="accent3"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4">
    <w:name w:val="Grid Table 1 Light - Accent 4"/>
    <w:basedOn w:val="a1"/>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pPr>
        <w:snapToGrid/>
      </w:pPr>
      <w:rPr>
        <w:b/>
        <w:color w:val="404040"/>
      </w:rPr>
      <w:tblPr/>
      <w:tcPr>
        <w:tcBorders>
          <w:bottom w:val="single" w:sz="12" w:space="0" w:color="B4A4C8" w:themeColor="accent4"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5">
    <w:name w:val="Grid Table 1 Light - Accent 5"/>
    <w:basedOn w:val="a1"/>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pPr>
        <w:snapToGrid/>
      </w:pPr>
      <w:rPr>
        <w:b/>
        <w:color w:val="404040"/>
      </w:rPr>
      <w:tblPr/>
      <w:tcPr>
        <w:tcBorders>
          <w:bottom w:val="single" w:sz="12" w:space="0" w:color="95CEDD" w:themeColor="accent5"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1Light-Accent6">
    <w:name w:val="Grid Table 1 Light - Accent 6"/>
    <w:basedOn w:val="a1"/>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pPr>
        <w:snapToGrid/>
      </w:pPr>
      <w:rPr>
        <w:b/>
        <w:color w:val="404040"/>
      </w:rPr>
      <w:tblPr/>
      <w:tcPr>
        <w:tcBorders>
          <w:bottom w:val="single" w:sz="12" w:space="0" w:color="FAC192" w:themeColor="accent6" w:themeTint="95"/>
        </w:tcBorders>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1">
    <w:name w:val="网格表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pPr>
        <w:snapToGrid/>
      </w:pPr>
      <w:rPr>
        <w:b/>
        <w:color w:val="404040"/>
      </w:rPr>
      <w:tblPr/>
      <w:tcPr>
        <w:tcBorders>
          <w:top w:val="nil"/>
          <w:left w:val="nil"/>
          <w:bottom w:val="single" w:sz="12" w:space="0" w:color="6A6A6A" w:themeColor="text1" w:themeTint="95"/>
          <w:right w:val="nil"/>
        </w:tcBorders>
        <w:shd w:val="clear" w:color="auto" w:fill="FFFFFF"/>
      </w:tcPr>
    </w:tblStylePr>
    <w:tblStylePr w:type="lastRow">
      <w:pPr>
        <w:snapToGrid/>
      </w:pPr>
      <w:rPr>
        <w:b/>
        <w:color w:val="404040"/>
      </w:rPr>
      <w:tblPr/>
      <w:tcPr>
        <w:tcBorders>
          <w:top w:val="single" w:sz="4" w:space="0" w:color="6A6A6A" w:themeColor="text1" w:themeTint="95"/>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1">
    <w:name w:val="Grid Table 2 - Accent 1"/>
    <w:basedOn w:val="a1"/>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pPr>
        <w:snapToGrid/>
      </w:pPr>
      <w:rPr>
        <w:b/>
        <w:color w:val="404040"/>
      </w:rPr>
      <w:tblPr/>
      <w:tcPr>
        <w:tcBorders>
          <w:top w:val="nil"/>
          <w:left w:val="nil"/>
          <w:bottom w:val="single" w:sz="12" w:space="0" w:color="5D8AC2" w:themeColor="accent1" w:themeTint="EA"/>
          <w:right w:val="nil"/>
        </w:tcBorders>
        <w:shd w:val="clear" w:color="auto" w:fill="FFFFFF"/>
      </w:tcPr>
    </w:tblStylePr>
    <w:tblStylePr w:type="lastRow">
      <w:pPr>
        <w:snapToGrid/>
      </w:pPr>
      <w:rPr>
        <w:b/>
        <w:color w:val="404040"/>
      </w:rPr>
      <w:tblPr/>
      <w:tcPr>
        <w:tcBorders>
          <w:top w:val="single" w:sz="4" w:space="0" w:color="5D8AC2" w:themeColor="accent1" w:themeTint="EA"/>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5F1" w:themeFill="accent1" w:themeFillTint="34"/>
      </w:tcPr>
    </w:tblStylePr>
    <w:tblStylePr w:type="band2Vert">
      <w:pPr>
        <w:snapToGrid/>
      </w:pPr>
    </w:tblStylePr>
    <w:tblStylePr w:type="band1Horz">
      <w:pPr>
        <w:snapToGrid/>
      </w:pPr>
      <w:rPr>
        <w:rFonts w:ascii="Arial" w:hAnsi="Arial"/>
        <w:color w:val="404040"/>
        <w:sz w:val="22"/>
      </w:rPr>
      <w:tblPr/>
      <w:tcPr>
        <w:shd w:val="clear" w:color="auto" w:fill="DA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2">
    <w:name w:val="Grid Table 2 - Accent 2"/>
    <w:basedOn w:val="a1"/>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404040"/>
      </w:rPr>
      <w:tblPr/>
      <w:tcPr>
        <w:tcBorders>
          <w:top w:val="nil"/>
          <w:left w:val="nil"/>
          <w:bottom w:val="single" w:sz="12" w:space="0" w:color="D99695" w:themeColor="accent2" w:themeTint="97"/>
          <w:right w:val="nil"/>
        </w:tcBorders>
        <w:shd w:val="clear" w:color="auto" w:fill="FFFFFF"/>
      </w:tcPr>
    </w:tblStylePr>
    <w:tblStylePr w:type="lastRow">
      <w:pPr>
        <w:snapToGrid/>
      </w:pPr>
      <w:rPr>
        <w:b/>
        <w:color w:val="404040"/>
      </w:rPr>
      <w:tblPr/>
      <w:tcPr>
        <w:tcBorders>
          <w:top w:val="single" w:sz="4" w:space="0" w:color="D99695" w:themeColor="accent2" w:themeTint="97"/>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3">
    <w:name w:val="Grid Table 2 - Accent 3"/>
    <w:basedOn w:val="a1"/>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404040"/>
      </w:rPr>
      <w:tblPr/>
      <w:tcPr>
        <w:tcBorders>
          <w:top w:val="nil"/>
          <w:left w:val="nil"/>
          <w:bottom w:val="single" w:sz="12" w:space="0" w:color="9ABB59" w:themeColor="accent3" w:themeTint="FE"/>
          <w:right w:val="nil"/>
        </w:tcBorders>
        <w:shd w:val="clear" w:color="auto" w:fill="FFFFFF"/>
      </w:tcPr>
    </w:tblStylePr>
    <w:tblStylePr w:type="lastRow">
      <w:pPr>
        <w:snapToGrid/>
      </w:pPr>
      <w:rPr>
        <w:b/>
        <w:color w:val="404040"/>
      </w:rPr>
      <w:tblPr/>
      <w:tcPr>
        <w:tcBorders>
          <w:top w:val="single" w:sz="4" w:space="0" w:color="9ABB59" w:themeColor="accent3" w:themeTint="FE"/>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4">
    <w:name w:val="Grid Table 2 - Accent 4"/>
    <w:basedOn w:val="a1"/>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404040"/>
      </w:rPr>
      <w:tblPr/>
      <w:tcPr>
        <w:tcBorders>
          <w:top w:val="nil"/>
          <w:left w:val="nil"/>
          <w:bottom w:val="single" w:sz="12" w:space="0" w:color="B2A1C6" w:themeColor="accent4" w:themeTint="9A"/>
          <w:right w:val="nil"/>
        </w:tcBorders>
        <w:shd w:val="clear" w:color="auto" w:fill="FFFFFF"/>
      </w:tcPr>
    </w:tblStylePr>
    <w:tblStylePr w:type="lastRow">
      <w:pPr>
        <w:snapToGrid/>
      </w:pPr>
      <w:rPr>
        <w:b/>
        <w:color w:val="404040"/>
      </w:rPr>
      <w:tblPr/>
      <w:tcPr>
        <w:tcBorders>
          <w:top w:val="single" w:sz="4" w:space="0" w:color="B2A1C6" w:themeColor="accent4" w:themeTint="9A"/>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5">
    <w:name w:val="Grid Table 2 - Accent 5"/>
    <w:basedOn w:val="a1"/>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pPr>
        <w:snapToGrid/>
      </w:pPr>
      <w:rPr>
        <w:b/>
        <w:color w:val="404040"/>
      </w:rPr>
      <w:tblPr/>
      <w:tcPr>
        <w:tcBorders>
          <w:top w:val="nil"/>
          <w:left w:val="nil"/>
          <w:bottom w:val="single" w:sz="12" w:space="0" w:color="4BACC6" w:themeColor="accent5"/>
          <w:right w:val="nil"/>
        </w:tcBorders>
        <w:shd w:val="clear" w:color="auto" w:fill="FFFFFF"/>
      </w:tcPr>
    </w:tblStylePr>
    <w:tblStylePr w:type="lastRow">
      <w:pPr>
        <w:snapToGrid/>
      </w:pPr>
      <w:rPr>
        <w:b/>
        <w:color w:val="404040"/>
      </w:rPr>
      <w:tblPr/>
      <w:tcPr>
        <w:tcBorders>
          <w:top w:val="single" w:sz="4" w:space="0" w:color="4BACC6" w:themeColor="accent5"/>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2-Accent6">
    <w:name w:val="Grid Table 2 - Accent 6"/>
    <w:basedOn w:val="a1"/>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pPr>
        <w:snapToGrid/>
      </w:pPr>
      <w:rPr>
        <w:b/>
        <w:color w:val="404040"/>
      </w:rPr>
      <w:tblPr/>
      <w:tcPr>
        <w:tcBorders>
          <w:top w:val="nil"/>
          <w:left w:val="nil"/>
          <w:bottom w:val="single" w:sz="12" w:space="0" w:color="F79646" w:themeColor="accent6"/>
          <w:right w:val="nil"/>
        </w:tcBorders>
        <w:shd w:val="clear" w:color="auto" w:fill="FFFFFF"/>
      </w:tcPr>
    </w:tblStylePr>
    <w:tblStylePr w:type="lastRow">
      <w:pPr>
        <w:snapToGrid/>
      </w:pPr>
      <w:rPr>
        <w:b/>
        <w:color w:val="404040"/>
      </w:rPr>
      <w:tblPr/>
      <w:tcPr>
        <w:tcBorders>
          <w:top w:val="single" w:sz="4" w:space="0" w:color="F79646" w:themeColor="accent6"/>
          <w:left w:val="nil"/>
          <w:bottom w:val="nil"/>
          <w:right w:val="nil"/>
        </w:tcBorders>
        <w:shd w:val="clear" w:color="auto" w:fill="FFFFFF"/>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0">
    <w:name w:val="网格表 3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1">
    <w:name w:val="Grid Table 3 - Accent 1"/>
    <w:basedOn w:val="a1"/>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DAE5F1" w:themeFill="accent1" w:themeFillTint="34"/>
      </w:tcPr>
    </w:tblStylePr>
    <w:tblStylePr w:type="band2Vert">
      <w:pPr>
        <w:snapToGrid/>
      </w:pPr>
    </w:tblStylePr>
    <w:tblStylePr w:type="band1Horz">
      <w:pPr>
        <w:snapToGrid/>
      </w:pPr>
      <w:rPr>
        <w:rFonts w:ascii="Arial" w:hAnsi="Arial"/>
        <w:color w:val="404040"/>
        <w:sz w:val="22"/>
      </w:rPr>
      <w:tblPr/>
      <w:tcPr>
        <w:shd w:val="clear" w:color="auto" w:fill="DAE5F1" w:themeFill="accen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2">
    <w:name w:val="Grid Table 3 - Accent 2"/>
    <w:basedOn w:val="a1"/>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3">
    <w:name w:val="Grid Table 3 - Accent 3"/>
    <w:basedOn w:val="a1"/>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4">
    <w:name w:val="Grid Table 3 - Accent 4"/>
    <w:basedOn w:val="a1"/>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5">
    <w:name w:val="Grid Table 3 - Accent 5"/>
    <w:basedOn w:val="a1"/>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3-Accent6">
    <w:name w:val="Grid Table 3 - Accent 6"/>
    <w:basedOn w:val="a1"/>
    <w:uiPriority w:val="99"/>
    <w:qFormat/>
    <w:tblPr>
      <w:tblBorders>
        <w:bottom w:val="single" w:sz="4" w:space="0" w:color="F79646" w:themeColor="accent6"/>
        <w:insideH w:val="single" w:sz="4" w:space="0" w:color="F79646" w:themeColor="accent6"/>
        <w:insideV w:val="single" w:sz="4" w:space="0" w:color="F79646" w:themeColor="accent6"/>
      </w:tblBorders>
    </w:tblPr>
    <w:tblStylePr w:type="firstRow">
      <w:pPr>
        <w:snapToGrid/>
      </w:pPr>
      <w:rPr>
        <w:b/>
        <w:color w:val="404040"/>
      </w:rPr>
      <w:tblPr/>
      <w:tcPr>
        <w:tcBorders>
          <w:top w:val="nil"/>
          <w:left w:val="nil"/>
          <w:bottom w:val="nil"/>
          <w:right w:val="nil"/>
        </w:tcBorders>
        <w:shd w:val="clear" w:color="auto" w:fill="FFFFFF"/>
      </w:tcPr>
    </w:tblStylePr>
    <w:tblStylePr w:type="lastRow">
      <w:pPr>
        <w:snapToGrid/>
      </w:pPr>
      <w:rPr>
        <w:b/>
        <w:color w:val="404040"/>
      </w:rPr>
      <w:tblPr/>
      <w:tcPr>
        <w:tcBorders>
          <w:top w:val="nil"/>
          <w:left w:val="nil"/>
          <w:bottom w:val="nil"/>
          <w:right w:val="nil"/>
        </w:tcBorders>
        <w:shd w:val="clear" w:color="auto" w:fill="FFFFFF"/>
      </w:tcPr>
    </w:tblStylePr>
    <w:tblStylePr w:type="firstCol">
      <w:pPr>
        <w:snapToGrid/>
        <w:jc w:val="right"/>
      </w:pPr>
      <w:rPr>
        <w:i/>
        <w:color w:val="404040"/>
      </w:rPr>
      <w:tblPr/>
      <w:tcPr>
        <w:tcBorders>
          <w:top w:val="nil"/>
          <w:left w:val="nil"/>
          <w:bottom w:val="nil"/>
          <w:right w:val="nil"/>
        </w:tcBorders>
        <w:shd w:val="clear" w:color="auto" w:fill="FFFFFF"/>
      </w:tcPr>
    </w:tblStylePr>
    <w:tblStylePr w:type="lastCol">
      <w:pPr>
        <w:snapToGrid/>
      </w:pPr>
      <w:rPr>
        <w:i/>
        <w:color w:val="404040"/>
      </w:rPr>
      <w:tblPr/>
      <w:tcPr>
        <w:tcBorders>
          <w:top w:val="nil"/>
          <w:left w:val="nil"/>
          <w:bottom w:val="nil"/>
          <w:right w:val="nil"/>
        </w:tcBorders>
        <w:shd w:val="clear" w:color="auto" w:fill="FFFFFF"/>
      </w:tc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0">
    <w:name w:val="网格表 41"/>
    <w:basedOn w:val="a1"/>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pPr>
        <w:snapToGrid/>
      </w:pPr>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pPr>
        <w:snapToGrid/>
      </w:pPr>
      <w:rPr>
        <w:b/>
        <w:color w:val="404040"/>
      </w:rPr>
      <w:tblPr/>
      <w:tcPr>
        <w:tcBorders>
          <w:top w:val="single" w:sz="4" w:space="0" w:color="000000" w:themeColor="text1"/>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CBCBCB" w:themeFill="text1" w:themeFillTint="34"/>
      </w:tcPr>
    </w:tblStylePr>
    <w:tblStylePr w:type="band2Vert">
      <w:pPr>
        <w:snapToGrid/>
      </w:pPr>
    </w:tblStylePr>
    <w:tblStylePr w:type="band1Horz">
      <w:pPr>
        <w:snapToGrid/>
      </w:pPr>
      <w:rPr>
        <w:rFonts w:ascii="Arial" w:hAnsi="Arial"/>
        <w:color w:val="404040"/>
        <w:sz w:val="22"/>
      </w:rPr>
      <w:tblPr/>
      <w:tcPr>
        <w:shd w:val="clear" w:color="auto" w:fill="CBCBCB" w:themeFill="text1"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1">
    <w:name w:val="Grid Table 4 - Accent 1"/>
    <w:basedOn w:val="a1"/>
    <w:uiPriority w:val="5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pPr>
        <w:snapToGrid/>
      </w:pPr>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pPr>
        <w:snapToGrid/>
      </w:pPr>
      <w:rPr>
        <w:b/>
        <w:color w:val="404040"/>
      </w:rPr>
      <w:tblPr/>
      <w:tcPr>
        <w:tcBorders>
          <w:top w:val="single" w:sz="4" w:space="0" w:color="5D8AC2" w:themeColor="accent1" w:themeTint="EA"/>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CE6F2" w:themeFill="accent1" w:themeFillTint="32"/>
      </w:tcPr>
    </w:tblStylePr>
    <w:tblStylePr w:type="band2Vert">
      <w:pPr>
        <w:snapToGrid/>
      </w:pPr>
    </w:tblStylePr>
    <w:tblStylePr w:type="band1Horz">
      <w:pPr>
        <w:snapToGrid/>
      </w:pPr>
      <w:rPr>
        <w:rFonts w:ascii="Arial" w:hAnsi="Arial"/>
        <w:color w:val="404040"/>
        <w:sz w:val="22"/>
      </w:rPr>
      <w:tblPr/>
      <w:tcPr>
        <w:shd w:val="clear" w:color="auto" w:fill="DCE6F2" w:themeFill="accent1"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2">
    <w:name w:val="Grid Table 4 - Accent 2"/>
    <w:basedOn w:val="a1"/>
    <w:uiPriority w:val="5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pPr>
        <w:snapToGrid/>
      </w:pPr>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pPr>
        <w:snapToGrid/>
      </w:pPr>
      <w:rPr>
        <w:b/>
        <w:color w:val="404040"/>
      </w:rPr>
      <w:tblPr/>
      <w:tcPr>
        <w:tcBorders>
          <w:top w:val="single" w:sz="4" w:space="0" w:color="D99695" w:themeColor="accent2" w:themeTint="97"/>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2DCDC" w:themeFill="accent2" w:themeFillTint="32"/>
      </w:tcPr>
    </w:tblStylePr>
    <w:tblStylePr w:type="band2Vert">
      <w:pPr>
        <w:snapToGrid/>
      </w:pPr>
    </w:tblStylePr>
    <w:tblStylePr w:type="band1Horz">
      <w:pPr>
        <w:snapToGrid/>
      </w:pPr>
      <w:rPr>
        <w:rFonts w:ascii="Arial" w:hAnsi="Arial"/>
        <w:color w:val="404040"/>
        <w:sz w:val="22"/>
      </w:rPr>
      <w:tblPr/>
      <w:tcPr>
        <w:shd w:val="clear" w:color="auto" w:fill="F2DCDC" w:themeFill="accent2" w:themeFillTint="32"/>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3">
    <w:name w:val="Grid Table 4 - Accent 3"/>
    <w:basedOn w:val="a1"/>
    <w:uiPriority w:val="5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pPr>
        <w:snapToGrid/>
      </w:pPr>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pPr>
        <w:snapToGrid/>
      </w:pPr>
      <w:rPr>
        <w:b/>
        <w:color w:val="404040"/>
      </w:rPr>
      <w:tblPr/>
      <w:tcPr>
        <w:tcBorders>
          <w:top w:val="single" w:sz="4" w:space="0" w:color="9ABB59" w:themeColor="accent3" w:themeTint="FE"/>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AF1DC" w:themeFill="accent3" w:themeFillTint="34"/>
      </w:tcPr>
    </w:tblStylePr>
    <w:tblStylePr w:type="band2Vert">
      <w:pPr>
        <w:snapToGrid/>
      </w:pPr>
    </w:tblStylePr>
    <w:tblStylePr w:type="band1Horz">
      <w:pPr>
        <w:snapToGrid/>
      </w:pPr>
      <w:rPr>
        <w:rFonts w:ascii="Arial" w:hAnsi="Arial"/>
        <w:color w:val="404040"/>
        <w:sz w:val="22"/>
      </w:rPr>
      <w:tblPr/>
      <w:tcPr>
        <w:shd w:val="clear" w:color="auto" w:fill="EAF1DC" w:themeFill="accent3"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4">
    <w:name w:val="Grid Table 4 - Accent 4"/>
    <w:basedOn w:val="a1"/>
    <w:uiPriority w:val="5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pPr>
        <w:snapToGrid/>
      </w:pPr>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pPr>
        <w:snapToGrid/>
      </w:pPr>
      <w:rPr>
        <w:b/>
        <w:color w:val="404040"/>
      </w:rPr>
      <w:tblPr/>
      <w:tcPr>
        <w:tcBorders>
          <w:top w:val="single" w:sz="4" w:space="0" w:color="B2A1C6" w:themeColor="accent4" w:themeTint="9A"/>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DFEC" w:themeFill="accent4" w:themeFillTint="34"/>
      </w:tcPr>
    </w:tblStylePr>
    <w:tblStylePr w:type="band2Vert">
      <w:pPr>
        <w:snapToGrid/>
      </w:pPr>
    </w:tblStylePr>
    <w:tblStylePr w:type="band1Horz">
      <w:pPr>
        <w:snapToGrid/>
      </w:pPr>
      <w:rPr>
        <w:rFonts w:ascii="Arial" w:hAnsi="Arial"/>
        <w:color w:val="404040"/>
        <w:sz w:val="22"/>
      </w:rPr>
      <w:tblPr/>
      <w:tcPr>
        <w:shd w:val="clear" w:color="auto" w:fill="E5DFEC" w:themeFill="accent4"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5">
    <w:name w:val="Grid Table 4 - Accent 5"/>
    <w:basedOn w:val="a1"/>
    <w:uiPriority w:val="5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pPr>
        <w:snapToGrid/>
      </w:pPr>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pPr>
        <w:snapToGrid/>
      </w:pPr>
      <w:rPr>
        <w:b/>
        <w:color w:val="404040"/>
      </w:rPr>
      <w:tblPr/>
      <w:tcPr>
        <w:tcBorders>
          <w:top w:val="single" w:sz="4" w:space="0" w:color="4BACC6" w:themeColor="accent5"/>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AEEF3" w:themeFill="accent5" w:themeFillTint="34"/>
      </w:tcPr>
    </w:tblStylePr>
    <w:tblStylePr w:type="band2Vert">
      <w:pPr>
        <w:snapToGrid/>
      </w:pPr>
    </w:tblStylePr>
    <w:tblStylePr w:type="band1Horz">
      <w:pPr>
        <w:snapToGrid/>
      </w:pPr>
      <w:rPr>
        <w:rFonts w:ascii="Arial" w:hAnsi="Arial"/>
        <w:color w:val="404040"/>
        <w:sz w:val="22"/>
      </w:rPr>
      <w:tblPr/>
      <w:tcPr>
        <w:shd w:val="clear" w:color="auto" w:fill="DAEEF3" w:themeFill="accent5"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4-Accent6">
    <w:name w:val="Grid Table 4 - Accent 6"/>
    <w:basedOn w:val="a1"/>
    <w:uiPriority w:val="5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pPr>
        <w:snapToGrid/>
      </w:pPr>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pPr>
        <w:snapToGrid/>
      </w:pPr>
      <w:rPr>
        <w:b/>
        <w:color w:val="404040"/>
      </w:rPr>
      <w:tblPr/>
      <w:tcPr>
        <w:tcBorders>
          <w:top w:val="single" w:sz="4" w:space="0" w:color="F79646" w:themeColor="accent6"/>
        </w:tcBorders>
      </w:tc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9D8" w:themeFill="accent6" w:themeFillTint="34"/>
      </w:tcPr>
    </w:tblStylePr>
    <w:tblStylePr w:type="band2Vert">
      <w:pPr>
        <w:snapToGrid/>
      </w:pPr>
    </w:tblStylePr>
    <w:tblStylePr w:type="band1Horz">
      <w:pPr>
        <w:snapToGrid/>
      </w:pPr>
      <w:rPr>
        <w:rFonts w:ascii="Arial" w:hAnsi="Arial"/>
        <w:color w:val="404040"/>
        <w:sz w:val="22"/>
      </w:rPr>
      <w:tblPr/>
      <w:tcPr>
        <w:shd w:val="clear" w:color="auto" w:fill="FDE9D8" w:themeFill="accent6" w:themeFillTint="34"/>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0">
    <w:name w:val="网格表 5 深色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rFonts w:ascii="Arial" w:hAnsi="Arial"/>
        <w:b/>
        <w:color w:val="FFFFFF"/>
        <w:sz w:val="22"/>
      </w:rPr>
      <w:tblPr/>
      <w:tcPr>
        <w:tcBorders>
          <w:top w:val="single" w:sz="4" w:space="0" w:color="FFFFFF" w:themeColor="light1"/>
        </w:tcBorders>
        <w:shd w:val="clear" w:color="auto" w:fill="000000" w:themeFill="text1"/>
      </w:tcPr>
    </w:tblStylePr>
    <w:tblStylePr w:type="firstCol">
      <w:pPr>
        <w:snapToGrid/>
      </w:pPr>
      <w:rPr>
        <w:rFonts w:ascii="Arial" w:hAnsi="Arial"/>
        <w:b/>
        <w:color w:val="FFFFFF"/>
        <w:sz w:val="22"/>
      </w:rPr>
      <w:tblPr/>
      <w:tcPr>
        <w:shd w:val="clear" w:color="auto" w:fill="000000" w:themeFill="text1"/>
      </w:tcPr>
    </w:tblStylePr>
    <w:tblStylePr w:type="lastCol">
      <w:pPr>
        <w:snapToGrid/>
      </w:pPr>
      <w:rPr>
        <w:rFonts w:ascii="Arial" w:hAnsi="Arial"/>
        <w:b/>
        <w:color w:val="FFFFFF"/>
        <w:sz w:val="22"/>
      </w:rPr>
      <w:tblPr/>
      <w:tcPr>
        <w:shd w:val="clear" w:color="auto" w:fill="000000" w:themeFill="text1"/>
      </w:tcPr>
    </w:tblStylePr>
    <w:tblStylePr w:type="band1Vert">
      <w:pPr>
        <w:snapToGrid/>
      </w:pPr>
      <w:tblPr/>
      <w:tcPr>
        <w:shd w:val="clear" w:color="auto" w:fill="8A8A8A" w:themeFill="text1" w:themeFillTint="75"/>
      </w:tcPr>
    </w:tblStylePr>
    <w:tblStylePr w:type="band2Vert">
      <w:pPr>
        <w:snapToGrid/>
      </w:pPr>
    </w:tblStylePr>
    <w:tblStylePr w:type="band1Horz">
      <w:pPr>
        <w:snapToGrid/>
      </w:pPr>
      <w:tblPr/>
      <w:tcPr>
        <w:shd w:val="clear" w:color="auto" w:fill="8A8A8A" w:themeFill="tex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1">
    <w:name w:val="Grid Table 5 Dark- Accent 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rFonts w:ascii="Arial" w:hAnsi="Arial"/>
        <w:b/>
        <w:color w:val="FFFFFF"/>
        <w:sz w:val="22"/>
      </w:rPr>
      <w:tblPr/>
      <w:tcPr>
        <w:tcBorders>
          <w:top w:val="single" w:sz="4" w:space="0" w:color="FFFFFF" w:themeColor="light1"/>
        </w:tcBorders>
        <w:shd w:val="clear" w:color="auto" w:fill="4F81BD" w:themeFill="accent1"/>
      </w:tcPr>
    </w:tblStylePr>
    <w:tblStylePr w:type="firstCol">
      <w:pPr>
        <w:snapToGrid/>
      </w:pPr>
      <w:rPr>
        <w:rFonts w:ascii="Arial" w:hAnsi="Arial"/>
        <w:b/>
        <w:color w:val="FFFFFF"/>
        <w:sz w:val="22"/>
      </w:rPr>
      <w:tblPr/>
      <w:tcPr>
        <w:shd w:val="clear" w:color="auto" w:fill="4F81BD" w:themeFill="accent1"/>
      </w:tcPr>
    </w:tblStylePr>
    <w:tblStylePr w:type="lastCol">
      <w:pPr>
        <w:snapToGrid/>
      </w:pPr>
      <w:rPr>
        <w:rFonts w:ascii="Arial" w:hAnsi="Arial"/>
        <w:b/>
        <w:color w:val="FFFFFF"/>
        <w:sz w:val="22"/>
      </w:rPr>
      <w:tblPr/>
      <w:tcPr>
        <w:shd w:val="clear" w:color="auto" w:fill="4F81BD" w:themeFill="accent1"/>
      </w:tcPr>
    </w:tblStylePr>
    <w:tblStylePr w:type="band1Vert">
      <w:pPr>
        <w:snapToGrid/>
      </w:pPr>
      <w:tblPr/>
      <w:tcPr>
        <w:shd w:val="clear" w:color="auto" w:fill="AEC4E0" w:themeFill="accent1" w:themeFillTint="75"/>
      </w:tcPr>
    </w:tblStylePr>
    <w:tblStylePr w:type="band2Vert">
      <w:pPr>
        <w:snapToGrid/>
      </w:pPr>
    </w:tblStylePr>
    <w:tblStylePr w:type="band1Horz">
      <w:pPr>
        <w:snapToGrid/>
      </w:pPr>
      <w:tblPr/>
      <w:tcPr>
        <w:shd w:val="clear" w:color="auto" w:fill="AEC4E0" w:themeFill="accent1"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2">
    <w:name w:val="Grid Table 5 Dark - Accent 2"/>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C0504D" w:themeFill="accent2"/>
      </w:tcPr>
    </w:tblStylePr>
    <w:tblStylePr w:type="lastRow">
      <w:pPr>
        <w:snapToGrid/>
      </w:pPr>
      <w:rPr>
        <w:rFonts w:ascii="Arial" w:hAnsi="Arial"/>
        <w:b/>
        <w:color w:val="FFFFFF"/>
        <w:sz w:val="22"/>
      </w:rPr>
      <w:tblPr/>
      <w:tcPr>
        <w:tcBorders>
          <w:top w:val="single" w:sz="4" w:space="0" w:color="FFFFFF" w:themeColor="light1"/>
        </w:tcBorders>
        <w:shd w:val="clear" w:color="auto" w:fill="C0504D" w:themeFill="accent2"/>
      </w:tcPr>
    </w:tblStylePr>
    <w:tblStylePr w:type="firstCol">
      <w:pPr>
        <w:snapToGrid/>
      </w:pPr>
      <w:rPr>
        <w:rFonts w:ascii="Arial" w:hAnsi="Arial"/>
        <w:b/>
        <w:color w:val="FFFFFF"/>
        <w:sz w:val="22"/>
      </w:rPr>
      <w:tblPr/>
      <w:tcPr>
        <w:shd w:val="clear" w:color="auto" w:fill="C0504D" w:themeFill="accent2"/>
      </w:tcPr>
    </w:tblStylePr>
    <w:tblStylePr w:type="lastCol">
      <w:pPr>
        <w:snapToGrid/>
      </w:pPr>
      <w:rPr>
        <w:rFonts w:ascii="Arial" w:hAnsi="Arial"/>
        <w:b/>
        <w:color w:val="FFFFFF"/>
        <w:sz w:val="22"/>
      </w:rPr>
      <w:tblPr/>
      <w:tcPr>
        <w:shd w:val="clear" w:color="auto" w:fill="C0504D" w:themeFill="accent2"/>
      </w:tcPr>
    </w:tblStylePr>
    <w:tblStylePr w:type="band1Vert">
      <w:pPr>
        <w:snapToGrid/>
      </w:pPr>
      <w:tblPr/>
      <w:tcPr>
        <w:shd w:val="clear" w:color="auto" w:fill="E2AEAD" w:themeFill="accent2" w:themeFillTint="75"/>
      </w:tcPr>
    </w:tblStylePr>
    <w:tblStylePr w:type="band2Vert">
      <w:pPr>
        <w:snapToGrid/>
      </w:pPr>
    </w:tblStylePr>
    <w:tblStylePr w:type="band1Horz">
      <w:pPr>
        <w:snapToGrid/>
      </w:pPr>
      <w:tblPr/>
      <w:tcPr>
        <w:shd w:val="clear" w:color="auto" w:fill="E2AEAD" w:themeFill="accent2"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3">
    <w:name w:val="Grid Table 5 Dark - Accent 3"/>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9BBB59" w:themeFill="accent3"/>
      </w:tcPr>
    </w:tblStylePr>
    <w:tblStylePr w:type="lastRow">
      <w:pPr>
        <w:snapToGrid/>
      </w:pPr>
      <w:rPr>
        <w:rFonts w:ascii="Arial" w:hAnsi="Arial"/>
        <w:b/>
        <w:color w:val="FFFFFF"/>
        <w:sz w:val="22"/>
      </w:rPr>
      <w:tblPr/>
      <w:tcPr>
        <w:tcBorders>
          <w:top w:val="single" w:sz="4" w:space="0" w:color="FFFFFF" w:themeColor="light1"/>
        </w:tcBorders>
        <w:shd w:val="clear" w:color="auto" w:fill="9BBB59" w:themeFill="accent3"/>
      </w:tcPr>
    </w:tblStylePr>
    <w:tblStylePr w:type="firstCol">
      <w:pPr>
        <w:snapToGrid/>
      </w:pPr>
      <w:rPr>
        <w:rFonts w:ascii="Arial" w:hAnsi="Arial"/>
        <w:b/>
        <w:color w:val="FFFFFF"/>
        <w:sz w:val="22"/>
      </w:rPr>
      <w:tblPr/>
      <w:tcPr>
        <w:shd w:val="clear" w:color="auto" w:fill="9BBB59" w:themeFill="accent3"/>
      </w:tcPr>
    </w:tblStylePr>
    <w:tblStylePr w:type="lastCol">
      <w:pPr>
        <w:snapToGrid/>
      </w:pPr>
      <w:rPr>
        <w:rFonts w:ascii="Arial" w:hAnsi="Arial"/>
        <w:b/>
        <w:color w:val="FFFFFF"/>
        <w:sz w:val="22"/>
      </w:rPr>
      <w:tblPr/>
      <w:tcPr>
        <w:shd w:val="clear" w:color="auto" w:fill="9BBB59" w:themeFill="accent3"/>
      </w:tcPr>
    </w:tblStylePr>
    <w:tblStylePr w:type="band1Vert">
      <w:pPr>
        <w:snapToGrid/>
      </w:pPr>
      <w:tblPr/>
      <w:tcPr>
        <w:shd w:val="clear" w:color="auto" w:fill="D0DFB2" w:themeFill="accent3" w:themeFillTint="75"/>
      </w:tcPr>
    </w:tblStylePr>
    <w:tblStylePr w:type="band2Vert">
      <w:pPr>
        <w:snapToGrid/>
      </w:pPr>
    </w:tblStylePr>
    <w:tblStylePr w:type="band1Horz">
      <w:pPr>
        <w:snapToGrid/>
      </w:pPr>
      <w:tblPr/>
      <w:tcPr>
        <w:shd w:val="clear" w:color="auto" w:fill="D0DFB2" w:themeFill="accent3"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4">
    <w:name w:val="Grid Table 5 Dark- Accent 4"/>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8064A2" w:themeFill="accent4"/>
      </w:tcPr>
    </w:tblStylePr>
    <w:tblStylePr w:type="lastRow">
      <w:pPr>
        <w:snapToGrid/>
      </w:pPr>
      <w:rPr>
        <w:rFonts w:ascii="Arial" w:hAnsi="Arial"/>
        <w:b/>
        <w:color w:val="FFFFFF"/>
        <w:sz w:val="22"/>
      </w:rPr>
      <w:tblPr/>
      <w:tcPr>
        <w:tcBorders>
          <w:top w:val="single" w:sz="4" w:space="0" w:color="FFFFFF" w:themeColor="light1"/>
        </w:tcBorders>
        <w:shd w:val="clear" w:color="auto" w:fill="8064A2" w:themeFill="accent4"/>
      </w:tcPr>
    </w:tblStylePr>
    <w:tblStylePr w:type="firstCol">
      <w:pPr>
        <w:snapToGrid/>
      </w:pPr>
      <w:rPr>
        <w:rFonts w:ascii="Arial" w:hAnsi="Arial"/>
        <w:b/>
        <w:color w:val="FFFFFF"/>
        <w:sz w:val="22"/>
      </w:rPr>
      <w:tblPr/>
      <w:tcPr>
        <w:shd w:val="clear" w:color="auto" w:fill="8064A2" w:themeFill="accent4"/>
      </w:tcPr>
    </w:tblStylePr>
    <w:tblStylePr w:type="lastCol">
      <w:pPr>
        <w:snapToGrid/>
      </w:pPr>
      <w:rPr>
        <w:rFonts w:ascii="Arial" w:hAnsi="Arial"/>
        <w:b/>
        <w:color w:val="FFFFFF"/>
        <w:sz w:val="22"/>
      </w:rPr>
      <w:tblPr/>
      <w:tcPr>
        <w:shd w:val="clear" w:color="auto" w:fill="8064A2" w:themeFill="accent4"/>
      </w:tcPr>
    </w:tblStylePr>
    <w:tblStylePr w:type="band1Vert">
      <w:pPr>
        <w:snapToGrid/>
      </w:pPr>
      <w:tblPr/>
      <w:tcPr>
        <w:shd w:val="clear" w:color="auto" w:fill="C4B7D4" w:themeFill="accent4" w:themeFillTint="75"/>
      </w:tcPr>
    </w:tblStylePr>
    <w:tblStylePr w:type="band2Vert">
      <w:pPr>
        <w:snapToGrid/>
      </w:pPr>
    </w:tblStylePr>
    <w:tblStylePr w:type="band1Horz">
      <w:pPr>
        <w:snapToGrid/>
      </w:pPr>
      <w:tblPr/>
      <w:tcPr>
        <w:shd w:val="clear" w:color="auto" w:fill="C4B7D4" w:themeFill="accent4"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5">
    <w:name w:val="Grid Table 5 Dark - Accent 5"/>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4BACC6" w:themeFill="accent5"/>
      </w:tcPr>
    </w:tblStylePr>
    <w:tblStylePr w:type="lastRow">
      <w:pPr>
        <w:snapToGrid/>
      </w:pPr>
      <w:rPr>
        <w:rFonts w:ascii="Arial" w:hAnsi="Arial"/>
        <w:b/>
        <w:color w:val="FFFFFF"/>
        <w:sz w:val="22"/>
      </w:rPr>
      <w:tblPr/>
      <w:tcPr>
        <w:tcBorders>
          <w:top w:val="single" w:sz="4" w:space="0" w:color="FFFFFF" w:themeColor="light1"/>
        </w:tcBorders>
        <w:shd w:val="clear" w:color="auto" w:fill="4BACC6" w:themeFill="accent5"/>
      </w:tcPr>
    </w:tblStylePr>
    <w:tblStylePr w:type="firstCol">
      <w:pPr>
        <w:snapToGrid/>
      </w:pPr>
      <w:rPr>
        <w:rFonts w:ascii="Arial" w:hAnsi="Arial"/>
        <w:b/>
        <w:color w:val="FFFFFF"/>
        <w:sz w:val="22"/>
      </w:rPr>
      <w:tblPr/>
      <w:tcPr>
        <w:shd w:val="clear" w:color="auto" w:fill="4BACC6" w:themeFill="accent5"/>
      </w:tcPr>
    </w:tblStylePr>
    <w:tblStylePr w:type="lastCol">
      <w:pPr>
        <w:snapToGrid/>
      </w:pPr>
      <w:rPr>
        <w:rFonts w:ascii="Arial" w:hAnsi="Arial"/>
        <w:b/>
        <w:color w:val="FFFFFF"/>
        <w:sz w:val="22"/>
      </w:rPr>
      <w:tblPr/>
      <w:tcPr>
        <w:shd w:val="clear" w:color="auto" w:fill="4BACC6" w:themeFill="accent5"/>
      </w:tcPr>
    </w:tblStylePr>
    <w:tblStylePr w:type="band1Vert">
      <w:pPr>
        <w:snapToGrid/>
      </w:pPr>
      <w:tblPr/>
      <w:tcPr>
        <w:shd w:val="clear" w:color="auto" w:fill="ACD8E4" w:themeFill="accent5" w:themeFillTint="75"/>
      </w:tcPr>
    </w:tblStylePr>
    <w:tblStylePr w:type="band2Vert">
      <w:pPr>
        <w:snapToGrid/>
      </w:pPr>
    </w:tblStylePr>
    <w:tblStylePr w:type="band1Horz">
      <w:pPr>
        <w:snapToGrid/>
      </w:pPr>
      <w:tblPr/>
      <w:tcPr>
        <w:shd w:val="clear" w:color="auto" w:fill="ACD8E4" w:themeFill="accent5"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5Dark-Accent6">
    <w:name w:val="Grid Table 5 Dark - Accent 6"/>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pPr>
        <w:snapToGrid/>
      </w:pPr>
      <w:rPr>
        <w:rFonts w:ascii="Arial" w:hAnsi="Arial"/>
        <w:b/>
        <w:color w:val="FFFFFF"/>
        <w:sz w:val="22"/>
      </w:rPr>
      <w:tblPr/>
      <w:tcPr>
        <w:shd w:val="clear" w:color="auto" w:fill="F79646" w:themeFill="accent6"/>
      </w:tcPr>
    </w:tblStylePr>
    <w:tblStylePr w:type="lastRow">
      <w:pPr>
        <w:snapToGrid/>
      </w:pPr>
      <w:rPr>
        <w:rFonts w:ascii="Arial" w:hAnsi="Arial"/>
        <w:b/>
        <w:color w:val="FFFFFF"/>
        <w:sz w:val="22"/>
      </w:rPr>
      <w:tblPr/>
      <w:tcPr>
        <w:tcBorders>
          <w:top w:val="single" w:sz="4" w:space="0" w:color="FFFFFF" w:themeColor="light1"/>
        </w:tcBorders>
        <w:shd w:val="clear" w:color="auto" w:fill="F79646" w:themeFill="accent6"/>
      </w:tcPr>
    </w:tblStylePr>
    <w:tblStylePr w:type="firstCol">
      <w:pPr>
        <w:snapToGrid/>
      </w:pPr>
      <w:rPr>
        <w:rFonts w:ascii="Arial" w:hAnsi="Arial"/>
        <w:b/>
        <w:color w:val="FFFFFF"/>
        <w:sz w:val="22"/>
      </w:rPr>
      <w:tblPr/>
      <w:tcPr>
        <w:shd w:val="clear" w:color="auto" w:fill="F79646" w:themeFill="accent6"/>
      </w:tcPr>
    </w:tblStylePr>
    <w:tblStylePr w:type="lastCol">
      <w:pPr>
        <w:snapToGrid/>
      </w:pPr>
      <w:rPr>
        <w:rFonts w:ascii="Arial" w:hAnsi="Arial"/>
        <w:b/>
        <w:color w:val="FFFFFF"/>
        <w:sz w:val="22"/>
      </w:rPr>
      <w:tblPr/>
      <w:tcPr>
        <w:shd w:val="clear" w:color="auto" w:fill="F79646" w:themeFill="accent6"/>
      </w:tcPr>
    </w:tblStylePr>
    <w:tblStylePr w:type="band1Vert">
      <w:pPr>
        <w:snapToGrid/>
      </w:pPr>
      <w:tblPr/>
      <w:tcPr>
        <w:shd w:val="clear" w:color="auto" w:fill="FBCEAA" w:themeFill="accent6" w:themeFillTint="75"/>
      </w:tcPr>
    </w:tblStylePr>
    <w:tblStylePr w:type="band2Vert">
      <w:pPr>
        <w:snapToGrid/>
      </w:pPr>
    </w:tblStylePr>
    <w:tblStylePr w:type="band1Horz">
      <w:pPr>
        <w:snapToGrid/>
      </w:pPr>
      <w:tblPr/>
      <w:tcPr>
        <w:shd w:val="clear" w:color="auto" w:fill="FBCEAA" w:themeFill="accent6" w:themeFillTint="75"/>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1">
    <w:name w:val="网格表 6 彩色1"/>
    <w:basedOn w:val="a1"/>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snapToGrid/>
      </w:pPr>
      <w:rPr>
        <w:b/>
        <w:color w:val="7F7F7F" w:themeColor="text1" w:themeTint="80"/>
      </w:rPr>
      <w:tblPr/>
      <w:tcPr>
        <w:tcBorders>
          <w:bottom w:val="single" w:sz="12" w:space="0" w:color="7F7F7F" w:themeColor="text1" w:themeTint="80"/>
        </w:tcBorders>
      </w:tcPr>
    </w:tblStylePr>
    <w:tblStylePr w:type="lastRow">
      <w:pPr>
        <w:snapToGrid/>
      </w:pPr>
      <w:rPr>
        <w:b/>
        <w:color w:val="7F7F7F" w:themeColor="text1" w:themeTint="80"/>
      </w:rPr>
    </w:tblStylePr>
    <w:tblStylePr w:type="firstCol">
      <w:pPr>
        <w:snapToGrid/>
      </w:pPr>
      <w:rPr>
        <w:b/>
        <w:color w:val="7F7F7F" w:themeColor="text1" w:themeTint="80"/>
      </w:rPr>
    </w:tblStylePr>
    <w:tblStylePr w:type="lastCol">
      <w:pPr>
        <w:snapToGrid/>
      </w:pPr>
      <w:rPr>
        <w:b/>
        <w:color w:val="7F7F7F" w:themeColor="text1" w:themeTint="80"/>
      </w:rPr>
    </w:tblStylePr>
    <w:tblStylePr w:type="band1Vert">
      <w:pPr>
        <w:snapToGrid/>
      </w:pPr>
      <w:tblPr/>
      <w:tcPr>
        <w:shd w:val="clear" w:color="auto" w:fill="CBCBCB" w:themeFill="text1" w:themeFillTint="34"/>
      </w:tcPr>
    </w:tblStylePr>
    <w:tblStylePr w:type="band2Vert">
      <w:pPr>
        <w:snapToGrid/>
      </w:pPr>
    </w:tblStylePr>
    <w:tblStylePr w:type="band1Horz">
      <w:pPr>
        <w:snapToGrid/>
      </w:pPr>
      <w:rPr>
        <w:rFonts w:ascii="Arial" w:hAnsi="Arial"/>
        <w:color w:val="7F7F7F" w:themeColor="text1" w:themeTint="80"/>
        <w:sz w:val="22"/>
      </w:rPr>
      <w:tblPr/>
      <w:tcPr>
        <w:shd w:val="clear" w:color="auto" w:fill="CBCBCB" w:themeFill="text1" w:themeFillTint="34"/>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1">
    <w:name w:val="Grid Table 6 Colorful - Accent 1"/>
    <w:basedOn w:val="a1"/>
    <w:uiPriority w:val="99"/>
    <w:qFormat/>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pPr>
        <w:snapToGrid/>
      </w:pPr>
      <w:rPr>
        <w:b/>
        <w:color w:val="A6BFDD" w:themeColor="accent1" w:themeTint="80"/>
      </w:rPr>
      <w:tblPr/>
      <w:tcPr>
        <w:tcBorders>
          <w:bottom w:val="single" w:sz="12" w:space="0" w:color="A6BFDD" w:themeColor="accent1" w:themeTint="80"/>
        </w:tcBorders>
      </w:tcPr>
    </w:tblStylePr>
    <w:tblStylePr w:type="lastRow">
      <w:pPr>
        <w:snapToGrid/>
      </w:pPr>
      <w:rPr>
        <w:b/>
        <w:color w:val="A6BFDD" w:themeColor="accent1" w:themeTint="80"/>
      </w:rPr>
    </w:tblStylePr>
    <w:tblStylePr w:type="firstCol">
      <w:pPr>
        <w:snapToGrid/>
      </w:pPr>
      <w:rPr>
        <w:b/>
        <w:color w:val="A6BFDD" w:themeColor="accent1" w:themeTint="80"/>
      </w:rPr>
    </w:tblStylePr>
    <w:tblStylePr w:type="lastCol">
      <w:pPr>
        <w:snapToGrid/>
      </w:pPr>
      <w:rPr>
        <w:b/>
        <w:color w:val="A6BFDD" w:themeColor="accent1" w:themeTint="80"/>
      </w:rPr>
    </w:tblStylePr>
    <w:tblStylePr w:type="band1Vert">
      <w:pPr>
        <w:snapToGrid/>
      </w:pPr>
      <w:tblPr/>
      <w:tcPr>
        <w:shd w:val="clear" w:color="auto" w:fill="DAE5F1" w:themeFill="accent1" w:themeFillTint="34"/>
      </w:tcPr>
    </w:tblStylePr>
    <w:tblStylePr w:type="band2Vert">
      <w:pPr>
        <w:snapToGrid/>
      </w:pPr>
    </w:tblStylePr>
    <w:tblStylePr w:type="band1Horz">
      <w:pPr>
        <w:snapToGrid/>
      </w:pPr>
      <w:rPr>
        <w:rFonts w:ascii="Arial" w:hAnsi="Arial"/>
        <w:color w:val="A6BFDD" w:themeColor="accent1" w:themeTint="80"/>
        <w:sz w:val="22"/>
      </w:rPr>
      <w:tblPr/>
      <w:tcPr>
        <w:shd w:val="clear" w:color="auto" w:fill="DAE5F1" w:themeFill="accent1" w:themeFillTint="34"/>
      </w:tcPr>
    </w:tblStylePr>
    <w:tblStylePr w:type="band2Horz">
      <w:pPr>
        <w:snapToGrid/>
      </w:pPr>
      <w:rPr>
        <w:rFonts w:ascii="Arial" w:hAnsi="Arial"/>
        <w:color w:val="A6BFDD" w:themeColor="accen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2">
    <w:name w:val="Grid Table 6 Colorful - Accent 2"/>
    <w:basedOn w:val="a1"/>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b/>
        <w:color w:val="DA9796" w:themeColor="accent2" w:themeTint="96"/>
      </w:rPr>
      <w:tblPr/>
      <w:tcPr>
        <w:tcBorders>
          <w:bottom w:val="single" w:sz="12" w:space="0" w:color="D99695" w:themeColor="accent2" w:themeTint="97"/>
        </w:tcBorders>
      </w:tcPr>
    </w:tblStylePr>
    <w:tblStylePr w:type="lastRow">
      <w:pPr>
        <w:snapToGrid/>
      </w:pPr>
      <w:rPr>
        <w:b/>
        <w:color w:val="DA9796" w:themeColor="accent2" w:themeTint="96"/>
      </w:rPr>
    </w:tblStylePr>
    <w:tblStylePr w:type="firstCol">
      <w:pPr>
        <w:snapToGrid/>
      </w:pPr>
      <w:rPr>
        <w:b/>
        <w:color w:val="DA9796" w:themeColor="accent2" w:themeTint="96"/>
      </w:rPr>
    </w:tblStylePr>
    <w:tblStylePr w:type="lastCol">
      <w:pPr>
        <w:snapToGrid/>
      </w:pPr>
      <w:rPr>
        <w:b/>
        <w:color w:val="DA9796" w:themeColor="accent2" w:themeTint="96"/>
      </w:rPr>
    </w:tblStylePr>
    <w:tblStylePr w:type="band1Vert">
      <w:pPr>
        <w:snapToGrid/>
      </w:pPr>
      <w:tblPr/>
      <w:tcPr>
        <w:shd w:val="clear" w:color="auto" w:fill="F2DCDC" w:themeFill="accent2" w:themeFillTint="32"/>
      </w:tcPr>
    </w:tblStylePr>
    <w:tblStylePr w:type="band2Vert">
      <w:pPr>
        <w:snapToGrid/>
      </w:pPr>
    </w:tblStylePr>
    <w:tblStylePr w:type="band1Horz">
      <w:pPr>
        <w:snapToGrid/>
      </w:pPr>
      <w:rPr>
        <w:rFonts w:ascii="Arial" w:hAnsi="Arial"/>
        <w:color w:val="DA9796" w:themeColor="accent2" w:themeTint="96"/>
        <w:sz w:val="22"/>
      </w:rPr>
      <w:tblPr/>
      <w:tcPr>
        <w:shd w:val="clear" w:color="auto" w:fill="F2DCDC" w:themeFill="accent2" w:themeFillTint="32"/>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3">
    <w:name w:val="Grid Table 6 Colorful - Accent 3"/>
    <w:basedOn w:val="a1"/>
    <w:uiPriority w:val="99"/>
    <w:qFormat/>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b/>
        <w:color w:val="9BBB59" w:themeColor="accent3"/>
      </w:rPr>
      <w:tblPr/>
      <w:tcPr>
        <w:tcBorders>
          <w:bottom w:val="single" w:sz="12" w:space="0" w:color="9ABB59" w:themeColor="accent3" w:themeTint="FE"/>
        </w:tcBorders>
      </w:tcPr>
    </w:tblStylePr>
    <w:tblStylePr w:type="lastRow">
      <w:pPr>
        <w:snapToGrid/>
      </w:pPr>
      <w:rPr>
        <w:b/>
        <w:color w:val="9BBB59" w:themeColor="accent3"/>
      </w:rPr>
    </w:tblStylePr>
    <w:tblStylePr w:type="firstCol">
      <w:pPr>
        <w:snapToGrid/>
      </w:pPr>
      <w:rPr>
        <w:b/>
        <w:color w:val="9BBB59" w:themeColor="accent3"/>
      </w:rPr>
    </w:tblStylePr>
    <w:tblStylePr w:type="lastCol">
      <w:pPr>
        <w:snapToGrid/>
      </w:pPr>
      <w:rPr>
        <w:b/>
        <w:color w:val="9BBB59" w:themeColor="accent3"/>
      </w:rPr>
    </w:tblStylePr>
    <w:tblStylePr w:type="band1Vert">
      <w:pPr>
        <w:snapToGrid/>
      </w:pPr>
      <w:tblPr/>
      <w:tcPr>
        <w:shd w:val="clear" w:color="auto" w:fill="EAF1DC" w:themeFill="accent3" w:themeFillTint="34"/>
      </w:tcPr>
    </w:tblStylePr>
    <w:tblStylePr w:type="band2Vert">
      <w:pPr>
        <w:snapToGrid/>
      </w:pPr>
    </w:tblStylePr>
    <w:tblStylePr w:type="band1Horz">
      <w:pPr>
        <w:snapToGrid/>
      </w:pPr>
      <w:rPr>
        <w:rFonts w:ascii="Arial" w:hAnsi="Arial"/>
        <w:color w:val="9BBB59" w:themeColor="accent3"/>
        <w:sz w:val="22"/>
      </w:rPr>
      <w:tblPr/>
      <w:tcPr>
        <w:shd w:val="clear" w:color="auto" w:fill="EAF1DC" w:themeFill="accent3" w:themeFillTint="34"/>
      </w:tcPr>
    </w:tblStylePr>
    <w:tblStylePr w:type="band2Horz">
      <w:pPr>
        <w:snapToGrid/>
      </w:pPr>
      <w:rPr>
        <w:rFonts w:ascii="Arial" w:hAnsi="Arial"/>
        <w:color w:val="9BBB59" w:themeColor="accent3"/>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4">
    <w:name w:val="Grid Table 6 Colorful - Accent 4"/>
    <w:basedOn w:val="a1"/>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b/>
        <w:color w:val="B2A1C7" w:themeColor="accent4" w:themeTint="99"/>
      </w:rPr>
      <w:tblPr/>
      <w:tcPr>
        <w:tcBorders>
          <w:bottom w:val="single" w:sz="12" w:space="0" w:color="B2A1C6" w:themeColor="accent4" w:themeTint="9A"/>
        </w:tcBorders>
      </w:tcPr>
    </w:tblStylePr>
    <w:tblStylePr w:type="lastRow">
      <w:pPr>
        <w:snapToGrid/>
      </w:pPr>
      <w:rPr>
        <w:b/>
        <w:color w:val="B2A1C7" w:themeColor="accent4" w:themeTint="99"/>
      </w:rPr>
    </w:tblStylePr>
    <w:tblStylePr w:type="firstCol">
      <w:pPr>
        <w:snapToGrid/>
      </w:pPr>
      <w:rPr>
        <w:b/>
        <w:color w:val="B2A1C7" w:themeColor="accent4" w:themeTint="99"/>
      </w:rPr>
    </w:tblStylePr>
    <w:tblStylePr w:type="lastCol">
      <w:pPr>
        <w:snapToGrid/>
      </w:pPr>
      <w:rPr>
        <w:b/>
        <w:color w:val="B2A1C7" w:themeColor="accent4" w:themeTint="99"/>
      </w:rPr>
    </w:tblStylePr>
    <w:tblStylePr w:type="band1Vert">
      <w:pPr>
        <w:snapToGrid/>
      </w:pPr>
      <w:tblPr/>
      <w:tcPr>
        <w:shd w:val="clear" w:color="auto" w:fill="E5DFEC" w:themeFill="accent4" w:themeFillTint="34"/>
      </w:tcPr>
    </w:tblStylePr>
    <w:tblStylePr w:type="band2Vert">
      <w:pPr>
        <w:snapToGrid/>
      </w:pPr>
    </w:tblStylePr>
    <w:tblStylePr w:type="band1Horz">
      <w:pPr>
        <w:snapToGrid/>
      </w:pPr>
      <w:rPr>
        <w:rFonts w:ascii="Arial" w:hAnsi="Arial"/>
        <w:color w:val="B2A1C7" w:themeColor="accent4" w:themeTint="99"/>
        <w:sz w:val="22"/>
      </w:rPr>
      <w:tblPr/>
      <w:tcPr>
        <w:shd w:val="clear" w:color="auto" w:fill="E5DFEC" w:themeFill="accent4" w:themeFillTint="34"/>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5">
    <w:name w:val="Grid Table 6 Colorful - Accent 5"/>
    <w:basedOn w:val="a1"/>
    <w:uiPriority w:val="99"/>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pPr>
        <w:snapToGrid/>
      </w:pPr>
      <w:rPr>
        <w:b/>
        <w:color w:val="266678" w:themeColor="accent5" w:themeShade="94"/>
      </w:rPr>
      <w:tblPr/>
      <w:tcPr>
        <w:tcBorders>
          <w:bottom w:val="single" w:sz="12" w:space="0" w:color="4BACC6" w:themeColor="accent5"/>
        </w:tcBorders>
      </w:tcPr>
    </w:tblStylePr>
    <w:tblStylePr w:type="lastRow">
      <w:pPr>
        <w:snapToGrid/>
      </w:pPr>
      <w:rPr>
        <w:b/>
        <w:color w:val="266678" w:themeColor="accent5" w:themeShade="94"/>
      </w:rPr>
    </w:tblStylePr>
    <w:tblStylePr w:type="firstCol">
      <w:pPr>
        <w:snapToGrid/>
      </w:pPr>
      <w:rPr>
        <w:b/>
        <w:color w:val="266678" w:themeColor="accent5" w:themeShade="94"/>
      </w:rPr>
    </w:tblStylePr>
    <w:tblStylePr w:type="lastCol">
      <w:pPr>
        <w:snapToGrid/>
      </w:pPr>
      <w:rPr>
        <w:b/>
        <w:color w:val="266678" w:themeColor="accent5" w:themeShade="94"/>
      </w:rPr>
    </w:tblStylePr>
    <w:tblStylePr w:type="band1Vert">
      <w:pPr>
        <w:snapToGrid/>
      </w:pPr>
      <w:tblPr/>
      <w:tcPr>
        <w:shd w:val="clear" w:color="auto" w:fill="DAEEF3" w:themeFill="accent5"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DAEEF3" w:themeFill="accent5"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6Colorful-Accent6">
    <w:name w:val="Grid Table 6 Colorful - Accent 6"/>
    <w:basedOn w:val="a1"/>
    <w:uiPriority w:val="99"/>
    <w:qFormat/>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pPr>
        <w:snapToGrid/>
      </w:pPr>
      <w:rPr>
        <w:b/>
        <w:color w:val="266678" w:themeColor="accent5" w:themeShade="94"/>
      </w:rPr>
      <w:tblPr/>
      <w:tcPr>
        <w:tcBorders>
          <w:bottom w:val="single" w:sz="12" w:space="0" w:color="F79646" w:themeColor="accent6"/>
        </w:tcBorders>
      </w:tcPr>
    </w:tblStylePr>
    <w:tblStylePr w:type="lastRow">
      <w:pPr>
        <w:snapToGrid/>
      </w:pPr>
      <w:rPr>
        <w:b/>
        <w:color w:val="266678" w:themeColor="accent5" w:themeShade="94"/>
      </w:rPr>
    </w:tblStylePr>
    <w:tblStylePr w:type="firstCol">
      <w:pPr>
        <w:snapToGrid/>
      </w:pPr>
      <w:rPr>
        <w:b/>
        <w:color w:val="266678" w:themeColor="accent5" w:themeShade="94"/>
      </w:rPr>
    </w:tblStylePr>
    <w:tblStylePr w:type="lastCol">
      <w:pPr>
        <w:snapToGrid/>
      </w:pPr>
      <w:rPr>
        <w:b/>
        <w:color w:val="266678" w:themeColor="accent5" w:themeShade="94"/>
      </w:rPr>
    </w:tblStylePr>
    <w:tblStylePr w:type="band1Vert">
      <w:pPr>
        <w:snapToGrid/>
      </w:pPr>
      <w:tblPr/>
      <w:tcPr>
        <w:shd w:val="clear" w:color="auto" w:fill="FDE9D8" w:themeFill="accent6"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FDE9D8" w:themeFill="accent6"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1">
    <w:name w:val="网格表 7 彩色1"/>
    <w:basedOn w:val="a1"/>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snapToGrid/>
      </w:pPr>
      <w:rPr>
        <w:rFonts w:ascii="Arial" w:hAnsi="Arial"/>
        <w:b/>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pPr>
        <w:snapToGrid/>
      </w:pPr>
      <w:rPr>
        <w:rFonts w:ascii="Arial" w:hAnsi="Arial"/>
        <w:b/>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snapToGrid/>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pPr>
        <w:snapToGrid/>
      </w:pPr>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pPr>
        <w:snapToGrid/>
      </w:pPr>
      <w:tblPr/>
      <w:tcPr>
        <w:shd w:val="clear" w:color="auto" w:fill="F2F2F2" w:themeFill="text1" w:themeFillTint="0D"/>
      </w:tcPr>
    </w:tblStylePr>
    <w:tblStylePr w:type="band2Vert">
      <w:pPr>
        <w:snapToGrid/>
      </w:pPr>
    </w:tblStylePr>
    <w:tblStylePr w:type="band1Horz">
      <w:pPr>
        <w:snapToGrid/>
      </w:pPr>
      <w:rPr>
        <w:rFonts w:ascii="Arial" w:hAnsi="Arial"/>
        <w:color w:val="7F7F7F" w:themeColor="text1" w:themeTint="80"/>
        <w:sz w:val="22"/>
      </w:rPr>
      <w:tblPr/>
      <w:tcPr>
        <w:shd w:val="clear" w:color="auto" w:fill="F2F2F2" w:themeFill="text1" w:themeFillTint="0D"/>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1">
    <w:name w:val="Grid Table 7 Colorful - Accent 1"/>
    <w:basedOn w:val="a1"/>
    <w:uiPriority w:val="99"/>
    <w:qFormat/>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pPr>
        <w:snapToGrid/>
      </w:pPr>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auto" w:fill="FFFFFF" w:themeFill="light1"/>
      </w:tcPr>
    </w:tblStylePr>
    <w:tblStylePr w:type="lastRow">
      <w:pPr>
        <w:snapToGrid/>
      </w:pPr>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auto" w:fill="FFFFFF" w:themeFill="light1"/>
      </w:tcPr>
    </w:tblStylePr>
    <w:tblStylePr w:type="firstCol">
      <w:pPr>
        <w:snapToGrid/>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auto" w:fill="FFFFFF"/>
      </w:tcPr>
    </w:tblStylePr>
    <w:tblStylePr w:type="lastCol">
      <w:pPr>
        <w:snapToGrid/>
      </w:pPr>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auto" w:fill="FFFFFF"/>
      </w:tcPr>
    </w:tblStylePr>
    <w:tblStylePr w:type="band1Vert">
      <w:pPr>
        <w:snapToGrid/>
      </w:pPr>
      <w:tblPr/>
      <w:tcPr>
        <w:shd w:val="clear" w:color="auto" w:fill="DAE5F1" w:themeFill="accent1" w:themeFillTint="34"/>
      </w:tcPr>
    </w:tblStylePr>
    <w:tblStylePr w:type="band2Vert">
      <w:pPr>
        <w:snapToGrid/>
      </w:pPr>
    </w:tblStylePr>
    <w:tblStylePr w:type="band1Horz">
      <w:pPr>
        <w:snapToGrid/>
      </w:pPr>
      <w:rPr>
        <w:rFonts w:ascii="Arial" w:hAnsi="Arial"/>
        <w:color w:val="A6BFDD" w:themeColor="accent1" w:themeTint="80"/>
        <w:sz w:val="22"/>
      </w:rPr>
      <w:tblPr/>
      <w:tcPr>
        <w:shd w:val="clear" w:color="auto" w:fill="DAE5F1" w:themeFill="accent1" w:themeFillTint="34"/>
      </w:tcPr>
    </w:tblStylePr>
    <w:tblStylePr w:type="band2Horz">
      <w:pPr>
        <w:snapToGrid/>
      </w:pPr>
      <w:rPr>
        <w:rFonts w:ascii="Arial" w:hAnsi="Arial"/>
        <w:color w:val="A6BFDD" w:themeColor="accen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2">
    <w:name w:val="Grid Table 7 Colorful - Accent 2"/>
    <w:basedOn w:val="a1"/>
    <w:uiPriority w:val="99"/>
    <w:qFormat/>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pPr>
        <w:snapToGrid/>
      </w:pPr>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pPr>
        <w:snapToGrid/>
      </w:pPr>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snapToGrid/>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pPr>
        <w:snapToGrid/>
      </w:pPr>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pPr>
        <w:snapToGrid/>
      </w:pPr>
      <w:tblPr/>
      <w:tcPr>
        <w:shd w:val="clear" w:color="auto" w:fill="F2DCDC" w:themeFill="accent2" w:themeFillTint="32"/>
      </w:tcPr>
    </w:tblStylePr>
    <w:tblStylePr w:type="band2Vert">
      <w:pPr>
        <w:snapToGrid/>
      </w:pPr>
    </w:tblStylePr>
    <w:tblStylePr w:type="band1Horz">
      <w:pPr>
        <w:snapToGrid/>
      </w:pPr>
      <w:rPr>
        <w:rFonts w:ascii="Arial" w:hAnsi="Arial"/>
        <w:color w:val="DA9796" w:themeColor="accent2" w:themeTint="96"/>
        <w:sz w:val="22"/>
      </w:rPr>
      <w:tblPr/>
      <w:tcPr>
        <w:shd w:val="clear" w:color="auto" w:fill="F2DCDC" w:themeFill="accent2" w:themeFillTint="32"/>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3">
    <w:name w:val="Grid Table 7 Colorful - Accent 3"/>
    <w:basedOn w:val="a1"/>
    <w:uiPriority w:val="99"/>
    <w:qFormat/>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pPr>
        <w:snapToGrid/>
      </w:pPr>
      <w:rPr>
        <w:rFonts w:ascii="Arial" w:hAnsi="Arial"/>
        <w:b/>
        <w:color w:val="9BBB59" w:themeColor="accent3"/>
        <w:sz w:val="22"/>
      </w:rPr>
      <w:tblPr/>
      <w:tcPr>
        <w:tcBorders>
          <w:top w:val="nil"/>
          <w:left w:val="nil"/>
          <w:bottom w:val="single" w:sz="4" w:space="0" w:color="9ABB59" w:themeColor="accent3" w:themeTint="FE"/>
          <w:right w:val="nil"/>
        </w:tcBorders>
        <w:shd w:val="clear" w:color="auto" w:fill="FFFFFF" w:themeFill="light1"/>
      </w:tcPr>
    </w:tblStylePr>
    <w:tblStylePr w:type="lastRow">
      <w:pPr>
        <w:snapToGrid/>
      </w:pPr>
      <w:rPr>
        <w:rFonts w:ascii="Arial" w:hAnsi="Arial"/>
        <w:b/>
        <w:color w:val="9BBB59" w:themeColor="accent3"/>
        <w:sz w:val="22"/>
      </w:rPr>
      <w:tblPr/>
      <w:tcPr>
        <w:tcBorders>
          <w:top w:val="single" w:sz="4" w:space="0" w:color="9ABB59" w:themeColor="accent3" w:themeTint="FE"/>
          <w:left w:val="nil"/>
          <w:bottom w:val="nil"/>
          <w:right w:val="nil"/>
        </w:tcBorders>
        <w:shd w:val="clear" w:color="auto" w:fill="FFFFFF" w:themeFill="light1"/>
      </w:tcPr>
    </w:tblStylePr>
    <w:tblStylePr w:type="firstCol">
      <w:pPr>
        <w:snapToGrid/>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auto" w:fill="FFFFFF"/>
      </w:tcPr>
    </w:tblStylePr>
    <w:tblStylePr w:type="lastCol">
      <w:pPr>
        <w:snapToGrid/>
      </w:pPr>
      <w:rPr>
        <w:rFonts w:ascii="Arial" w:hAnsi="Arial"/>
        <w:i/>
        <w:color w:val="9BBB59" w:themeColor="accent3"/>
        <w:sz w:val="22"/>
      </w:rPr>
      <w:tblPr/>
      <w:tcPr>
        <w:tcBorders>
          <w:top w:val="nil"/>
          <w:left w:val="single" w:sz="4" w:space="0" w:color="9ABB59" w:themeColor="accent3" w:themeTint="FE"/>
          <w:bottom w:val="nil"/>
          <w:right w:val="nil"/>
        </w:tcBorders>
        <w:shd w:val="clear" w:color="auto" w:fill="FFFFFF"/>
      </w:tcPr>
    </w:tblStylePr>
    <w:tblStylePr w:type="band1Vert">
      <w:pPr>
        <w:snapToGrid/>
      </w:pPr>
      <w:tblPr/>
      <w:tcPr>
        <w:shd w:val="clear" w:color="auto" w:fill="EAF1DC" w:themeFill="accent3" w:themeFillTint="34"/>
      </w:tcPr>
    </w:tblStylePr>
    <w:tblStylePr w:type="band2Vert">
      <w:pPr>
        <w:snapToGrid/>
      </w:pPr>
    </w:tblStylePr>
    <w:tblStylePr w:type="band1Horz">
      <w:pPr>
        <w:snapToGrid/>
      </w:pPr>
      <w:rPr>
        <w:rFonts w:ascii="Arial" w:hAnsi="Arial"/>
        <w:color w:val="9BBB59" w:themeColor="accent3"/>
        <w:sz w:val="22"/>
      </w:rPr>
      <w:tblPr/>
      <w:tcPr>
        <w:shd w:val="clear" w:color="auto" w:fill="EAF1DC" w:themeFill="accent3" w:themeFillTint="34"/>
      </w:tcPr>
    </w:tblStylePr>
    <w:tblStylePr w:type="band2Horz">
      <w:pPr>
        <w:snapToGrid/>
      </w:pPr>
      <w:rPr>
        <w:rFonts w:ascii="Arial" w:hAnsi="Arial"/>
        <w:color w:val="9BBB59" w:themeColor="accent3"/>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4">
    <w:name w:val="Grid Table 7 Colorful - Accent 4"/>
    <w:basedOn w:val="a1"/>
    <w:uiPriority w:val="99"/>
    <w:qFormat/>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pPr>
        <w:snapToGrid/>
      </w:pPr>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pPr>
        <w:snapToGrid/>
      </w:pPr>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snapToGrid/>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pPr>
        <w:snapToGrid/>
      </w:pPr>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pPr>
        <w:snapToGrid/>
      </w:pPr>
      <w:tblPr/>
      <w:tcPr>
        <w:shd w:val="clear" w:color="auto" w:fill="E5DFEC" w:themeFill="accent4" w:themeFillTint="34"/>
      </w:tcPr>
    </w:tblStylePr>
    <w:tblStylePr w:type="band2Vert">
      <w:pPr>
        <w:snapToGrid/>
      </w:pPr>
    </w:tblStylePr>
    <w:tblStylePr w:type="band1Horz">
      <w:pPr>
        <w:snapToGrid/>
      </w:pPr>
      <w:rPr>
        <w:rFonts w:ascii="Arial" w:hAnsi="Arial"/>
        <w:color w:val="B2A1C7" w:themeColor="accent4" w:themeTint="99"/>
        <w:sz w:val="22"/>
      </w:rPr>
      <w:tblPr/>
      <w:tcPr>
        <w:shd w:val="clear" w:color="auto" w:fill="E5DFEC" w:themeFill="accent4" w:themeFillTint="34"/>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5">
    <w:name w:val="Grid Table 7 Colorful - Accent 5"/>
    <w:basedOn w:val="a1"/>
    <w:uiPriority w:val="99"/>
    <w:qFormat/>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pPr>
        <w:snapToGrid/>
      </w:pPr>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auto" w:fill="FFFFFF" w:themeFill="light1"/>
      </w:tcPr>
    </w:tblStylePr>
    <w:tblStylePr w:type="lastRow">
      <w:pPr>
        <w:snapToGrid/>
      </w:pPr>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auto" w:fill="FFFFFF" w:themeFill="light1"/>
      </w:tcPr>
    </w:tblStylePr>
    <w:tblStylePr w:type="firstCol">
      <w:pPr>
        <w:snapToGrid/>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auto" w:fill="FFFFFF"/>
      </w:tcPr>
    </w:tblStylePr>
    <w:tblStylePr w:type="lastCol">
      <w:pPr>
        <w:snapToGrid/>
      </w:pPr>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auto" w:fill="FFFFFF"/>
      </w:tcPr>
    </w:tblStylePr>
    <w:tblStylePr w:type="band1Vert">
      <w:pPr>
        <w:snapToGrid/>
      </w:pPr>
      <w:tblPr/>
      <w:tcPr>
        <w:shd w:val="clear" w:color="auto" w:fill="DAEEF3" w:themeFill="accent5" w:themeFillTint="34"/>
      </w:tcPr>
    </w:tblStylePr>
    <w:tblStylePr w:type="band2Vert">
      <w:pPr>
        <w:snapToGrid/>
      </w:pPr>
    </w:tblStylePr>
    <w:tblStylePr w:type="band1Horz">
      <w:pPr>
        <w:snapToGrid/>
      </w:pPr>
      <w:rPr>
        <w:rFonts w:ascii="Arial" w:hAnsi="Arial"/>
        <w:color w:val="266678" w:themeColor="accent5" w:themeShade="94"/>
        <w:sz w:val="22"/>
      </w:rPr>
      <w:tblPr/>
      <w:tcPr>
        <w:shd w:val="clear" w:color="auto" w:fill="DAEEF3" w:themeFill="accent5" w:themeFillTint="34"/>
      </w:tcPr>
    </w:tblStylePr>
    <w:tblStylePr w:type="band2Horz">
      <w:pPr>
        <w:snapToGrid/>
      </w:pPr>
      <w:rPr>
        <w:rFonts w:ascii="Arial" w:hAnsi="Arial"/>
        <w:color w:val="266678" w:themeColor="accent5"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GridTable7Colorful-Accent6">
    <w:name w:val="Grid Table 7 Colorful - Accent 6"/>
    <w:basedOn w:val="a1"/>
    <w:uiPriority w:val="99"/>
    <w:qFormat/>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pPr>
        <w:snapToGrid/>
      </w:pPr>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auto" w:fill="FFFFFF" w:themeFill="light1"/>
      </w:tcPr>
    </w:tblStylePr>
    <w:tblStylePr w:type="lastRow">
      <w:pPr>
        <w:snapToGrid/>
      </w:pPr>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auto" w:fill="FFFFFF" w:themeFill="light1"/>
      </w:tcPr>
    </w:tblStylePr>
    <w:tblStylePr w:type="firstCol">
      <w:pPr>
        <w:snapToGrid/>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auto" w:fill="FFFFFF"/>
      </w:tcPr>
    </w:tblStylePr>
    <w:tblStylePr w:type="lastCol">
      <w:pPr>
        <w:snapToGrid/>
      </w:pPr>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auto" w:fill="FFFFFF"/>
      </w:tcPr>
    </w:tblStylePr>
    <w:tblStylePr w:type="band1Vert">
      <w:pPr>
        <w:snapToGrid/>
      </w:pPr>
      <w:tblPr/>
      <w:tcPr>
        <w:shd w:val="clear" w:color="auto" w:fill="FDE9D8" w:themeFill="accent6" w:themeFillTint="34"/>
      </w:tcPr>
    </w:tblStylePr>
    <w:tblStylePr w:type="band2Vert">
      <w:pPr>
        <w:snapToGrid/>
      </w:pPr>
    </w:tblStylePr>
    <w:tblStylePr w:type="band1Horz">
      <w:pPr>
        <w:snapToGrid/>
      </w:pPr>
      <w:rPr>
        <w:rFonts w:ascii="Arial" w:hAnsi="Arial"/>
        <w:color w:val="B05307" w:themeColor="accent6" w:themeShade="94"/>
        <w:sz w:val="22"/>
      </w:rPr>
      <w:tblPr/>
      <w:tcPr>
        <w:shd w:val="clear" w:color="auto" w:fill="FDE9D8" w:themeFill="accent6" w:themeFillTint="34"/>
      </w:tcPr>
    </w:tblStylePr>
    <w:tblStylePr w:type="band2Horz">
      <w:pPr>
        <w:snapToGrid/>
      </w:pPr>
      <w:rPr>
        <w:rFonts w:ascii="Arial" w:hAnsi="Arial"/>
        <w:color w:val="B05307" w:themeColor="accent6"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112">
    <w:name w:val="清单表 1 浅色1"/>
    <w:basedOn w:val="a1"/>
    <w:uiPriority w:val="99"/>
    <w:qFormat/>
    <w:tblPr/>
    <w:tblStylePr w:type="firstRow">
      <w:pPr>
        <w:snapToGrid/>
      </w:pPr>
      <w:rPr>
        <w:b/>
        <w:color w:val="404040"/>
      </w:rPr>
      <w:tblPr/>
      <w:tcPr>
        <w:tcBorders>
          <w:top w:val="nil"/>
          <w:left w:val="nil"/>
          <w:bottom w:val="single" w:sz="4" w:space="0" w:color="000000" w:themeColor="text1"/>
          <w:right w:val="nil"/>
        </w:tcBorders>
      </w:tcPr>
    </w:tblStylePr>
    <w:tblStylePr w:type="lastRow">
      <w:pPr>
        <w:snapToGrid/>
      </w:pPr>
      <w:rPr>
        <w:b/>
        <w:color w:val="404040"/>
      </w:rPr>
      <w:tblPr/>
      <w:tcPr>
        <w:tcBorders>
          <w:top w:val="single" w:sz="4" w:space="0" w:color="000000" w:themeColor="text1"/>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BFBFBF" w:themeFill="text1" w:themeFillTint="40"/>
      </w:tcPr>
    </w:tblStylePr>
    <w:tblStylePr w:type="band2Vert">
      <w:pPr>
        <w:snapToGrid/>
      </w:pPr>
    </w:tblStylePr>
    <w:tblStylePr w:type="band1Horz">
      <w:pPr>
        <w:snapToGrid/>
      </w:p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1">
    <w:name w:val="List Table 1 Light - Accent 1"/>
    <w:basedOn w:val="a1"/>
    <w:uiPriority w:val="99"/>
    <w:qFormat/>
    <w:tblPr/>
    <w:tblStylePr w:type="firstRow">
      <w:pPr>
        <w:snapToGrid/>
      </w:pPr>
      <w:rPr>
        <w:b/>
        <w:color w:val="404040"/>
      </w:rPr>
      <w:tblPr/>
      <w:tcPr>
        <w:tcBorders>
          <w:top w:val="nil"/>
          <w:left w:val="nil"/>
          <w:bottom w:val="single" w:sz="4" w:space="0" w:color="4F81BD" w:themeColor="accent1"/>
          <w:right w:val="nil"/>
        </w:tcBorders>
      </w:tcPr>
    </w:tblStylePr>
    <w:tblStylePr w:type="lastRow">
      <w:pPr>
        <w:snapToGrid/>
      </w:pPr>
      <w:rPr>
        <w:b/>
        <w:color w:val="404040"/>
      </w:rPr>
      <w:tblPr/>
      <w:tcPr>
        <w:tcBorders>
          <w:top w:val="single" w:sz="4" w:space="0" w:color="4F81BD" w:themeColor="accent1"/>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2DFEE" w:themeFill="accent1" w:themeFillTint="40"/>
      </w:tcPr>
    </w:tblStylePr>
    <w:tblStylePr w:type="band2Vert">
      <w:pPr>
        <w:snapToGrid/>
      </w:pPr>
    </w:tblStylePr>
    <w:tblStylePr w:type="band1Horz">
      <w:pPr>
        <w:snapToGrid/>
      </w:p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2">
    <w:name w:val="List Table 1 Light - Accent 2"/>
    <w:basedOn w:val="a1"/>
    <w:uiPriority w:val="99"/>
    <w:qFormat/>
    <w:tblPr/>
    <w:tblStylePr w:type="firstRow">
      <w:pPr>
        <w:snapToGrid/>
      </w:pPr>
      <w:rPr>
        <w:b/>
        <w:color w:val="404040"/>
      </w:rPr>
      <w:tblPr/>
      <w:tcPr>
        <w:tcBorders>
          <w:top w:val="nil"/>
          <w:left w:val="nil"/>
          <w:bottom w:val="single" w:sz="4" w:space="0" w:color="C0504D" w:themeColor="accent2"/>
          <w:right w:val="nil"/>
        </w:tcBorders>
      </w:tcPr>
    </w:tblStylePr>
    <w:tblStylePr w:type="lastRow">
      <w:pPr>
        <w:snapToGrid/>
      </w:pPr>
      <w:rPr>
        <w:b/>
        <w:color w:val="404040"/>
      </w:rPr>
      <w:tblPr/>
      <w:tcPr>
        <w:tcBorders>
          <w:top w:val="single" w:sz="4" w:space="0" w:color="C0504D" w:themeColor="accent2"/>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EFD2D2" w:themeFill="accent2" w:themeFillTint="40"/>
      </w:tcPr>
    </w:tblStylePr>
    <w:tblStylePr w:type="band2Vert">
      <w:pPr>
        <w:snapToGrid/>
      </w:pPr>
    </w:tblStylePr>
    <w:tblStylePr w:type="band1Horz">
      <w:pPr>
        <w:snapToGrid/>
      </w:p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3">
    <w:name w:val="List Table 1 Light - Accent 3"/>
    <w:basedOn w:val="a1"/>
    <w:uiPriority w:val="99"/>
    <w:qFormat/>
    <w:tblPr/>
    <w:tblStylePr w:type="firstRow">
      <w:pPr>
        <w:snapToGrid/>
      </w:pPr>
      <w:rPr>
        <w:b/>
        <w:color w:val="404040"/>
      </w:rPr>
      <w:tblPr/>
      <w:tcPr>
        <w:tcBorders>
          <w:top w:val="nil"/>
          <w:left w:val="nil"/>
          <w:bottom w:val="single" w:sz="4" w:space="0" w:color="9BBB59" w:themeColor="accent3"/>
          <w:right w:val="nil"/>
        </w:tcBorders>
      </w:tcPr>
    </w:tblStylePr>
    <w:tblStylePr w:type="lastRow">
      <w:pPr>
        <w:snapToGrid/>
      </w:pPr>
      <w:rPr>
        <w:b/>
        <w:color w:val="404040"/>
      </w:rPr>
      <w:tblPr/>
      <w:tcPr>
        <w:tcBorders>
          <w:top w:val="single" w:sz="4" w:space="0" w:color="9BBB59" w:themeColor="accent3"/>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E5EED5" w:themeFill="accent3" w:themeFillTint="40"/>
      </w:tcPr>
    </w:tblStylePr>
    <w:tblStylePr w:type="band2Vert">
      <w:pPr>
        <w:snapToGrid/>
      </w:pPr>
    </w:tblStylePr>
    <w:tblStylePr w:type="band1Horz">
      <w:pPr>
        <w:snapToGrid/>
      </w:p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4">
    <w:name w:val="List Table 1 Light - Accent 4"/>
    <w:basedOn w:val="a1"/>
    <w:uiPriority w:val="99"/>
    <w:qFormat/>
    <w:tblPr/>
    <w:tblStylePr w:type="firstRow">
      <w:pPr>
        <w:snapToGrid/>
      </w:pPr>
      <w:rPr>
        <w:b/>
        <w:color w:val="404040"/>
      </w:rPr>
      <w:tblPr/>
      <w:tcPr>
        <w:tcBorders>
          <w:top w:val="nil"/>
          <w:left w:val="nil"/>
          <w:bottom w:val="single" w:sz="4" w:space="0" w:color="8064A2" w:themeColor="accent4"/>
          <w:right w:val="nil"/>
        </w:tcBorders>
      </w:tcPr>
    </w:tblStylePr>
    <w:tblStylePr w:type="lastRow">
      <w:pPr>
        <w:snapToGrid/>
      </w:pPr>
      <w:rPr>
        <w:b/>
        <w:color w:val="404040"/>
      </w:rPr>
      <w:tblPr/>
      <w:tcPr>
        <w:tcBorders>
          <w:top w:val="single" w:sz="4" w:space="0" w:color="8064A2" w:themeColor="accent4"/>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FD8E7" w:themeFill="accent4" w:themeFillTint="40"/>
      </w:tcPr>
    </w:tblStylePr>
    <w:tblStylePr w:type="band2Vert">
      <w:pPr>
        <w:snapToGrid/>
      </w:pPr>
    </w:tblStylePr>
    <w:tblStylePr w:type="band1Horz">
      <w:pPr>
        <w:snapToGrid/>
      </w:p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5">
    <w:name w:val="List Table 1 Light - Accent 5"/>
    <w:basedOn w:val="a1"/>
    <w:uiPriority w:val="99"/>
    <w:qFormat/>
    <w:tblPr/>
    <w:tblStylePr w:type="firstRow">
      <w:pPr>
        <w:snapToGrid/>
      </w:pPr>
      <w:rPr>
        <w:b/>
        <w:color w:val="404040"/>
      </w:rPr>
      <w:tblPr/>
      <w:tcPr>
        <w:tcBorders>
          <w:top w:val="nil"/>
          <w:left w:val="nil"/>
          <w:bottom w:val="single" w:sz="4" w:space="0" w:color="4BACC6" w:themeColor="accent5"/>
          <w:right w:val="nil"/>
        </w:tcBorders>
      </w:tcPr>
    </w:tblStylePr>
    <w:tblStylePr w:type="lastRow">
      <w:pPr>
        <w:snapToGrid/>
      </w:pPr>
      <w:rPr>
        <w:b/>
        <w:color w:val="404040"/>
      </w:rPr>
      <w:tblPr/>
      <w:tcPr>
        <w:tcBorders>
          <w:top w:val="single" w:sz="4" w:space="0" w:color="4BACC6" w:themeColor="accent5"/>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D1EAF0" w:themeFill="accent5" w:themeFillTint="40"/>
      </w:tcPr>
    </w:tblStylePr>
    <w:tblStylePr w:type="band2Vert">
      <w:pPr>
        <w:snapToGrid/>
      </w:pPr>
    </w:tblStylePr>
    <w:tblStylePr w:type="band1Horz">
      <w:pPr>
        <w:snapToGrid/>
      </w:p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1Light-Accent6">
    <w:name w:val="List Table 1 Light - Accent 6"/>
    <w:basedOn w:val="a1"/>
    <w:uiPriority w:val="99"/>
    <w:qFormat/>
    <w:tblPr/>
    <w:tblStylePr w:type="firstRow">
      <w:pPr>
        <w:snapToGrid/>
      </w:pPr>
      <w:rPr>
        <w:b/>
        <w:color w:val="404040"/>
      </w:rPr>
      <w:tblPr/>
      <w:tcPr>
        <w:tcBorders>
          <w:top w:val="nil"/>
          <w:left w:val="nil"/>
          <w:bottom w:val="single" w:sz="4" w:space="0" w:color="F79646" w:themeColor="accent6"/>
          <w:right w:val="nil"/>
        </w:tcBorders>
      </w:tcPr>
    </w:tblStylePr>
    <w:tblStylePr w:type="lastRow">
      <w:pPr>
        <w:snapToGrid/>
      </w:pPr>
      <w:rPr>
        <w:b/>
        <w:color w:val="404040"/>
      </w:rPr>
      <w:tblPr/>
      <w:tcPr>
        <w:tcBorders>
          <w:top w:val="single" w:sz="4" w:space="0" w:color="F79646" w:themeColor="accent6"/>
          <w:left w:val="nil"/>
          <w:bottom w:val="nil"/>
          <w:right w:val="nil"/>
        </w:tcBorders>
      </w:tcPr>
    </w:tblStylePr>
    <w:tblStylePr w:type="firstCol">
      <w:pPr>
        <w:snapToGrid/>
      </w:pPr>
      <w:rPr>
        <w:b/>
        <w:color w:val="404040"/>
      </w:rPr>
    </w:tblStylePr>
    <w:tblStylePr w:type="lastCol">
      <w:pPr>
        <w:snapToGrid/>
      </w:pPr>
      <w:rPr>
        <w:b/>
        <w:color w:val="404040"/>
      </w:rPr>
    </w:tblStylePr>
    <w:tblStylePr w:type="band1Vert">
      <w:pPr>
        <w:snapToGrid/>
      </w:pPr>
      <w:tblPr/>
      <w:tcPr>
        <w:shd w:val="clear" w:color="auto" w:fill="FDE4D0" w:themeFill="accent6" w:themeFillTint="40"/>
      </w:tcPr>
    </w:tblStylePr>
    <w:tblStylePr w:type="band2Vert">
      <w:pPr>
        <w:snapToGrid/>
      </w:pPr>
    </w:tblStylePr>
    <w:tblStylePr w:type="band1Horz">
      <w:pPr>
        <w:snapToGrid/>
      </w:p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212">
    <w:name w:val="清单表 21"/>
    <w:basedOn w:val="a1"/>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pPr>
        <w:snapToGrid/>
      </w:pPr>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pPr>
        <w:snapToGrid/>
      </w:pPr>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BFBFBF" w:themeFill="text1" w:themeFillTint="40"/>
      </w:tcPr>
    </w:tblStylePr>
    <w:tblStylePr w:type="band2Vert">
      <w:pPr>
        <w:snapToGrid/>
      </w:pPr>
    </w:tblStylePr>
    <w:tblStylePr w:type="band1Horz">
      <w:pPr>
        <w:snapToGrid/>
      </w:pPr>
      <w:rPr>
        <w:rFonts w:ascii="Arial" w:hAnsi="Arial"/>
        <w:color w:val="404040"/>
        <w:sz w:val="22"/>
      </w:r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1">
    <w:name w:val="List Table 2 - Accent 1"/>
    <w:basedOn w:val="a1"/>
    <w:uiPriority w:val="99"/>
    <w:qFormat/>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pPr>
        <w:snapToGrid/>
      </w:pPr>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pPr>
        <w:snapToGrid/>
      </w:pPr>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2">
    <w:name w:val="List Table 2 - Accent 2"/>
    <w:basedOn w:val="a1"/>
    <w:uiPriority w:val="99"/>
    <w:qFormat/>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pPr>
        <w:snapToGrid/>
      </w:pPr>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pPr>
        <w:snapToGrid/>
      </w:pPr>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EFD2D2" w:themeFill="accent2" w:themeFillTint="40"/>
      </w:tcPr>
    </w:tblStylePr>
    <w:tblStylePr w:type="band2Vert">
      <w:pPr>
        <w:snapToGrid/>
      </w:pPr>
    </w:tblStylePr>
    <w:tblStylePr w:type="band1Horz">
      <w:pPr>
        <w:snapToGrid/>
      </w:pPr>
      <w:rPr>
        <w:rFonts w:ascii="Arial" w:hAnsi="Arial"/>
        <w:color w:val="404040"/>
        <w:sz w:val="22"/>
      </w:r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3">
    <w:name w:val="List Table 2 - Accent 3"/>
    <w:basedOn w:val="a1"/>
    <w:uiPriority w:val="99"/>
    <w:qFormat/>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pPr>
        <w:snapToGrid/>
      </w:pPr>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pPr>
        <w:snapToGrid/>
      </w:pPr>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E5EED5" w:themeFill="accent3" w:themeFillTint="40"/>
      </w:tcPr>
    </w:tblStylePr>
    <w:tblStylePr w:type="band2Vert">
      <w:pPr>
        <w:snapToGrid/>
      </w:pPr>
    </w:tblStylePr>
    <w:tblStylePr w:type="band1Horz">
      <w:pPr>
        <w:snapToGrid/>
      </w:pPr>
      <w:rPr>
        <w:rFonts w:ascii="Arial" w:hAnsi="Arial"/>
        <w:color w:val="404040"/>
        <w:sz w:val="22"/>
      </w:r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4">
    <w:name w:val="List Table 2 - Accent 4"/>
    <w:basedOn w:val="a1"/>
    <w:uiPriority w:val="99"/>
    <w:qFormat/>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pPr>
        <w:snapToGrid/>
      </w:pPr>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pPr>
        <w:snapToGrid/>
      </w:pPr>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5">
    <w:name w:val="List Table 2 - Accent 5"/>
    <w:basedOn w:val="a1"/>
    <w:uiPriority w:val="99"/>
    <w:qFormat/>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pPr>
        <w:snapToGrid/>
      </w:pPr>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pPr>
        <w:snapToGrid/>
      </w:pPr>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2-Accent6">
    <w:name w:val="List Table 2 - Accent 6"/>
    <w:basedOn w:val="a1"/>
    <w:uiPriority w:val="99"/>
    <w:qFormat/>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pPr>
        <w:snapToGrid/>
      </w:pPr>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pPr>
        <w:snapToGrid/>
      </w:pPr>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pPr>
        <w:snapToGrid/>
      </w:pPr>
      <w:rPr>
        <w:rFonts w:ascii="Arial" w:hAnsi="Arial"/>
        <w:b/>
        <w:color w:val="404040"/>
        <w:sz w:val="22"/>
      </w:rPr>
    </w:tblStylePr>
    <w:tblStylePr w:type="lastCol">
      <w:pPr>
        <w:snapToGrid/>
      </w:pPr>
      <w:rPr>
        <w:rFonts w:ascii="Arial" w:hAnsi="Arial"/>
        <w:b/>
        <w:color w:val="404040"/>
        <w:sz w:val="22"/>
      </w:rPr>
    </w:tblStylePr>
    <w:tblStylePr w:type="band1Vert">
      <w:pPr>
        <w:snapToGrid/>
      </w:pPr>
      <w:rPr>
        <w:rFonts w:ascii="Arial" w:hAnsi="Arial"/>
        <w:color w:val="404040"/>
        <w:sz w:val="22"/>
      </w:rPr>
      <w:tblPr/>
      <w:tcPr>
        <w:shd w:val="clear" w:color="auto" w:fill="FDE4D0" w:themeFill="accent6" w:themeFillTint="40"/>
      </w:tcPr>
    </w:tblStylePr>
    <w:tblStylePr w:type="band2Vert">
      <w:pPr>
        <w:snapToGrid/>
      </w:pPr>
    </w:tblStylePr>
    <w:tblStylePr w:type="band1Horz">
      <w:pPr>
        <w:snapToGrid/>
      </w:pPr>
      <w:rPr>
        <w:rFonts w:ascii="Arial" w:hAnsi="Arial"/>
        <w:color w:val="404040"/>
        <w:sz w:val="22"/>
      </w:r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311">
    <w:name w:val="清单表 31"/>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000000" w:themeColor="text1"/>
          <w:right w:val="single" w:sz="4" w:space="0" w:color="000000" w:themeColor="text1"/>
        </w:tcBorders>
      </w:tcPr>
    </w:tblStylePr>
    <w:tblStylePr w:type="band2Vert">
      <w:pPr>
        <w:snapToGrid/>
      </w:pPr>
    </w:tblStylePr>
    <w:tblStylePr w:type="band1Horz">
      <w:pPr>
        <w:snapToGrid/>
      </w:pPr>
      <w:rPr>
        <w:rFonts w:ascii="Arial" w:hAnsi="Arial"/>
        <w:color w:val="404040"/>
        <w:sz w:val="22"/>
      </w:rPr>
      <w:tblPr/>
      <w:tcPr>
        <w:tcBorders>
          <w:top w:val="single" w:sz="4" w:space="0" w:color="000000" w:themeColor="text1"/>
          <w:bottom w:val="single" w:sz="4" w:space="0" w:color="000000" w:themeColor="tex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1">
    <w:name w:val="List Table 3 - Accent 1"/>
    <w:basedOn w:val="a1"/>
    <w:uiPriority w:val="99"/>
    <w:qFormat/>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4F81BD" w:themeColor="accent1"/>
          <w:right w:val="single" w:sz="4" w:space="0" w:color="4F81BD" w:themeColor="accent1"/>
        </w:tcBorders>
      </w:tcPr>
    </w:tblStylePr>
    <w:tblStylePr w:type="band2Vert">
      <w:pPr>
        <w:snapToGrid/>
      </w:pPr>
    </w:tblStylePr>
    <w:tblStylePr w:type="band1Horz">
      <w:pPr>
        <w:snapToGrid/>
      </w:pPr>
      <w:rPr>
        <w:rFonts w:ascii="Arial" w:hAnsi="Arial"/>
        <w:color w:val="404040"/>
        <w:sz w:val="22"/>
      </w:rPr>
      <w:tblPr/>
      <w:tcPr>
        <w:tcBorders>
          <w:top w:val="single" w:sz="4" w:space="0" w:color="4F81BD" w:themeColor="accent1"/>
          <w:bottom w:val="single" w:sz="4" w:space="0" w:color="4F81BD" w:themeColor="accent1"/>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2">
    <w:name w:val="List Table 3 - Accent 2"/>
    <w:basedOn w:val="a1"/>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pPr>
        <w:snapToGrid/>
      </w:pPr>
      <w:rPr>
        <w:rFonts w:ascii="Arial" w:hAnsi="Arial"/>
        <w:b/>
        <w:color w:val="FFFFFF"/>
        <w:sz w:val="22"/>
      </w:rPr>
      <w:tblPr/>
      <w:tcPr>
        <w:shd w:val="clear" w:color="auto" w:fill="D99695" w:themeFill="accent2" w:themeFillTint="97"/>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2Vert">
      <w:pPr>
        <w:snapToGrid/>
      </w:pPr>
    </w:tblStylePr>
    <w:tblStylePr w:type="band1Horz">
      <w:pPr>
        <w:snapToGrid/>
      </w:pPr>
      <w:rPr>
        <w:rFonts w:ascii="Arial" w:hAnsi="Arial"/>
        <w:color w:val="404040"/>
        <w:sz w:val="22"/>
      </w:rPr>
      <w:tblPr/>
      <w:tcPr>
        <w:tcBorders>
          <w:top w:val="single" w:sz="4" w:space="0" w:color="D99695" w:themeColor="accent2" w:themeTint="97"/>
          <w:bottom w:val="single" w:sz="4" w:space="0" w:color="D99695" w:themeColor="accent2" w:themeTint="9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3">
    <w:name w:val="List Table 3 - Accent 3"/>
    <w:basedOn w:val="a1"/>
    <w:uiPriority w:val="99"/>
    <w:qFormat/>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pPr>
        <w:snapToGrid/>
      </w:pPr>
      <w:rPr>
        <w:rFonts w:ascii="Arial" w:hAnsi="Arial"/>
        <w:b/>
        <w:color w:val="FFFFFF"/>
        <w:sz w:val="22"/>
      </w:rPr>
      <w:tblPr/>
      <w:tcPr>
        <w:shd w:val="clear" w:color="auto" w:fill="C3D69B" w:themeFill="accent3"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2Vert">
      <w:pPr>
        <w:snapToGrid/>
      </w:pPr>
    </w:tblStylePr>
    <w:tblStylePr w:type="band1Horz">
      <w:pPr>
        <w:snapToGrid/>
      </w:pPr>
      <w:rPr>
        <w:rFonts w:ascii="Arial" w:hAnsi="Arial"/>
        <w:color w:val="404040"/>
        <w:sz w:val="22"/>
      </w:rPr>
      <w:tblPr/>
      <w:tcPr>
        <w:tcBorders>
          <w:top w:val="single" w:sz="4" w:space="0" w:color="C3D69B" w:themeColor="accent3" w:themeTint="98"/>
          <w:bottom w:val="single" w:sz="4" w:space="0" w:color="C3D69B" w:themeColor="accent3" w:themeTint="98"/>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4">
    <w:name w:val="List Table 3 - Accent 4"/>
    <w:basedOn w:val="a1"/>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pPr>
        <w:snapToGrid/>
      </w:pPr>
      <w:rPr>
        <w:rFonts w:ascii="Arial" w:hAnsi="Arial"/>
        <w:b/>
        <w:color w:val="FFFFFF"/>
        <w:sz w:val="22"/>
      </w:rPr>
      <w:tblPr/>
      <w:tcPr>
        <w:shd w:val="clear" w:color="auto" w:fill="B2A1C6" w:themeFill="accent4"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2Vert">
      <w:pPr>
        <w:snapToGrid/>
      </w:pPr>
    </w:tblStylePr>
    <w:tblStylePr w:type="band1Horz">
      <w:pPr>
        <w:snapToGrid/>
      </w:pPr>
      <w:rPr>
        <w:rFonts w:ascii="Arial" w:hAnsi="Arial"/>
        <w:color w:val="404040"/>
        <w:sz w:val="22"/>
      </w:rPr>
      <w:tblPr/>
      <w:tcPr>
        <w:tcBorders>
          <w:top w:val="single" w:sz="4" w:space="0" w:color="B2A1C6" w:themeColor="accent4" w:themeTint="9A"/>
          <w:bottom w:val="single" w:sz="4" w:space="0" w:color="B2A1C6" w:themeColor="accent4" w:themeTint="9A"/>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5">
    <w:name w:val="List Table 3 - Accent 5"/>
    <w:basedOn w:val="a1"/>
    <w:uiPriority w:val="99"/>
    <w:qFormat/>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pPr>
        <w:snapToGrid/>
      </w:pPr>
      <w:rPr>
        <w:rFonts w:ascii="Arial" w:hAnsi="Arial"/>
        <w:b/>
        <w:color w:val="FFFFFF"/>
        <w:sz w:val="22"/>
      </w:rPr>
      <w:tblPr/>
      <w:tcPr>
        <w:shd w:val="clear" w:color="auto" w:fill="92CCDC" w:themeFill="accent5" w:themeFillTint="9A"/>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2Vert">
      <w:pPr>
        <w:snapToGrid/>
      </w:pPr>
    </w:tblStylePr>
    <w:tblStylePr w:type="band1Horz">
      <w:pPr>
        <w:snapToGrid/>
      </w:pPr>
      <w:rPr>
        <w:rFonts w:ascii="Arial" w:hAnsi="Arial"/>
        <w:color w:val="404040"/>
        <w:sz w:val="22"/>
      </w:rPr>
      <w:tblPr/>
      <w:tcPr>
        <w:tcBorders>
          <w:top w:val="single" w:sz="4" w:space="0" w:color="92CCDC" w:themeColor="accent5" w:themeTint="9A"/>
          <w:bottom w:val="single" w:sz="4" w:space="0" w:color="92CCDC" w:themeColor="accent5" w:themeTint="9A"/>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3-Accent6">
    <w:name w:val="List Table 3 - Accent 6"/>
    <w:basedOn w:val="a1"/>
    <w:uiPriority w:val="99"/>
    <w:qFormat/>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pPr>
        <w:snapToGrid/>
      </w:pPr>
      <w:rPr>
        <w:rFonts w:ascii="Arial" w:hAnsi="Arial"/>
        <w:b/>
        <w:color w:val="FFFFFF"/>
        <w:sz w:val="22"/>
      </w:rPr>
      <w:tblPr/>
      <w:tcPr>
        <w:shd w:val="clear" w:color="auto" w:fill="FAC090" w:themeFill="accent6" w:themeFillTint="98"/>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2Vert">
      <w:pPr>
        <w:snapToGrid/>
      </w:pPr>
    </w:tblStylePr>
    <w:tblStylePr w:type="band1Horz">
      <w:pPr>
        <w:snapToGrid/>
      </w:pPr>
      <w:rPr>
        <w:rFonts w:ascii="Arial" w:hAnsi="Arial"/>
        <w:color w:val="404040"/>
        <w:sz w:val="22"/>
      </w:rPr>
      <w:tblPr/>
      <w:tcPr>
        <w:tcBorders>
          <w:top w:val="single" w:sz="4" w:space="0" w:color="FAC090" w:themeColor="accent6" w:themeTint="98"/>
          <w:bottom w:val="single" w:sz="4" w:space="0" w:color="FAC090" w:themeColor="accent6" w:themeTint="98"/>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411">
    <w:name w:val="清单表 41"/>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pPr>
        <w:snapToGrid/>
      </w:pPr>
      <w:rPr>
        <w:rFonts w:ascii="Arial" w:hAnsi="Arial"/>
        <w:b/>
        <w:color w:val="FFFFFF"/>
        <w:sz w:val="22"/>
      </w:rPr>
      <w:tblPr/>
      <w:tcPr>
        <w:shd w:val="clear" w:color="auto" w:fill="000000" w:themeFill="tex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BFBFBF" w:themeFill="text1" w:themeFillTint="40"/>
      </w:tcPr>
    </w:tblStylePr>
    <w:tblStylePr w:type="band2Vert">
      <w:pPr>
        <w:snapToGrid/>
      </w:pPr>
    </w:tblStylePr>
    <w:tblStylePr w:type="band1Horz">
      <w:pPr>
        <w:snapToGrid/>
      </w:pPr>
      <w:rPr>
        <w:rFonts w:ascii="Arial" w:hAnsi="Arial"/>
        <w:color w:val="404040"/>
        <w:sz w:val="22"/>
      </w:rPr>
      <w:tblPr/>
      <w:tcPr>
        <w:shd w:val="clear" w:color="auto" w:fill="BFBFBF" w:themeFill="tex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1">
    <w:name w:val="List Table 4 - Accent 1"/>
    <w:basedOn w:val="a1"/>
    <w:uiPriority w:val="9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pPr>
        <w:snapToGrid/>
      </w:pPr>
      <w:rPr>
        <w:rFonts w:ascii="Arial" w:hAnsi="Arial"/>
        <w:b/>
        <w:color w:val="FFFFFF"/>
        <w:sz w:val="22"/>
      </w:rPr>
      <w:tblPr/>
      <w:tcPr>
        <w:shd w:val="clear" w:color="auto" w:fill="4F81BD" w:themeFill="accent1"/>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2DFEE" w:themeFill="accent1" w:themeFillTint="40"/>
      </w:tcPr>
    </w:tblStylePr>
    <w:tblStylePr w:type="band2Vert">
      <w:pPr>
        <w:snapToGrid/>
      </w:pPr>
    </w:tblStylePr>
    <w:tblStylePr w:type="band1Horz">
      <w:pPr>
        <w:snapToGrid/>
      </w:pPr>
      <w:rPr>
        <w:rFonts w:ascii="Arial" w:hAnsi="Arial"/>
        <w:color w:val="404040"/>
        <w:sz w:val="22"/>
      </w:rPr>
      <w:tblPr/>
      <w:tcPr>
        <w:shd w:val="clear" w:color="auto" w:fill="D2DFEE" w:themeFill="accent1"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2">
    <w:name w:val="List Table 4 - Accent 2"/>
    <w:basedOn w:val="a1"/>
    <w:uiPriority w:val="9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pPr>
        <w:snapToGrid/>
      </w:pPr>
      <w:rPr>
        <w:rFonts w:ascii="Arial" w:hAnsi="Arial"/>
        <w:b/>
        <w:color w:val="FFFFFF"/>
        <w:sz w:val="22"/>
      </w:rPr>
      <w:tblPr/>
      <w:tcPr>
        <w:shd w:val="clear" w:color="auto" w:fill="C0504D" w:themeFill="accent2"/>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FD2D2" w:themeFill="accent2" w:themeFillTint="40"/>
      </w:tcPr>
    </w:tblStylePr>
    <w:tblStylePr w:type="band2Vert">
      <w:pPr>
        <w:snapToGrid/>
      </w:pPr>
    </w:tblStylePr>
    <w:tblStylePr w:type="band1Horz">
      <w:pPr>
        <w:snapToGrid/>
      </w:pPr>
      <w:rPr>
        <w:rFonts w:ascii="Arial" w:hAnsi="Arial"/>
        <w:color w:val="404040"/>
        <w:sz w:val="22"/>
      </w:rPr>
      <w:tblPr/>
      <w:tcPr>
        <w:shd w:val="clear" w:color="auto" w:fill="EFD2D2" w:themeFill="accent2"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3">
    <w:name w:val="List Table 4 - Accent 3"/>
    <w:basedOn w:val="a1"/>
    <w:uiPriority w:val="9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pPr>
        <w:snapToGrid/>
      </w:pPr>
      <w:rPr>
        <w:rFonts w:ascii="Arial" w:hAnsi="Arial"/>
        <w:b/>
        <w:color w:val="FFFFFF"/>
        <w:sz w:val="22"/>
      </w:rPr>
      <w:tblPr/>
      <w:tcPr>
        <w:shd w:val="clear" w:color="auto" w:fill="9BBB59" w:themeFill="accent3"/>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E5EED5" w:themeFill="accent3" w:themeFillTint="40"/>
      </w:tcPr>
    </w:tblStylePr>
    <w:tblStylePr w:type="band2Vert">
      <w:pPr>
        <w:snapToGrid/>
      </w:pPr>
    </w:tblStylePr>
    <w:tblStylePr w:type="band1Horz">
      <w:pPr>
        <w:snapToGrid/>
      </w:pPr>
      <w:rPr>
        <w:rFonts w:ascii="Arial" w:hAnsi="Arial"/>
        <w:color w:val="404040"/>
        <w:sz w:val="22"/>
      </w:rPr>
      <w:tblPr/>
      <w:tcPr>
        <w:shd w:val="clear" w:color="auto" w:fill="E5EED5" w:themeFill="accent3"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4">
    <w:name w:val="List Table 4 - Accent 4"/>
    <w:basedOn w:val="a1"/>
    <w:uiPriority w:val="9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pPr>
        <w:snapToGrid/>
      </w:pPr>
      <w:rPr>
        <w:rFonts w:ascii="Arial" w:hAnsi="Arial"/>
        <w:b/>
        <w:color w:val="FFFFFF"/>
        <w:sz w:val="22"/>
      </w:rPr>
      <w:tblPr/>
      <w:tcPr>
        <w:shd w:val="clear" w:color="auto" w:fill="8064A2" w:themeFill="accent4"/>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FD8E7" w:themeFill="accent4" w:themeFillTint="40"/>
      </w:tcPr>
    </w:tblStylePr>
    <w:tblStylePr w:type="band2Vert">
      <w:pPr>
        <w:snapToGrid/>
      </w:pPr>
    </w:tblStylePr>
    <w:tblStylePr w:type="band1Horz">
      <w:pPr>
        <w:snapToGrid/>
      </w:pPr>
      <w:rPr>
        <w:rFonts w:ascii="Arial" w:hAnsi="Arial"/>
        <w:color w:val="404040"/>
        <w:sz w:val="22"/>
      </w:rPr>
      <w:tblPr/>
      <w:tcPr>
        <w:shd w:val="clear" w:color="auto" w:fill="DFD8E7" w:themeFill="accent4"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5">
    <w:name w:val="List Table 4 - Accent 5"/>
    <w:basedOn w:val="a1"/>
    <w:uiPriority w:val="9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pPr>
        <w:snapToGrid/>
      </w:pPr>
      <w:rPr>
        <w:rFonts w:ascii="Arial" w:hAnsi="Arial"/>
        <w:b/>
        <w:color w:val="FFFFFF"/>
        <w:sz w:val="22"/>
      </w:rPr>
      <w:tblPr/>
      <w:tcPr>
        <w:shd w:val="clear" w:color="auto" w:fill="4BACC6" w:themeFill="accent5"/>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D1EAF0" w:themeFill="accent5" w:themeFillTint="40"/>
      </w:tcPr>
    </w:tblStylePr>
    <w:tblStylePr w:type="band2Vert">
      <w:pPr>
        <w:snapToGrid/>
      </w:pPr>
    </w:tblStylePr>
    <w:tblStylePr w:type="band1Horz">
      <w:pPr>
        <w:snapToGrid/>
      </w:pPr>
      <w:rPr>
        <w:rFonts w:ascii="Arial" w:hAnsi="Arial"/>
        <w:color w:val="404040"/>
        <w:sz w:val="22"/>
      </w:rPr>
      <w:tblPr/>
      <w:tcPr>
        <w:shd w:val="clear" w:color="auto" w:fill="D1EAF0" w:themeFill="accent5"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4-Accent6">
    <w:name w:val="List Table 4 - Accent 6"/>
    <w:basedOn w:val="a1"/>
    <w:uiPriority w:val="9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pPr>
        <w:snapToGrid/>
      </w:pPr>
      <w:rPr>
        <w:rFonts w:ascii="Arial" w:hAnsi="Arial"/>
        <w:b/>
        <w:color w:val="FFFFFF"/>
        <w:sz w:val="22"/>
      </w:rPr>
      <w:tblPr/>
      <w:tcPr>
        <w:shd w:val="clear" w:color="auto" w:fill="F79646" w:themeFill="accent6"/>
      </w:tcPr>
    </w:tblStylePr>
    <w:tblStylePr w:type="lastRow">
      <w:pPr>
        <w:snapToGrid/>
      </w:pPr>
      <w:rPr>
        <w:b/>
        <w:color w:val="404040"/>
      </w:rPr>
    </w:tblStylePr>
    <w:tblStylePr w:type="firstCol">
      <w:pPr>
        <w:snapToGrid/>
      </w:pPr>
      <w:rPr>
        <w:b/>
        <w:color w:val="404040"/>
      </w:rPr>
    </w:tblStylePr>
    <w:tblStylePr w:type="lastCol">
      <w:pPr>
        <w:snapToGrid/>
      </w:pPr>
      <w:rPr>
        <w:b/>
        <w:color w:val="404040"/>
      </w:rPr>
    </w:tblStylePr>
    <w:tblStylePr w:type="band1Vert">
      <w:pPr>
        <w:snapToGrid/>
      </w:pPr>
      <w:rPr>
        <w:rFonts w:ascii="Arial" w:hAnsi="Arial"/>
        <w:color w:val="404040"/>
        <w:sz w:val="22"/>
      </w:rPr>
      <w:tblPr/>
      <w:tcPr>
        <w:shd w:val="clear" w:color="auto" w:fill="FDE4D0" w:themeFill="accent6" w:themeFillTint="40"/>
      </w:tcPr>
    </w:tblStylePr>
    <w:tblStylePr w:type="band2Vert">
      <w:pPr>
        <w:snapToGrid/>
      </w:pPr>
    </w:tblStylePr>
    <w:tblStylePr w:type="band1Horz">
      <w:pPr>
        <w:snapToGrid/>
      </w:pPr>
      <w:rPr>
        <w:rFonts w:ascii="Arial" w:hAnsi="Arial"/>
        <w:color w:val="404040"/>
        <w:sz w:val="22"/>
      </w:rPr>
      <w:tblPr/>
      <w:tcPr>
        <w:shd w:val="clear" w:color="auto" w:fill="FDE4D0" w:themeFill="accent6" w:themeFillTint="40"/>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511">
    <w:name w:val="清单表 5 深色1"/>
    <w:basedOn w:val="a1"/>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pPr>
        <w:snapToGrid/>
      </w:pPr>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pPr>
        <w:snapToGrid/>
      </w:pPr>
      <w:tblPr/>
      <w:tcPr>
        <w:tcBorders>
          <w:left w:val="single" w:sz="4" w:space="0" w:color="FFFFFF" w:themeColor="light1"/>
          <w:right w:val="single" w:sz="32" w:space="0" w:color="7F7F7F" w:themeColor="text1" w:themeTint="80"/>
        </w:tcBorders>
      </w:tcPr>
    </w:tblStylePr>
    <w:tblStylePr w:type="band1Vert">
      <w:pPr>
        <w:snapToGrid/>
      </w:pPr>
      <w:tblPr/>
      <w:tcPr>
        <w:tcBorders>
          <w:left w:val="single" w:sz="4" w:space="0" w:color="FFFFFF" w:themeColor="light1"/>
          <w:right w:val="single" w:sz="4" w:space="0" w:color="FFFFFF" w:themeColor="light1"/>
        </w:tcBorders>
        <w:shd w:val="clear" w:color="auto" w:fill="7F7F7F" w:themeFill="text1" w:themeFillTint="80"/>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7F7F7F" w:themeFill="text1" w:themeFillTint="80"/>
      </w:tcPr>
    </w:tblStylePr>
    <w:tblStylePr w:type="band2Horz">
      <w:pPr>
        <w:snapToGrid/>
      </w:pPr>
      <w:tblPr/>
      <w:tcPr>
        <w:tcBorders>
          <w:top w:val="single" w:sz="4" w:space="0" w:color="FFFFFF" w:themeColor="light1"/>
          <w:bottom w:val="single" w:sz="4" w:space="0" w:color="FFFFFF" w:themeColor="light1"/>
        </w:tcBorders>
        <w:shd w:val="clear" w:color="auto" w:fill="7F7F7F" w:themeFill="text1" w:themeFillTint="8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1">
    <w:name w:val="List Table 5 Dark - Accent 1"/>
    <w:basedOn w:val="a1"/>
    <w:uiPriority w:val="99"/>
    <w:qFormat/>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pPr>
        <w:snapToGrid/>
      </w:pPr>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pPr>
        <w:snapToGrid/>
      </w:pPr>
      <w:tblPr/>
      <w:tcPr>
        <w:tcBorders>
          <w:left w:val="single" w:sz="4" w:space="0" w:color="FFFFFF" w:themeColor="light1"/>
          <w:right w:val="single" w:sz="32" w:space="0" w:color="4F81BD" w:themeColor="accent1"/>
        </w:tcBorders>
      </w:tcPr>
    </w:tblStylePr>
    <w:tblStylePr w:type="band1Vert">
      <w:pPr>
        <w:snapToGrid/>
      </w:pPr>
      <w:tblPr/>
      <w:tcPr>
        <w:tcBorders>
          <w:left w:val="single" w:sz="4" w:space="0" w:color="FFFFFF" w:themeColor="light1"/>
          <w:right w:val="single" w:sz="4" w:space="0" w:color="FFFFFF" w:themeColor="light1"/>
        </w:tcBorders>
        <w:shd w:val="clear" w:color="auto" w:fill="4F81BD" w:themeFill="accent1"/>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4F81BD" w:themeFill="accent1"/>
      </w:tcPr>
    </w:tblStylePr>
    <w:tblStylePr w:type="band2Horz">
      <w:pPr>
        <w:snapToGrid/>
      </w:pPr>
      <w:tblPr/>
      <w:tcPr>
        <w:tcBorders>
          <w:top w:val="single" w:sz="4" w:space="0" w:color="FFFFFF" w:themeColor="light1"/>
          <w:bottom w:val="single" w:sz="4" w:space="0" w:color="FFFFFF" w:themeColor="light1"/>
        </w:tcBorders>
        <w:shd w:val="clear" w:color="auto" w:fill="4F81BD" w:themeFill="accent1"/>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2">
    <w:name w:val="List Table 5 Dark - Accent 2"/>
    <w:basedOn w:val="a1"/>
    <w:uiPriority w:val="99"/>
    <w:qFormat/>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pPr>
        <w:snapToGrid/>
      </w:pPr>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pPr>
        <w:snapToGrid/>
      </w:pPr>
      <w:tblPr/>
      <w:tcPr>
        <w:tcBorders>
          <w:left w:val="single" w:sz="4" w:space="0" w:color="FFFFFF" w:themeColor="light1"/>
          <w:right w:val="single" w:sz="32" w:space="0" w:color="D99695" w:themeColor="accent2" w:themeTint="97"/>
        </w:tcBorders>
      </w:tcPr>
    </w:tblStylePr>
    <w:tblStylePr w:type="band1Vert">
      <w:pPr>
        <w:snapToGrid/>
      </w:pPr>
      <w:tblPr/>
      <w:tcPr>
        <w:tcBorders>
          <w:left w:val="single" w:sz="4" w:space="0" w:color="FFFFFF" w:themeColor="light1"/>
          <w:right w:val="single" w:sz="4" w:space="0" w:color="FFFFFF" w:themeColor="light1"/>
        </w:tcBorders>
        <w:shd w:val="clear" w:color="auto" w:fill="D99695" w:themeFill="accent2" w:themeFillTint="97"/>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D99695" w:themeFill="accent2" w:themeFillTint="97"/>
      </w:tcPr>
    </w:tblStylePr>
    <w:tblStylePr w:type="band2Horz">
      <w:pPr>
        <w:snapToGrid/>
      </w:pPr>
      <w:tblPr/>
      <w:tcPr>
        <w:tcBorders>
          <w:top w:val="single" w:sz="4" w:space="0" w:color="FFFFFF" w:themeColor="light1"/>
          <w:bottom w:val="single" w:sz="4" w:space="0" w:color="FFFFFF" w:themeColor="light1"/>
        </w:tcBorders>
        <w:shd w:val="clear" w:color="auto" w:fill="D99695" w:themeFill="accent2" w:themeFillTint="97"/>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3">
    <w:name w:val="List Table 5 Dark - Accent 3"/>
    <w:basedOn w:val="a1"/>
    <w:uiPriority w:val="99"/>
    <w:qFormat/>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pPr>
        <w:snapToGrid/>
      </w:pPr>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pPr>
        <w:snapToGrid/>
      </w:pPr>
      <w:tblPr/>
      <w:tcPr>
        <w:tcBorders>
          <w:left w:val="single" w:sz="4" w:space="0" w:color="FFFFFF" w:themeColor="light1"/>
          <w:right w:val="single" w:sz="32" w:space="0" w:color="C3D69B" w:themeColor="accent3" w:themeTint="98"/>
        </w:tcBorders>
      </w:tcPr>
    </w:tblStylePr>
    <w:tblStylePr w:type="band1Vert">
      <w:pPr>
        <w:snapToGrid/>
      </w:pPr>
      <w:tblPr/>
      <w:tcPr>
        <w:tcBorders>
          <w:left w:val="single" w:sz="4" w:space="0" w:color="FFFFFF" w:themeColor="light1"/>
          <w:right w:val="single" w:sz="4" w:space="0" w:color="FFFFFF" w:themeColor="light1"/>
        </w:tcBorders>
        <w:shd w:val="clear" w:color="auto" w:fill="C3D69B" w:themeFill="accent3" w:themeFillTint="98"/>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C3D69B" w:themeFill="accent3" w:themeFillTint="98"/>
      </w:tcPr>
    </w:tblStylePr>
    <w:tblStylePr w:type="band2Horz">
      <w:pPr>
        <w:snapToGrid/>
      </w:pPr>
      <w:tblPr/>
      <w:tcPr>
        <w:tcBorders>
          <w:top w:val="single" w:sz="4" w:space="0" w:color="FFFFFF" w:themeColor="light1"/>
          <w:bottom w:val="single" w:sz="4" w:space="0" w:color="FFFFFF" w:themeColor="light1"/>
        </w:tcBorders>
        <w:shd w:val="clear" w:color="auto" w:fill="C3D69B" w:themeFill="accent3"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4">
    <w:name w:val="List Table 5 Dark - Accent 4"/>
    <w:basedOn w:val="a1"/>
    <w:uiPriority w:val="99"/>
    <w:qFormat/>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pPr>
        <w:snapToGrid/>
      </w:pPr>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pPr>
        <w:snapToGrid/>
      </w:pPr>
      <w:tblPr/>
      <w:tcPr>
        <w:tcBorders>
          <w:left w:val="single" w:sz="4" w:space="0" w:color="FFFFFF" w:themeColor="light1"/>
          <w:right w:val="single" w:sz="32" w:space="0" w:color="B2A1C6" w:themeColor="accent4" w:themeTint="9A"/>
        </w:tcBorders>
      </w:tcPr>
    </w:tblStylePr>
    <w:tblStylePr w:type="band1Vert">
      <w:pPr>
        <w:snapToGrid/>
      </w:pPr>
      <w:tblPr/>
      <w:tcPr>
        <w:tcBorders>
          <w:left w:val="single" w:sz="4" w:space="0" w:color="FFFFFF" w:themeColor="light1"/>
          <w:right w:val="single" w:sz="4" w:space="0" w:color="FFFFFF" w:themeColor="light1"/>
        </w:tcBorders>
        <w:shd w:val="clear" w:color="auto" w:fill="B2A1C6" w:themeFill="accent4" w:themeFillTint="9A"/>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B2A1C6" w:themeFill="accent4" w:themeFillTint="9A"/>
      </w:tcPr>
    </w:tblStylePr>
    <w:tblStylePr w:type="band2Horz">
      <w:pPr>
        <w:snapToGrid/>
      </w:pPr>
      <w:tblPr/>
      <w:tcPr>
        <w:tcBorders>
          <w:top w:val="single" w:sz="4" w:space="0" w:color="FFFFFF" w:themeColor="light1"/>
          <w:bottom w:val="single" w:sz="4" w:space="0" w:color="FFFFFF" w:themeColor="light1"/>
        </w:tcBorders>
        <w:shd w:val="clear" w:color="auto" w:fill="B2A1C6" w:themeFill="accent4"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5">
    <w:name w:val="List Table 5 Dark - Accent 5"/>
    <w:basedOn w:val="a1"/>
    <w:uiPriority w:val="99"/>
    <w:qFormat/>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pPr>
        <w:snapToGrid/>
      </w:pPr>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pPr>
        <w:snapToGrid/>
      </w:pPr>
      <w:tblPr/>
      <w:tcPr>
        <w:tcBorders>
          <w:left w:val="single" w:sz="4" w:space="0" w:color="FFFFFF" w:themeColor="light1"/>
          <w:right w:val="single" w:sz="32" w:space="0" w:color="92CCDC" w:themeColor="accent5" w:themeTint="9A"/>
        </w:tcBorders>
      </w:tcPr>
    </w:tblStylePr>
    <w:tblStylePr w:type="band1Vert">
      <w:pPr>
        <w:snapToGrid/>
      </w:pPr>
      <w:tblPr/>
      <w:tcPr>
        <w:tcBorders>
          <w:left w:val="single" w:sz="4" w:space="0" w:color="FFFFFF" w:themeColor="light1"/>
          <w:right w:val="single" w:sz="4" w:space="0" w:color="FFFFFF" w:themeColor="light1"/>
        </w:tcBorders>
        <w:shd w:val="clear" w:color="auto" w:fill="92CCDC" w:themeFill="accent5" w:themeFillTint="9A"/>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92CCDC" w:themeFill="accent5" w:themeFillTint="9A"/>
      </w:tcPr>
    </w:tblStylePr>
    <w:tblStylePr w:type="band2Horz">
      <w:pPr>
        <w:snapToGrid/>
      </w:pPr>
      <w:tblPr/>
      <w:tcPr>
        <w:tcBorders>
          <w:top w:val="single" w:sz="4" w:space="0" w:color="FFFFFF" w:themeColor="light1"/>
          <w:bottom w:val="single" w:sz="4" w:space="0" w:color="FFFFFF" w:themeColor="light1"/>
        </w:tcBorders>
        <w:shd w:val="clear" w:color="auto" w:fill="92CCDC" w:themeFill="accent5" w:themeFillTint="9A"/>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5Dark-Accent6">
    <w:name w:val="List Table 5 Dark - Accent 6"/>
    <w:basedOn w:val="a1"/>
    <w:uiPriority w:val="99"/>
    <w:qFormat/>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pPr>
        <w:snapToGrid/>
      </w:pPr>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pPr>
        <w:snapToGrid/>
      </w:pPr>
      <w:rPr>
        <w:rFonts w:ascii="Arial" w:hAnsi="Arial"/>
        <w:b/>
        <w:color w:val="FFFFFF" w:themeColor="light1"/>
        <w:sz w:val="22"/>
      </w:rPr>
    </w:tblStylePr>
    <w:tblStylePr w:type="firstCol">
      <w:pPr>
        <w:snapToGrid/>
      </w:pPr>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pPr>
        <w:snapToGrid/>
      </w:pPr>
      <w:tblPr/>
      <w:tcPr>
        <w:tcBorders>
          <w:left w:val="single" w:sz="4" w:space="0" w:color="FFFFFF" w:themeColor="light1"/>
          <w:right w:val="single" w:sz="32" w:space="0" w:color="FAC090" w:themeColor="accent6" w:themeTint="98"/>
        </w:tcBorders>
      </w:tcPr>
    </w:tblStylePr>
    <w:tblStylePr w:type="band1Vert">
      <w:pPr>
        <w:snapToGrid/>
      </w:pPr>
      <w:tblPr/>
      <w:tcPr>
        <w:tcBorders>
          <w:left w:val="single" w:sz="4" w:space="0" w:color="FFFFFF" w:themeColor="light1"/>
          <w:right w:val="single" w:sz="4" w:space="0" w:color="FFFFFF" w:themeColor="light1"/>
        </w:tcBorders>
        <w:shd w:val="clear" w:color="auto" w:fill="FAC090" w:themeFill="accent6" w:themeFillTint="98"/>
      </w:tcPr>
    </w:tblStylePr>
    <w:tblStylePr w:type="band2Vert">
      <w:pPr>
        <w:snapToGrid/>
      </w:pPr>
      <w:tblPr/>
      <w:tcPr>
        <w:tcBorders>
          <w:left w:val="single" w:sz="4" w:space="0" w:color="FFFFFF" w:themeColor="light1"/>
          <w:right w:val="single" w:sz="4" w:space="0" w:color="FFFFFF" w:themeColor="light1"/>
        </w:tcBorders>
      </w:tcPr>
    </w:tblStylePr>
    <w:tblStylePr w:type="band1Horz">
      <w:pPr>
        <w:snapToGrid/>
      </w:pPr>
      <w:tblPr/>
      <w:tcPr>
        <w:tcBorders>
          <w:top w:val="single" w:sz="4" w:space="0" w:color="FFFFFF" w:themeColor="light1"/>
          <w:bottom w:val="single" w:sz="4" w:space="0" w:color="FFFFFF" w:themeColor="light1"/>
        </w:tcBorders>
        <w:shd w:val="clear" w:color="auto" w:fill="FAC090" w:themeFill="accent6" w:themeFillTint="98"/>
      </w:tcPr>
    </w:tblStylePr>
    <w:tblStylePr w:type="band2Horz">
      <w:pPr>
        <w:snapToGrid/>
      </w:pPr>
      <w:tblPr/>
      <w:tcPr>
        <w:tcBorders>
          <w:top w:val="single" w:sz="4" w:space="0" w:color="FFFFFF" w:themeColor="light1"/>
          <w:bottom w:val="single" w:sz="4" w:space="0" w:color="FFFFFF" w:themeColor="light1"/>
        </w:tcBorders>
        <w:shd w:val="clear" w:color="auto" w:fill="FAC090" w:themeFill="accent6" w:themeFillTint="98"/>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610">
    <w:name w:val="清单表 6 彩色1"/>
    <w:basedOn w:val="a1"/>
    <w:uiPriority w:val="99"/>
    <w:qFormat/>
    <w:tblPr>
      <w:tblBorders>
        <w:top w:val="single" w:sz="4" w:space="0" w:color="7F7F7F" w:themeColor="text1" w:themeTint="80"/>
        <w:bottom w:val="single" w:sz="4" w:space="0" w:color="7F7F7F" w:themeColor="text1" w:themeTint="80"/>
      </w:tblBorders>
    </w:tblPr>
    <w:tblStylePr w:type="firstRow">
      <w:pPr>
        <w:snapToGrid/>
      </w:pPr>
      <w:rPr>
        <w:b/>
        <w:color w:val="000000" w:themeColor="text1"/>
      </w:rPr>
      <w:tblPr/>
      <w:tcPr>
        <w:tcBorders>
          <w:bottom w:val="single" w:sz="4" w:space="0" w:color="7F7F7F" w:themeColor="text1" w:themeTint="80"/>
        </w:tcBorders>
      </w:tcPr>
    </w:tblStylePr>
    <w:tblStylePr w:type="lastRow">
      <w:pPr>
        <w:snapToGrid/>
      </w:pPr>
      <w:rPr>
        <w:b/>
        <w:color w:val="000000" w:themeColor="text1"/>
      </w:rPr>
      <w:tblPr/>
      <w:tcPr>
        <w:tcBorders>
          <w:top w:val="single" w:sz="4" w:space="0" w:color="7F7F7F" w:themeColor="text1" w:themeTint="80"/>
        </w:tcBorders>
      </w:tcPr>
    </w:tblStylePr>
    <w:tblStylePr w:type="firstCol">
      <w:pPr>
        <w:snapToGrid/>
      </w:pPr>
      <w:rPr>
        <w:b/>
        <w:color w:val="000000" w:themeColor="text1"/>
      </w:rPr>
    </w:tblStylePr>
    <w:tblStylePr w:type="lastCol">
      <w:pPr>
        <w:snapToGrid/>
      </w:pPr>
      <w:rPr>
        <w:b/>
        <w:color w:val="000000" w:themeColor="text1"/>
      </w:rPr>
    </w:tblStylePr>
    <w:tblStylePr w:type="band1Vert">
      <w:pPr>
        <w:snapToGrid/>
      </w:pPr>
      <w:tblPr/>
      <w:tcPr>
        <w:shd w:val="clear" w:color="auto" w:fill="BFBFBF" w:themeFill="text1" w:themeFillTint="40"/>
      </w:tcPr>
    </w:tblStylePr>
    <w:tblStylePr w:type="band2Vert">
      <w:pPr>
        <w:snapToGrid/>
      </w:pPr>
    </w:tblStylePr>
    <w:tblStylePr w:type="band1Horz">
      <w:pPr>
        <w:snapToGrid/>
      </w:pPr>
      <w:rPr>
        <w:rFonts w:ascii="Arial" w:hAnsi="Arial"/>
        <w:color w:val="000000" w:themeColor="text1"/>
        <w:sz w:val="22"/>
      </w:rPr>
      <w:tblPr/>
      <w:tcPr>
        <w:shd w:val="clear" w:color="auto" w:fill="BFBFBF" w:themeFill="text1" w:themeFillTint="40"/>
      </w:tcPr>
    </w:tblStylePr>
    <w:tblStylePr w:type="band2Horz">
      <w:pPr>
        <w:snapToGrid/>
      </w:pPr>
      <w:rPr>
        <w:rFonts w:ascii="Arial" w:hAnsi="Arial"/>
        <w:color w:val="000000" w:themeColor="text1"/>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1">
    <w:name w:val="List Table 6 Colorful - Accent 1"/>
    <w:basedOn w:val="a1"/>
    <w:uiPriority w:val="99"/>
    <w:qFormat/>
    <w:tblPr>
      <w:tblBorders>
        <w:top w:val="single" w:sz="4" w:space="0" w:color="4F81BD" w:themeColor="accent1"/>
        <w:bottom w:val="single" w:sz="4" w:space="0" w:color="4F81BD" w:themeColor="accent1"/>
      </w:tblBorders>
    </w:tblPr>
    <w:tblStylePr w:type="firstRow">
      <w:pPr>
        <w:snapToGrid/>
      </w:pPr>
      <w:rPr>
        <w:b/>
        <w:color w:val="2A4A70" w:themeColor="accent1" w:themeShade="94"/>
      </w:rPr>
      <w:tblPr/>
      <w:tcPr>
        <w:tcBorders>
          <w:bottom w:val="single" w:sz="4" w:space="0" w:color="4F81BD" w:themeColor="accent1"/>
        </w:tcBorders>
      </w:tcPr>
    </w:tblStylePr>
    <w:tblStylePr w:type="lastRow">
      <w:pPr>
        <w:snapToGrid/>
      </w:pPr>
      <w:rPr>
        <w:b/>
        <w:color w:val="2A4A70" w:themeColor="accent1" w:themeShade="94"/>
      </w:rPr>
      <w:tblPr/>
      <w:tcPr>
        <w:tcBorders>
          <w:top w:val="single" w:sz="4" w:space="0" w:color="4F81BD" w:themeColor="accent1"/>
        </w:tcBorders>
      </w:tcPr>
    </w:tblStylePr>
    <w:tblStylePr w:type="firstCol">
      <w:pPr>
        <w:snapToGrid/>
      </w:pPr>
      <w:rPr>
        <w:b/>
        <w:color w:val="2A4A70" w:themeColor="accent1" w:themeShade="94"/>
      </w:rPr>
    </w:tblStylePr>
    <w:tblStylePr w:type="lastCol">
      <w:pPr>
        <w:snapToGrid/>
      </w:pPr>
      <w:rPr>
        <w:b/>
        <w:color w:val="2A4A70" w:themeColor="accent1" w:themeShade="94"/>
      </w:rPr>
    </w:tblStylePr>
    <w:tblStylePr w:type="band1Vert">
      <w:pPr>
        <w:snapToGrid/>
      </w:pPr>
      <w:tblPr/>
      <w:tcPr>
        <w:shd w:val="clear" w:color="auto" w:fill="D2DFEE" w:themeFill="accent1" w:themeFillTint="40"/>
      </w:tcPr>
    </w:tblStylePr>
    <w:tblStylePr w:type="band2Vert">
      <w:pPr>
        <w:snapToGrid/>
      </w:pPr>
    </w:tblStylePr>
    <w:tblStylePr w:type="band1Horz">
      <w:pPr>
        <w:snapToGrid/>
      </w:pPr>
      <w:rPr>
        <w:rFonts w:ascii="Arial" w:hAnsi="Arial"/>
        <w:color w:val="2A4A70" w:themeColor="accent1" w:themeShade="94"/>
        <w:sz w:val="22"/>
      </w:rPr>
      <w:tblPr/>
      <w:tcPr>
        <w:shd w:val="clear" w:color="auto" w:fill="D2DFEE" w:themeFill="accent1" w:themeFillTint="40"/>
      </w:tcPr>
    </w:tblStylePr>
    <w:tblStylePr w:type="band2Horz">
      <w:pPr>
        <w:snapToGrid/>
      </w:pPr>
      <w:rPr>
        <w:rFonts w:ascii="Arial" w:hAnsi="Arial"/>
        <w:color w:val="2A4A70"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2">
    <w:name w:val="List Table 6 Colorful - Accent 2"/>
    <w:basedOn w:val="a1"/>
    <w:uiPriority w:val="99"/>
    <w:qFormat/>
    <w:tblPr>
      <w:tblBorders>
        <w:top w:val="single" w:sz="4" w:space="0" w:color="D99695" w:themeColor="accent2" w:themeTint="97"/>
        <w:bottom w:val="single" w:sz="4" w:space="0" w:color="D99695" w:themeColor="accent2" w:themeTint="97"/>
      </w:tblBorders>
    </w:tblPr>
    <w:tblStylePr w:type="firstRow">
      <w:pPr>
        <w:snapToGrid/>
      </w:pPr>
      <w:rPr>
        <w:b/>
        <w:color w:val="DA9796" w:themeColor="accent2" w:themeTint="96"/>
      </w:rPr>
      <w:tblPr/>
      <w:tcPr>
        <w:tcBorders>
          <w:bottom w:val="single" w:sz="4" w:space="0" w:color="D99695" w:themeColor="accent2" w:themeTint="97"/>
        </w:tcBorders>
      </w:tcPr>
    </w:tblStylePr>
    <w:tblStylePr w:type="lastRow">
      <w:pPr>
        <w:snapToGrid/>
      </w:pPr>
      <w:rPr>
        <w:b/>
        <w:color w:val="DA9796" w:themeColor="accent2" w:themeTint="96"/>
      </w:rPr>
      <w:tblPr/>
      <w:tcPr>
        <w:tcBorders>
          <w:top w:val="single" w:sz="4" w:space="0" w:color="D99695" w:themeColor="accent2" w:themeTint="97"/>
        </w:tcBorders>
      </w:tcPr>
    </w:tblStylePr>
    <w:tblStylePr w:type="firstCol">
      <w:pPr>
        <w:snapToGrid/>
      </w:pPr>
      <w:rPr>
        <w:b/>
        <w:color w:val="DA9796" w:themeColor="accent2" w:themeTint="96"/>
      </w:rPr>
    </w:tblStylePr>
    <w:tblStylePr w:type="lastCol">
      <w:pPr>
        <w:snapToGrid/>
      </w:pPr>
      <w:rPr>
        <w:b/>
        <w:color w:val="DA9796" w:themeColor="accent2" w:themeTint="96"/>
      </w:rPr>
    </w:tblStylePr>
    <w:tblStylePr w:type="band1Vert">
      <w:pPr>
        <w:snapToGrid/>
      </w:pPr>
      <w:tblPr/>
      <w:tcPr>
        <w:shd w:val="clear" w:color="auto" w:fill="EFD2D2" w:themeFill="accent2" w:themeFillTint="40"/>
      </w:tcPr>
    </w:tblStylePr>
    <w:tblStylePr w:type="band2Vert">
      <w:pPr>
        <w:snapToGrid/>
      </w:pPr>
    </w:tblStylePr>
    <w:tblStylePr w:type="band1Horz">
      <w:pPr>
        <w:snapToGrid/>
      </w:pPr>
      <w:rPr>
        <w:rFonts w:ascii="Arial" w:hAnsi="Arial"/>
        <w:color w:val="DA9796" w:themeColor="accent2" w:themeTint="96"/>
        <w:sz w:val="22"/>
      </w:rPr>
      <w:tblPr/>
      <w:tcPr>
        <w:shd w:val="clear" w:color="auto" w:fill="EFD2D2" w:themeFill="accent2" w:themeFillTint="40"/>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3">
    <w:name w:val="List Table 6 Colorful - Accent 3"/>
    <w:basedOn w:val="a1"/>
    <w:uiPriority w:val="99"/>
    <w:qFormat/>
    <w:tblPr>
      <w:tblBorders>
        <w:top w:val="single" w:sz="4" w:space="0" w:color="C3D69B" w:themeColor="accent3" w:themeTint="98"/>
        <w:bottom w:val="single" w:sz="4" w:space="0" w:color="C3D69B" w:themeColor="accent3" w:themeTint="98"/>
      </w:tblBorders>
    </w:tblPr>
    <w:tblStylePr w:type="firstRow">
      <w:pPr>
        <w:snapToGrid/>
      </w:pPr>
      <w:rPr>
        <w:b/>
        <w:color w:val="C2D69B" w:themeColor="accent3" w:themeTint="99"/>
      </w:rPr>
      <w:tblPr/>
      <w:tcPr>
        <w:tcBorders>
          <w:bottom w:val="single" w:sz="4" w:space="0" w:color="C3D69B" w:themeColor="accent3" w:themeTint="98"/>
        </w:tcBorders>
      </w:tcPr>
    </w:tblStylePr>
    <w:tblStylePr w:type="lastRow">
      <w:pPr>
        <w:snapToGrid/>
      </w:pPr>
      <w:rPr>
        <w:b/>
        <w:color w:val="C2D69B" w:themeColor="accent3" w:themeTint="99"/>
      </w:rPr>
      <w:tblPr/>
      <w:tcPr>
        <w:tcBorders>
          <w:top w:val="single" w:sz="4" w:space="0" w:color="C3D69B" w:themeColor="accent3" w:themeTint="98"/>
        </w:tcBorders>
      </w:tcPr>
    </w:tblStylePr>
    <w:tblStylePr w:type="firstCol">
      <w:pPr>
        <w:snapToGrid/>
      </w:pPr>
      <w:rPr>
        <w:b/>
        <w:color w:val="C2D69B" w:themeColor="accent3" w:themeTint="99"/>
      </w:rPr>
    </w:tblStylePr>
    <w:tblStylePr w:type="lastCol">
      <w:pPr>
        <w:snapToGrid/>
      </w:pPr>
      <w:rPr>
        <w:b/>
        <w:color w:val="C2D69B" w:themeColor="accent3" w:themeTint="99"/>
      </w:rPr>
    </w:tblStylePr>
    <w:tblStylePr w:type="band1Vert">
      <w:pPr>
        <w:snapToGrid/>
      </w:pPr>
      <w:tblPr/>
      <w:tcPr>
        <w:shd w:val="clear" w:color="auto" w:fill="E5EED5" w:themeFill="accent3" w:themeFillTint="40"/>
      </w:tcPr>
    </w:tblStylePr>
    <w:tblStylePr w:type="band2Vert">
      <w:pPr>
        <w:snapToGrid/>
      </w:pPr>
    </w:tblStylePr>
    <w:tblStylePr w:type="band1Horz">
      <w:pPr>
        <w:snapToGrid/>
      </w:pPr>
      <w:rPr>
        <w:rFonts w:ascii="Arial" w:hAnsi="Arial"/>
        <w:color w:val="C2D69B" w:themeColor="accent3" w:themeTint="99"/>
        <w:sz w:val="22"/>
      </w:rPr>
      <w:tblPr/>
      <w:tcPr>
        <w:shd w:val="clear" w:color="auto" w:fill="E5EED5" w:themeFill="accent3" w:themeFillTint="40"/>
      </w:tcPr>
    </w:tblStylePr>
    <w:tblStylePr w:type="band2Horz">
      <w:pPr>
        <w:snapToGrid/>
      </w:pPr>
      <w:rPr>
        <w:rFonts w:ascii="Arial" w:hAnsi="Arial"/>
        <w:color w:val="C2D69B" w:themeColor="accent3"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4">
    <w:name w:val="List Table 6 Colorful - Accent 4"/>
    <w:basedOn w:val="a1"/>
    <w:uiPriority w:val="99"/>
    <w:qFormat/>
    <w:tblPr>
      <w:tblBorders>
        <w:top w:val="single" w:sz="4" w:space="0" w:color="B2A1C6" w:themeColor="accent4" w:themeTint="9A"/>
        <w:bottom w:val="single" w:sz="4" w:space="0" w:color="B2A1C6" w:themeColor="accent4" w:themeTint="9A"/>
      </w:tblBorders>
    </w:tblPr>
    <w:tblStylePr w:type="firstRow">
      <w:pPr>
        <w:snapToGrid/>
      </w:pPr>
      <w:rPr>
        <w:b/>
        <w:color w:val="B2A1C7" w:themeColor="accent4" w:themeTint="99"/>
      </w:rPr>
      <w:tblPr/>
      <w:tcPr>
        <w:tcBorders>
          <w:bottom w:val="single" w:sz="4" w:space="0" w:color="B2A1C6" w:themeColor="accent4" w:themeTint="9A"/>
        </w:tcBorders>
      </w:tcPr>
    </w:tblStylePr>
    <w:tblStylePr w:type="lastRow">
      <w:pPr>
        <w:snapToGrid/>
      </w:pPr>
      <w:rPr>
        <w:b/>
        <w:color w:val="B2A1C7" w:themeColor="accent4" w:themeTint="99"/>
      </w:rPr>
      <w:tblPr/>
      <w:tcPr>
        <w:tcBorders>
          <w:top w:val="single" w:sz="4" w:space="0" w:color="B2A1C6" w:themeColor="accent4" w:themeTint="9A"/>
        </w:tcBorders>
      </w:tcPr>
    </w:tblStylePr>
    <w:tblStylePr w:type="firstCol">
      <w:pPr>
        <w:snapToGrid/>
      </w:pPr>
      <w:rPr>
        <w:b/>
        <w:color w:val="B2A1C7" w:themeColor="accent4" w:themeTint="99"/>
      </w:rPr>
    </w:tblStylePr>
    <w:tblStylePr w:type="lastCol">
      <w:pPr>
        <w:snapToGrid/>
      </w:pPr>
      <w:rPr>
        <w:b/>
        <w:color w:val="B2A1C7" w:themeColor="accent4" w:themeTint="99"/>
      </w:rPr>
    </w:tblStylePr>
    <w:tblStylePr w:type="band1Vert">
      <w:pPr>
        <w:snapToGrid/>
      </w:pPr>
      <w:tblPr/>
      <w:tcPr>
        <w:shd w:val="clear" w:color="auto" w:fill="DFD8E7" w:themeFill="accent4" w:themeFillTint="40"/>
      </w:tcPr>
    </w:tblStylePr>
    <w:tblStylePr w:type="band2Vert">
      <w:pPr>
        <w:snapToGrid/>
      </w:pPr>
    </w:tblStylePr>
    <w:tblStylePr w:type="band1Horz">
      <w:pPr>
        <w:snapToGrid/>
      </w:pPr>
      <w:rPr>
        <w:rFonts w:ascii="Arial" w:hAnsi="Arial"/>
        <w:color w:val="B2A1C7" w:themeColor="accent4" w:themeTint="99"/>
        <w:sz w:val="22"/>
      </w:rPr>
      <w:tblPr/>
      <w:tcPr>
        <w:shd w:val="clear" w:color="auto" w:fill="DFD8E7" w:themeFill="accent4" w:themeFillTint="40"/>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5">
    <w:name w:val="List Table 6 Colorful - Accent 5"/>
    <w:basedOn w:val="a1"/>
    <w:uiPriority w:val="99"/>
    <w:qFormat/>
    <w:tblPr>
      <w:tblBorders>
        <w:top w:val="single" w:sz="4" w:space="0" w:color="92CCDC" w:themeColor="accent5" w:themeTint="9A"/>
        <w:bottom w:val="single" w:sz="4" w:space="0" w:color="92CCDC" w:themeColor="accent5" w:themeTint="9A"/>
      </w:tblBorders>
    </w:tblPr>
    <w:tblStylePr w:type="firstRow">
      <w:pPr>
        <w:snapToGrid/>
      </w:pPr>
      <w:rPr>
        <w:b/>
        <w:color w:val="92CDDC" w:themeColor="accent5" w:themeTint="99"/>
      </w:rPr>
      <w:tblPr/>
      <w:tcPr>
        <w:tcBorders>
          <w:bottom w:val="single" w:sz="4" w:space="0" w:color="92CCDC" w:themeColor="accent5" w:themeTint="9A"/>
        </w:tcBorders>
      </w:tcPr>
    </w:tblStylePr>
    <w:tblStylePr w:type="lastRow">
      <w:pPr>
        <w:snapToGrid/>
      </w:pPr>
      <w:rPr>
        <w:b/>
        <w:color w:val="92CDDC" w:themeColor="accent5" w:themeTint="99"/>
      </w:rPr>
      <w:tblPr/>
      <w:tcPr>
        <w:tcBorders>
          <w:top w:val="single" w:sz="4" w:space="0" w:color="92CCDC" w:themeColor="accent5" w:themeTint="9A"/>
        </w:tcBorders>
      </w:tcPr>
    </w:tblStylePr>
    <w:tblStylePr w:type="firstCol">
      <w:pPr>
        <w:snapToGrid/>
      </w:pPr>
      <w:rPr>
        <w:b/>
        <w:color w:val="92CDDC" w:themeColor="accent5" w:themeTint="99"/>
      </w:rPr>
    </w:tblStylePr>
    <w:tblStylePr w:type="lastCol">
      <w:pPr>
        <w:snapToGrid/>
      </w:pPr>
      <w:rPr>
        <w:b/>
        <w:color w:val="92CDDC" w:themeColor="accent5" w:themeTint="99"/>
      </w:rPr>
    </w:tblStylePr>
    <w:tblStylePr w:type="band1Vert">
      <w:pPr>
        <w:snapToGrid/>
      </w:pPr>
      <w:tblPr/>
      <w:tcPr>
        <w:shd w:val="clear" w:color="auto" w:fill="D1EAF0" w:themeFill="accent5" w:themeFillTint="40"/>
      </w:tcPr>
    </w:tblStylePr>
    <w:tblStylePr w:type="band2Vert">
      <w:pPr>
        <w:snapToGrid/>
      </w:pPr>
    </w:tblStylePr>
    <w:tblStylePr w:type="band1Horz">
      <w:pPr>
        <w:snapToGrid/>
      </w:pPr>
      <w:rPr>
        <w:rFonts w:ascii="Arial" w:hAnsi="Arial"/>
        <w:color w:val="92CDDC" w:themeColor="accent5" w:themeTint="99"/>
        <w:sz w:val="22"/>
      </w:rPr>
      <w:tblPr/>
      <w:tcPr>
        <w:shd w:val="clear" w:color="auto" w:fill="D1EAF0" w:themeFill="accent5" w:themeFillTint="40"/>
      </w:tcPr>
    </w:tblStylePr>
    <w:tblStylePr w:type="band2Horz">
      <w:pPr>
        <w:snapToGrid/>
      </w:pPr>
      <w:rPr>
        <w:rFonts w:ascii="Arial" w:hAnsi="Arial"/>
        <w:color w:val="92CDDC" w:themeColor="accent5"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6Colorful-Accent6">
    <w:name w:val="List Table 6 Colorful - Accent 6"/>
    <w:basedOn w:val="a1"/>
    <w:uiPriority w:val="99"/>
    <w:qFormat/>
    <w:tblPr>
      <w:tblBorders>
        <w:top w:val="single" w:sz="4" w:space="0" w:color="FAC090" w:themeColor="accent6" w:themeTint="98"/>
        <w:bottom w:val="single" w:sz="4" w:space="0" w:color="FAC090" w:themeColor="accent6" w:themeTint="98"/>
      </w:tblBorders>
    </w:tblPr>
    <w:tblStylePr w:type="firstRow">
      <w:pPr>
        <w:snapToGrid/>
      </w:pPr>
      <w:rPr>
        <w:b/>
        <w:color w:val="FABF8F" w:themeColor="accent6" w:themeTint="99"/>
      </w:rPr>
      <w:tblPr/>
      <w:tcPr>
        <w:tcBorders>
          <w:bottom w:val="single" w:sz="4" w:space="0" w:color="FAC090" w:themeColor="accent6" w:themeTint="98"/>
        </w:tcBorders>
      </w:tcPr>
    </w:tblStylePr>
    <w:tblStylePr w:type="lastRow">
      <w:pPr>
        <w:snapToGrid/>
      </w:pPr>
      <w:rPr>
        <w:b/>
        <w:color w:val="FABF8F" w:themeColor="accent6" w:themeTint="99"/>
      </w:rPr>
      <w:tblPr/>
      <w:tcPr>
        <w:tcBorders>
          <w:top w:val="single" w:sz="4" w:space="0" w:color="FAC090" w:themeColor="accent6" w:themeTint="98"/>
        </w:tcBorders>
      </w:tcPr>
    </w:tblStylePr>
    <w:tblStylePr w:type="firstCol">
      <w:pPr>
        <w:snapToGrid/>
      </w:pPr>
      <w:rPr>
        <w:b/>
        <w:color w:val="FABF8F" w:themeColor="accent6" w:themeTint="99"/>
      </w:rPr>
    </w:tblStylePr>
    <w:tblStylePr w:type="lastCol">
      <w:pPr>
        <w:snapToGrid/>
      </w:pPr>
      <w:rPr>
        <w:b/>
        <w:color w:val="FABF8F" w:themeColor="accent6" w:themeTint="99"/>
      </w:rPr>
    </w:tblStylePr>
    <w:tblStylePr w:type="band1Vert">
      <w:pPr>
        <w:snapToGrid/>
      </w:pPr>
      <w:tblPr/>
      <w:tcPr>
        <w:shd w:val="clear" w:color="auto" w:fill="FDE4D0" w:themeFill="accent6" w:themeFillTint="40"/>
      </w:tcPr>
    </w:tblStylePr>
    <w:tblStylePr w:type="band2Vert">
      <w:pPr>
        <w:snapToGrid/>
      </w:pPr>
    </w:tblStylePr>
    <w:tblStylePr w:type="band1Horz">
      <w:pPr>
        <w:snapToGrid/>
      </w:pPr>
      <w:rPr>
        <w:rFonts w:ascii="Arial" w:hAnsi="Arial"/>
        <w:color w:val="FABF8F" w:themeColor="accent6" w:themeTint="99"/>
        <w:sz w:val="22"/>
      </w:rPr>
      <w:tblPr/>
      <w:tcPr>
        <w:shd w:val="clear" w:color="auto" w:fill="FDE4D0" w:themeFill="accent6" w:themeFillTint="40"/>
      </w:tcPr>
    </w:tblStylePr>
    <w:tblStylePr w:type="band2Horz">
      <w:pPr>
        <w:snapToGrid/>
      </w:pPr>
      <w:rPr>
        <w:rFonts w:ascii="Arial" w:hAnsi="Arial"/>
        <w:color w:val="FABF8F" w:themeColor="accent6"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710">
    <w:name w:val="清单表 7 彩色1"/>
    <w:basedOn w:val="a1"/>
    <w:uiPriority w:val="99"/>
    <w:qFormat/>
    <w:tblPr>
      <w:tblBorders>
        <w:right w:val="single" w:sz="4" w:space="0" w:color="7F7F7F" w:themeColor="text1" w:themeTint="80"/>
      </w:tblBorders>
    </w:tblPr>
    <w:tblStylePr w:type="firstRow">
      <w:pPr>
        <w:snapToGrid/>
      </w:pPr>
      <w:rPr>
        <w:rFonts w:ascii="Arial" w:hAnsi="Arial"/>
        <w:i/>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pPr>
        <w:snapToGrid/>
      </w:pPr>
      <w:rPr>
        <w:rFonts w:ascii="Arial" w:hAnsi="Arial"/>
        <w:i/>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snapToGrid/>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pPr>
        <w:snapToGrid/>
      </w:pPr>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pPr>
        <w:snapToGrid/>
      </w:pPr>
      <w:tblPr/>
      <w:tcPr>
        <w:shd w:val="clear" w:color="auto" w:fill="BFBFBF" w:themeFill="text1" w:themeFillTint="40"/>
      </w:tcPr>
    </w:tblStylePr>
    <w:tblStylePr w:type="band2Vert">
      <w:pPr>
        <w:snapToGrid/>
      </w:pPr>
    </w:tblStylePr>
    <w:tblStylePr w:type="band1Horz">
      <w:pPr>
        <w:snapToGrid/>
      </w:pPr>
      <w:rPr>
        <w:rFonts w:ascii="Arial" w:hAnsi="Arial"/>
        <w:color w:val="7F7F7F" w:themeColor="text1" w:themeTint="80"/>
        <w:sz w:val="22"/>
      </w:rPr>
      <w:tblPr/>
      <w:tcPr>
        <w:shd w:val="clear" w:color="auto" w:fill="BFBFBF" w:themeFill="text1" w:themeFillTint="40"/>
      </w:tcPr>
    </w:tblStylePr>
    <w:tblStylePr w:type="band2Horz">
      <w:pPr>
        <w:snapToGrid/>
      </w:pPr>
      <w:rPr>
        <w:rFonts w:ascii="Arial" w:hAnsi="Arial"/>
        <w:color w:val="7F7F7F" w:themeColor="text1" w:themeTint="80"/>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1">
    <w:name w:val="List Table 7 Colorful - Accent 1"/>
    <w:basedOn w:val="a1"/>
    <w:uiPriority w:val="99"/>
    <w:qFormat/>
    <w:tblPr>
      <w:tblBorders>
        <w:right w:val="single" w:sz="4" w:space="0" w:color="4F81BD" w:themeColor="accent1"/>
      </w:tblBorders>
    </w:tblPr>
    <w:tblStylePr w:type="firstRow">
      <w:pPr>
        <w:snapToGrid/>
      </w:pPr>
      <w:rPr>
        <w:rFonts w:ascii="Arial" w:hAnsi="Arial"/>
        <w:i/>
        <w:color w:val="2A4A70" w:themeColor="accent1" w:themeShade="94"/>
        <w:sz w:val="22"/>
      </w:rPr>
      <w:tblPr/>
      <w:tcPr>
        <w:tcBorders>
          <w:top w:val="nil"/>
          <w:left w:val="nil"/>
          <w:bottom w:val="single" w:sz="4" w:space="0" w:color="4F81BD" w:themeColor="accent1"/>
          <w:right w:val="nil"/>
        </w:tcBorders>
        <w:shd w:val="clear" w:color="auto" w:fill="FFFFFF" w:themeFill="light1"/>
      </w:tcPr>
    </w:tblStylePr>
    <w:tblStylePr w:type="lastRow">
      <w:pPr>
        <w:snapToGrid/>
      </w:pPr>
      <w:rPr>
        <w:rFonts w:ascii="Arial" w:hAnsi="Arial"/>
        <w:i/>
        <w:color w:val="2A4A70" w:themeColor="accent1" w:themeShade="94"/>
        <w:sz w:val="22"/>
      </w:rPr>
      <w:tblPr/>
      <w:tcPr>
        <w:tcBorders>
          <w:top w:val="single" w:sz="4" w:space="0" w:color="4F81BD" w:themeColor="accent1"/>
          <w:left w:val="nil"/>
          <w:bottom w:val="nil"/>
          <w:right w:val="nil"/>
        </w:tcBorders>
        <w:shd w:val="clear" w:color="auto" w:fill="FFFFFF" w:themeFill="light1"/>
      </w:tcPr>
    </w:tblStylePr>
    <w:tblStylePr w:type="firstCol">
      <w:pPr>
        <w:snapToGrid/>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auto" w:fill="FFFFFF"/>
      </w:tcPr>
    </w:tblStylePr>
    <w:tblStylePr w:type="lastCol">
      <w:pPr>
        <w:snapToGrid/>
      </w:pPr>
      <w:rPr>
        <w:rFonts w:ascii="Arial" w:hAnsi="Arial"/>
        <w:i/>
        <w:color w:val="2A4A70" w:themeColor="accent1" w:themeShade="94"/>
        <w:sz w:val="22"/>
      </w:rPr>
      <w:tblPr/>
      <w:tcPr>
        <w:tcBorders>
          <w:top w:val="nil"/>
          <w:left w:val="single" w:sz="4" w:space="0" w:color="4F81BD" w:themeColor="accent1"/>
          <w:bottom w:val="nil"/>
          <w:right w:val="nil"/>
        </w:tcBorders>
        <w:shd w:val="clear" w:color="auto" w:fill="FFFFFF"/>
      </w:tcPr>
    </w:tblStylePr>
    <w:tblStylePr w:type="band1Vert">
      <w:pPr>
        <w:snapToGrid/>
      </w:pPr>
      <w:tblPr/>
      <w:tcPr>
        <w:shd w:val="clear" w:color="auto" w:fill="D2DFEE" w:themeFill="accent1" w:themeFillTint="40"/>
      </w:tcPr>
    </w:tblStylePr>
    <w:tblStylePr w:type="band2Vert">
      <w:pPr>
        <w:snapToGrid/>
      </w:pPr>
    </w:tblStylePr>
    <w:tblStylePr w:type="band1Horz">
      <w:pPr>
        <w:snapToGrid/>
      </w:pPr>
      <w:rPr>
        <w:rFonts w:ascii="Arial" w:hAnsi="Arial"/>
        <w:color w:val="2A4A70" w:themeColor="accent1" w:themeShade="94"/>
        <w:sz w:val="22"/>
      </w:rPr>
      <w:tblPr/>
      <w:tcPr>
        <w:shd w:val="clear" w:color="auto" w:fill="D2DFEE" w:themeFill="accent1" w:themeFillTint="40"/>
      </w:tcPr>
    </w:tblStylePr>
    <w:tblStylePr w:type="band2Horz">
      <w:pPr>
        <w:snapToGrid/>
      </w:pPr>
      <w:rPr>
        <w:rFonts w:ascii="Arial" w:hAnsi="Arial"/>
        <w:color w:val="2A4A70" w:themeColor="accent1" w:themeShade="94"/>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2">
    <w:name w:val="List Table 7 Colorful - Accent 2"/>
    <w:basedOn w:val="a1"/>
    <w:uiPriority w:val="99"/>
    <w:qFormat/>
    <w:tblPr>
      <w:tblBorders>
        <w:right w:val="single" w:sz="4" w:space="0" w:color="D99695" w:themeColor="accent2" w:themeTint="97"/>
      </w:tblBorders>
    </w:tblPr>
    <w:tblStylePr w:type="firstRow">
      <w:pPr>
        <w:snapToGrid/>
      </w:pPr>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pPr>
        <w:snapToGrid/>
      </w:pPr>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snapToGrid/>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pPr>
        <w:snapToGrid/>
      </w:pPr>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pPr>
        <w:snapToGrid/>
      </w:pPr>
      <w:tblPr/>
      <w:tcPr>
        <w:shd w:val="clear" w:color="auto" w:fill="EFD2D2" w:themeFill="accent2" w:themeFillTint="40"/>
      </w:tcPr>
    </w:tblStylePr>
    <w:tblStylePr w:type="band2Vert">
      <w:pPr>
        <w:snapToGrid/>
      </w:pPr>
    </w:tblStylePr>
    <w:tblStylePr w:type="band1Horz">
      <w:pPr>
        <w:snapToGrid/>
      </w:pPr>
      <w:rPr>
        <w:rFonts w:ascii="Arial" w:hAnsi="Arial"/>
        <w:color w:val="DA9796" w:themeColor="accent2" w:themeTint="96"/>
        <w:sz w:val="22"/>
      </w:rPr>
      <w:tblPr/>
      <w:tcPr>
        <w:shd w:val="clear" w:color="auto" w:fill="EFD2D2" w:themeFill="accent2" w:themeFillTint="40"/>
      </w:tcPr>
    </w:tblStylePr>
    <w:tblStylePr w:type="band2Horz">
      <w:pPr>
        <w:snapToGrid/>
      </w:pPr>
      <w:rPr>
        <w:rFonts w:ascii="Arial" w:hAnsi="Arial"/>
        <w:color w:val="DA9796" w:themeColor="accent2" w:themeTint="96"/>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3">
    <w:name w:val="List Table 7 Colorful - Accent 3"/>
    <w:basedOn w:val="a1"/>
    <w:uiPriority w:val="99"/>
    <w:qFormat/>
    <w:tblPr>
      <w:tblBorders>
        <w:right w:val="single" w:sz="4" w:space="0" w:color="C3D69B" w:themeColor="accent3" w:themeTint="98"/>
      </w:tblBorders>
    </w:tblPr>
    <w:tblStylePr w:type="firstRow">
      <w:pPr>
        <w:snapToGrid/>
      </w:pPr>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auto" w:fill="FFFFFF" w:themeFill="light1"/>
      </w:tcPr>
    </w:tblStylePr>
    <w:tblStylePr w:type="lastRow">
      <w:pPr>
        <w:snapToGrid/>
      </w:pPr>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auto" w:fill="FFFFFF" w:themeFill="light1"/>
      </w:tcPr>
    </w:tblStylePr>
    <w:tblStylePr w:type="firstCol">
      <w:pPr>
        <w:snapToGrid/>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auto" w:fill="FFFFFF"/>
      </w:tcPr>
    </w:tblStylePr>
    <w:tblStylePr w:type="lastCol">
      <w:pPr>
        <w:snapToGrid/>
      </w:pPr>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auto" w:fill="FFFFFF"/>
      </w:tcPr>
    </w:tblStylePr>
    <w:tblStylePr w:type="band1Vert">
      <w:pPr>
        <w:snapToGrid/>
      </w:pPr>
      <w:tblPr/>
      <w:tcPr>
        <w:shd w:val="clear" w:color="auto" w:fill="E5EED5" w:themeFill="accent3" w:themeFillTint="40"/>
      </w:tcPr>
    </w:tblStylePr>
    <w:tblStylePr w:type="band2Vert">
      <w:pPr>
        <w:snapToGrid/>
      </w:pPr>
    </w:tblStylePr>
    <w:tblStylePr w:type="band1Horz">
      <w:pPr>
        <w:snapToGrid/>
      </w:pPr>
      <w:rPr>
        <w:rFonts w:ascii="Arial" w:hAnsi="Arial"/>
        <w:color w:val="C2D69B" w:themeColor="accent3" w:themeTint="99"/>
        <w:sz w:val="22"/>
      </w:rPr>
      <w:tblPr/>
      <w:tcPr>
        <w:shd w:val="clear" w:color="auto" w:fill="E5EED5" w:themeFill="accent3" w:themeFillTint="40"/>
      </w:tcPr>
    </w:tblStylePr>
    <w:tblStylePr w:type="band2Horz">
      <w:pPr>
        <w:snapToGrid/>
      </w:pPr>
      <w:rPr>
        <w:rFonts w:ascii="Arial" w:hAnsi="Arial"/>
        <w:color w:val="C2D69B" w:themeColor="accent3"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4">
    <w:name w:val="List Table 7 Colorful - Accent 4"/>
    <w:basedOn w:val="a1"/>
    <w:uiPriority w:val="99"/>
    <w:qFormat/>
    <w:tblPr>
      <w:tblBorders>
        <w:right w:val="single" w:sz="4" w:space="0" w:color="B2A1C6" w:themeColor="accent4" w:themeTint="9A"/>
      </w:tblBorders>
    </w:tblPr>
    <w:tblStylePr w:type="firstRow">
      <w:pPr>
        <w:snapToGrid/>
      </w:pPr>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pPr>
        <w:snapToGrid/>
      </w:pPr>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snapToGrid/>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pPr>
        <w:snapToGrid/>
      </w:pPr>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pPr>
        <w:snapToGrid/>
      </w:pPr>
      <w:tblPr/>
      <w:tcPr>
        <w:shd w:val="clear" w:color="auto" w:fill="DFD8E7" w:themeFill="accent4" w:themeFillTint="40"/>
      </w:tcPr>
    </w:tblStylePr>
    <w:tblStylePr w:type="band2Vert">
      <w:pPr>
        <w:snapToGrid/>
      </w:pPr>
    </w:tblStylePr>
    <w:tblStylePr w:type="band1Horz">
      <w:pPr>
        <w:snapToGrid/>
      </w:pPr>
      <w:rPr>
        <w:rFonts w:ascii="Arial" w:hAnsi="Arial"/>
        <w:color w:val="B2A1C7" w:themeColor="accent4" w:themeTint="99"/>
        <w:sz w:val="22"/>
      </w:rPr>
      <w:tblPr/>
      <w:tcPr>
        <w:shd w:val="clear" w:color="auto" w:fill="DFD8E7" w:themeFill="accent4" w:themeFillTint="40"/>
      </w:tcPr>
    </w:tblStylePr>
    <w:tblStylePr w:type="band2Horz">
      <w:pPr>
        <w:snapToGrid/>
      </w:pPr>
      <w:rPr>
        <w:rFonts w:ascii="Arial" w:hAnsi="Arial"/>
        <w:color w:val="B2A1C7" w:themeColor="accent4"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5">
    <w:name w:val="List Table 7 Colorful - Accent 5"/>
    <w:basedOn w:val="a1"/>
    <w:uiPriority w:val="99"/>
    <w:qFormat/>
    <w:tblPr>
      <w:tblBorders>
        <w:right w:val="single" w:sz="4" w:space="0" w:color="92CCDC" w:themeColor="accent5" w:themeTint="9A"/>
      </w:tblBorders>
    </w:tblPr>
    <w:tblStylePr w:type="firstRow">
      <w:pPr>
        <w:snapToGrid/>
      </w:pPr>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auto" w:fill="FFFFFF" w:themeFill="light1"/>
      </w:tcPr>
    </w:tblStylePr>
    <w:tblStylePr w:type="lastRow">
      <w:pPr>
        <w:snapToGrid/>
      </w:pPr>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auto" w:fill="FFFFFF" w:themeFill="light1"/>
      </w:tcPr>
    </w:tblStylePr>
    <w:tblStylePr w:type="firstCol">
      <w:pPr>
        <w:snapToGrid/>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auto" w:fill="FFFFFF"/>
      </w:tcPr>
    </w:tblStylePr>
    <w:tblStylePr w:type="lastCol">
      <w:pPr>
        <w:snapToGrid/>
      </w:pPr>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auto" w:fill="FFFFFF"/>
      </w:tcPr>
    </w:tblStylePr>
    <w:tblStylePr w:type="band1Vert">
      <w:pPr>
        <w:snapToGrid/>
      </w:pPr>
      <w:tblPr/>
      <w:tcPr>
        <w:shd w:val="clear" w:color="auto" w:fill="D1EAF0" w:themeFill="accent5" w:themeFillTint="40"/>
      </w:tcPr>
    </w:tblStylePr>
    <w:tblStylePr w:type="band2Vert">
      <w:pPr>
        <w:snapToGrid/>
      </w:pPr>
    </w:tblStylePr>
    <w:tblStylePr w:type="band1Horz">
      <w:pPr>
        <w:snapToGrid/>
      </w:pPr>
      <w:rPr>
        <w:rFonts w:ascii="Arial" w:hAnsi="Arial"/>
        <w:color w:val="92CDDC" w:themeColor="accent5" w:themeTint="99"/>
        <w:sz w:val="22"/>
      </w:rPr>
      <w:tblPr/>
      <w:tcPr>
        <w:shd w:val="clear" w:color="auto" w:fill="D1EAF0" w:themeFill="accent5" w:themeFillTint="40"/>
      </w:tcPr>
    </w:tblStylePr>
    <w:tblStylePr w:type="band2Horz">
      <w:pPr>
        <w:snapToGrid/>
      </w:pPr>
      <w:rPr>
        <w:rFonts w:ascii="Arial" w:hAnsi="Arial"/>
        <w:color w:val="92CDDC" w:themeColor="accent5"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stTable7Colorful-Accent6">
    <w:name w:val="List Table 7 Colorful - Accent 6"/>
    <w:basedOn w:val="a1"/>
    <w:uiPriority w:val="99"/>
    <w:qFormat/>
    <w:tblPr>
      <w:tblBorders>
        <w:right w:val="single" w:sz="4" w:space="0" w:color="FAC090" w:themeColor="accent6" w:themeTint="98"/>
      </w:tblBorders>
    </w:tblPr>
    <w:tblStylePr w:type="firstRow">
      <w:pPr>
        <w:snapToGrid/>
      </w:pPr>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auto" w:fill="FFFFFF" w:themeFill="light1"/>
      </w:tcPr>
    </w:tblStylePr>
    <w:tblStylePr w:type="lastRow">
      <w:pPr>
        <w:snapToGrid/>
      </w:pPr>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auto" w:fill="FFFFFF" w:themeFill="light1"/>
      </w:tcPr>
    </w:tblStylePr>
    <w:tblStylePr w:type="firstCol">
      <w:pPr>
        <w:snapToGrid/>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auto" w:fill="FFFFFF"/>
      </w:tcPr>
    </w:tblStylePr>
    <w:tblStylePr w:type="lastCol">
      <w:pPr>
        <w:snapToGrid/>
      </w:pPr>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auto" w:fill="FFFFFF"/>
      </w:tcPr>
    </w:tblStylePr>
    <w:tblStylePr w:type="band1Vert">
      <w:pPr>
        <w:snapToGrid/>
      </w:pPr>
      <w:tblPr/>
      <w:tcPr>
        <w:shd w:val="clear" w:color="auto" w:fill="FDE4D0" w:themeFill="accent6" w:themeFillTint="40"/>
      </w:tcPr>
    </w:tblStylePr>
    <w:tblStylePr w:type="band2Vert">
      <w:pPr>
        <w:snapToGrid/>
      </w:pPr>
    </w:tblStylePr>
    <w:tblStylePr w:type="band1Horz">
      <w:pPr>
        <w:snapToGrid/>
      </w:pPr>
      <w:rPr>
        <w:rFonts w:ascii="Arial" w:hAnsi="Arial"/>
        <w:color w:val="FABF8F" w:themeColor="accent6" w:themeTint="99"/>
        <w:sz w:val="22"/>
      </w:rPr>
      <w:tblPr/>
      <w:tcPr>
        <w:shd w:val="clear" w:color="auto" w:fill="FDE4D0" w:themeFill="accent6" w:themeFillTint="40"/>
      </w:tcPr>
    </w:tblStylePr>
    <w:tblStylePr w:type="band2Horz">
      <w:pPr>
        <w:snapToGrid/>
      </w:pPr>
      <w:rPr>
        <w:rFonts w:ascii="Arial" w:hAnsi="Arial"/>
        <w:color w:val="FABF8F" w:themeColor="accent6" w:themeTint="99"/>
        <w:sz w:val="22"/>
      </w:r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
    <w:name w:val="Lined - Accent"/>
    <w:basedOn w:val="a1"/>
    <w:uiPriority w:val="99"/>
    <w:qFormat/>
    <w:rPr>
      <w:color w:val="404040"/>
    </w:rPr>
    <w:tblPr/>
    <w:tblStylePr w:type="firstRow">
      <w:pPr>
        <w:snapToGrid/>
      </w:pPr>
      <w:rPr>
        <w:rFonts w:ascii="Arial" w:hAnsi="Arial"/>
        <w:color w:val="F2F2F2"/>
        <w:sz w:val="22"/>
      </w:rPr>
      <w:tblPr/>
      <w:tcPr>
        <w:shd w:val="clear" w:color="auto" w:fill="7F7F7F" w:themeFill="text1" w:themeFillTint="80"/>
      </w:tcPr>
    </w:tblStylePr>
    <w:tblStylePr w:type="lastRow">
      <w:pPr>
        <w:snapToGrid/>
      </w:pPr>
      <w:rPr>
        <w:rFonts w:ascii="Arial" w:hAnsi="Arial"/>
        <w:color w:val="F2F2F2"/>
        <w:sz w:val="22"/>
      </w:rPr>
      <w:tblPr/>
      <w:tcPr>
        <w:shd w:val="clear" w:color="auto" w:fill="7F7F7F" w:themeFill="text1" w:themeFillTint="80"/>
      </w:tcPr>
    </w:tblStylePr>
    <w:tblStylePr w:type="firstCol">
      <w:pPr>
        <w:snapToGrid/>
      </w:pPr>
      <w:rPr>
        <w:rFonts w:ascii="Arial" w:hAnsi="Arial"/>
        <w:color w:val="F2F2F2"/>
        <w:sz w:val="22"/>
      </w:rPr>
      <w:tblPr/>
      <w:tcPr>
        <w:shd w:val="clear" w:color="auto" w:fill="7F7F7F" w:themeFill="text1" w:themeFillTint="80"/>
      </w:tcPr>
    </w:tblStylePr>
    <w:tblStylePr w:type="lastCol">
      <w:pPr>
        <w:snapToGrid/>
      </w:pPr>
      <w:rPr>
        <w:rFonts w:ascii="Arial" w:hAnsi="Arial"/>
        <w:color w:val="F2F2F2"/>
        <w:sz w:val="22"/>
      </w:rPr>
      <w:tblPr/>
      <w:tcPr>
        <w:shd w:val="clear" w:color="auto" w:fill="7F7F7F"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F2F2"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F2F2"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1">
    <w:name w:val="Lined - Accent 1"/>
    <w:basedOn w:val="a1"/>
    <w:uiPriority w:val="99"/>
    <w:qFormat/>
    <w:rPr>
      <w:color w:val="404040"/>
    </w:rPr>
    <w:tblPr/>
    <w:tblStylePr w:type="firstRow">
      <w:pPr>
        <w:snapToGrid/>
      </w:pPr>
      <w:rPr>
        <w:rFonts w:ascii="Arial" w:hAnsi="Arial"/>
        <w:color w:val="F2F2F2"/>
        <w:sz w:val="22"/>
      </w:rPr>
      <w:tblPr/>
      <w:tcPr>
        <w:shd w:val="clear" w:color="auto" w:fill="5D8AC2" w:themeFill="accent1" w:themeFillTint="EA"/>
      </w:tcPr>
    </w:tblStylePr>
    <w:tblStylePr w:type="lastRow">
      <w:pPr>
        <w:snapToGrid/>
      </w:pPr>
      <w:rPr>
        <w:rFonts w:ascii="Arial" w:hAnsi="Arial"/>
        <w:color w:val="F2F2F2"/>
        <w:sz w:val="22"/>
      </w:rPr>
      <w:tblPr/>
      <w:tcPr>
        <w:shd w:val="clear" w:color="auto" w:fill="5D8AC2" w:themeFill="accent1" w:themeFillTint="EA"/>
      </w:tcPr>
    </w:tblStylePr>
    <w:tblStylePr w:type="firstCol">
      <w:pPr>
        <w:snapToGrid/>
      </w:pPr>
      <w:rPr>
        <w:rFonts w:ascii="Arial" w:hAnsi="Arial"/>
        <w:color w:val="F2F2F2"/>
        <w:sz w:val="22"/>
      </w:rPr>
      <w:tblPr/>
      <w:tcPr>
        <w:shd w:val="clear" w:color="auto" w:fill="5D8AC2" w:themeFill="accent1" w:themeFillTint="EA"/>
      </w:tcPr>
    </w:tblStylePr>
    <w:tblStylePr w:type="lastCol">
      <w:pPr>
        <w:snapToGrid/>
      </w:pPr>
      <w:rPr>
        <w:rFonts w:ascii="Arial" w:hAnsi="Arial"/>
        <w:color w:val="F2F2F2"/>
        <w:sz w:val="22"/>
      </w:rPr>
      <w:tblPr/>
      <w:tcPr>
        <w:shd w:val="clear" w:color="auto" w:fill="5D8A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2">
    <w:name w:val="Lined - Accent 2"/>
    <w:basedOn w:val="a1"/>
    <w:uiPriority w:val="99"/>
    <w:qFormat/>
    <w:rPr>
      <w:color w:val="404040"/>
    </w:rPr>
    <w:tblPr/>
    <w:tblStylePr w:type="firstRow">
      <w:pPr>
        <w:snapToGrid/>
      </w:pPr>
      <w:rPr>
        <w:rFonts w:ascii="Arial" w:hAnsi="Arial"/>
        <w:color w:val="F2F2F2"/>
        <w:sz w:val="22"/>
      </w:rPr>
      <w:tblPr/>
      <w:tcPr>
        <w:shd w:val="clear" w:color="auto" w:fill="D99695" w:themeFill="accent2" w:themeFillTint="97"/>
      </w:tcPr>
    </w:tblStylePr>
    <w:tblStylePr w:type="lastRow">
      <w:pPr>
        <w:snapToGrid/>
      </w:pPr>
      <w:rPr>
        <w:rFonts w:ascii="Arial" w:hAnsi="Arial"/>
        <w:color w:val="F2F2F2"/>
        <w:sz w:val="22"/>
      </w:rPr>
      <w:tblPr/>
      <w:tcPr>
        <w:shd w:val="clear" w:color="auto" w:fill="D99695" w:themeFill="accent2" w:themeFillTint="97"/>
      </w:tcPr>
    </w:tblStylePr>
    <w:tblStylePr w:type="firstCol">
      <w:pPr>
        <w:snapToGrid/>
      </w:pPr>
      <w:rPr>
        <w:rFonts w:ascii="Arial" w:hAnsi="Arial"/>
        <w:color w:val="F2F2F2"/>
        <w:sz w:val="22"/>
      </w:rPr>
      <w:tblPr/>
      <w:tcPr>
        <w:shd w:val="clear" w:color="auto" w:fill="D99695" w:themeFill="accent2" w:themeFillTint="97"/>
      </w:tcPr>
    </w:tblStylePr>
    <w:tblStylePr w:type="lastCol">
      <w:pPr>
        <w:snapToGrid/>
      </w:pPr>
      <w:rPr>
        <w:rFonts w:ascii="Arial" w:hAnsi="Arial"/>
        <w:color w:val="F2F2F2"/>
        <w:sz w:val="22"/>
      </w:rPr>
      <w:tblPr/>
      <w:tcPr>
        <w:shd w:val="clear" w:color="auto" w:fill="D996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3">
    <w:name w:val="Lined - Accent 3"/>
    <w:basedOn w:val="a1"/>
    <w:uiPriority w:val="99"/>
    <w:qFormat/>
    <w:rPr>
      <w:color w:val="404040"/>
    </w:rPr>
    <w:tblPr/>
    <w:tblStylePr w:type="firstRow">
      <w:pPr>
        <w:snapToGrid/>
      </w:pPr>
      <w:rPr>
        <w:rFonts w:ascii="Arial" w:hAnsi="Arial"/>
        <w:color w:val="F2F2F2"/>
        <w:sz w:val="22"/>
      </w:rPr>
      <w:tblPr/>
      <w:tcPr>
        <w:shd w:val="clear" w:color="auto" w:fill="9ABB59" w:themeFill="accent3" w:themeFillTint="FE"/>
      </w:tcPr>
    </w:tblStylePr>
    <w:tblStylePr w:type="lastRow">
      <w:pPr>
        <w:snapToGrid/>
      </w:pPr>
      <w:rPr>
        <w:rFonts w:ascii="Arial" w:hAnsi="Arial"/>
        <w:color w:val="F2F2F2"/>
        <w:sz w:val="22"/>
      </w:rPr>
      <w:tblPr/>
      <w:tcPr>
        <w:shd w:val="clear" w:color="auto" w:fill="9ABB59" w:themeFill="accent3" w:themeFillTint="FE"/>
      </w:tcPr>
    </w:tblStylePr>
    <w:tblStylePr w:type="firstCol">
      <w:pPr>
        <w:snapToGrid/>
      </w:pPr>
      <w:rPr>
        <w:rFonts w:ascii="Arial" w:hAnsi="Arial"/>
        <w:color w:val="F2F2F2"/>
        <w:sz w:val="22"/>
      </w:rPr>
      <w:tblPr/>
      <w:tcPr>
        <w:shd w:val="clear" w:color="auto" w:fill="9ABB59" w:themeFill="accent3" w:themeFillTint="FE"/>
      </w:tcPr>
    </w:tblStylePr>
    <w:tblStylePr w:type="lastCol">
      <w:pPr>
        <w:snapToGrid/>
      </w:pPr>
      <w:rPr>
        <w:rFonts w:ascii="Arial" w:hAnsi="Arial"/>
        <w:color w:val="F2F2F2"/>
        <w:sz w:val="22"/>
      </w:rPr>
      <w:tblPr/>
      <w:tcPr>
        <w:shd w:val="clear" w:color="auto" w:fill="9A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AF1DC"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AF1DC"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4">
    <w:name w:val="Lined - Accent 4"/>
    <w:basedOn w:val="a1"/>
    <w:uiPriority w:val="99"/>
    <w:qFormat/>
    <w:rPr>
      <w:color w:val="404040"/>
    </w:rPr>
    <w:tblPr/>
    <w:tblStylePr w:type="firstRow">
      <w:pPr>
        <w:snapToGrid/>
      </w:pPr>
      <w:rPr>
        <w:rFonts w:ascii="Arial" w:hAnsi="Arial"/>
        <w:color w:val="F2F2F2"/>
        <w:sz w:val="22"/>
      </w:rPr>
      <w:tblPr/>
      <w:tcPr>
        <w:shd w:val="clear" w:color="auto" w:fill="B2A1C6" w:themeFill="accent4" w:themeFillTint="9A"/>
      </w:tcPr>
    </w:tblStylePr>
    <w:tblStylePr w:type="lastRow">
      <w:pPr>
        <w:snapToGrid/>
      </w:pPr>
      <w:rPr>
        <w:rFonts w:ascii="Arial" w:hAnsi="Arial"/>
        <w:color w:val="F2F2F2"/>
        <w:sz w:val="22"/>
      </w:rPr>
      <w:tblPr/>
      <w:tcPr>
        <w:shd w:val="clear" w:color="auto" w:fill="B2A1C6" w:themeFill="accent4" w:themeFillTint="9A"/>
      </w:tcPr>
    </w:tblStylePr>
    <w:tblStylePr w:type="firstCol">
      <w:pPr>
        <w:snapToGrid/>
      </w:pPr>
      <w:rPr>
        <w:rFonts w:ascii="Arial" w:hAnsi="Arial"/>
        <w:color w:val="F2F2F2"/>
        <w:sz w:val="22"/>
      </w:rPr>
      <w:tblPr/>
      <w:tcPr>
        <w:shd w:val="clear" w:color="auto" w:fill="B2A1C6" w:themeFill="accent4" w:themeFillTint="9A"/>
      </w:tcPr>
    </w:tblStylePr>
    <w:tblStylePr w:type="lastCol">
      <w:pPr>
        <w:snapToGrid/>
      </w:pPr>
      <w:rPr>
        <w:rFonts w:ascii="Arial" w:hAnsi="Arial"/>
        <w:color w:val="F2F2F2"/>
        <w:sz w:val="22"/>
      </w:rPr>
      <w:tbl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5">
    <w:name w:val="Lined - Accent 5"/>
    <w:basedOn w:val="a1"/>
    <w:uiPriority w:val="99"/>
    <w:qFormat/>
    <w:rPr>
      <w:color w:val="404040"/>
    </w:rPr>
    <w:tblPr/>
    <w:tblStylePr w:type="firstRow">
      <w:pPr>
        <w:snapToGrid/>
      </w:pPr>
      <w:rPr>
        <w:rFonts w:ascii="Arial" w:hAnsi="Arial"/>
        <w:color w:val="F2F2F2"/>
        <w:sz w:val="22"/>
      </w:rPr>
      <w:tblPr/>
      <w:tcPr>
        <w:shd w:val="clear" w:color="auto" w:fill="4BACC6" w:themeFill="accent5"/>
      </w:tcPr>
    </w:tblStylePr>
    <w:tblStylePr w:type="lastRow">
      <w:pPr>
        <w:snapToGrid/>
      </w:pPr>
      <w:rPr>
        <w:rFonts w:ascii="Arial" w:hAnsi="Arial"/>
        <w:color w:val="F2F2F2"/>
        <w:sz w:val="22"/>
      </w:rPr>
      <w:tblPr/>
      <w:tcPr>
        <w:shd w:val="clear" w:color="auto" w:fill="4BACC6" w:themeFill="accent5"/>
      </w:tcPr>
    </w:tblStylePr>
    <w:tblStylePr w:type="firstCol">
      <w:pPr>
        <w:snapToGrid/>
      </w:pPr>
      <w:rPr>
        <w:rFonts w:ascii="Arial" w:hAnsi="Arial"/>
        <w:color w:val="F2F2F2"/>
        <w:sz w:val="22"/>
      </w:rPr>
      <w:tblPr/>
      <w:tcPr>
        <w:shd w:val="clear" w:color="auto" w:fill="4BACC6" w:themeFill="accent5"/>
      </w:tcPr>
    </w:tblStylePr>
    <w:tblStylePr w:type="lastCol">
      <w:pPr>
        <w:snapToGrid/>
      </w:pPr>
      <w:rPr>
        <w:rFonts w:ascii="Arial" w:hAnsi="Arial"/>
        <w:color w:val="F2F2F2"/>
        <w:sz w:val="22"/>
      </w:rPr>
      <w:tbl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Lined-Accent6">
    <w:name w:val="Lined - Accent 6"/>
    <w:basedOn w:val="a1"/>
    <w:uiPriority w:val="99"/>
    <w:qFormat/>
    <w:rPr>
      <w:color w:val="404040"/>
    </w:rPr>
    <w:tblPr/>
    <w:tblStylePr w:type="firstRow">
      <w:pPr>
        <w:snapToGrid/>
      </w:pPr>
      <w:rPr>
        <w:rFonts w:ascii="Arial" w:hAnsi="Arial"/>
        <w:color w:val="F2F2F2"/>
        <w:sz w:val="22"/>
      </w:rPr>
      <w:tblPr/>
      <w:tcPr>
        <w:shd w:val="clear" w:color="auto" w:fill="F79646" w:themeFill="accent6"/>
      </w:tcPr>
    </w:tblStylePr>
    <w:tblStylePr w:type="lastRow">
      <w:pPr>
        <w:snapToGrid/>
      </w:pPr>
      <w:rPr>
        <w:rFonts w:ascii="Arial" w:hAnsi="Arial"/>
        <w:color w:val="F2F2F2"/>
        <w:sz w:val="22"/>
      </w:rPr>
      <w:tblPr/>
      <w:tcPr>
        <w:shd w:val="clear" w:color="auto" w:fill="F79646" w:themeFill="accent6"/>
      </w:tcPr>
    </w:tblStylePr>
    <w:tblStylePr w:type="firstCol">
      <w:pPr>
        <w:snapToGrid/>
      </w:pPr>
      <w:rPr>
        <w:rFonts w:ascii="Arial" w:hAnsi="Arial"/>
        <w:color w:val="F2F2F2"/>
        <w:sz w:val="22"/>
      </w:rPr>
      <w:tblPr/>
      <w:tcPr>
        <w:shd w:val="clear" w:color="auto" w:fill="F79646" w:themeFill="accent6"/>
      </w:tcPr>
    </w:tblStylePr>
    <w:tblStylePr w:type="lastCol">
      <w:pPr>
        <w:snapToGrid/>
      </w:pPr>
      <w:rPr>
        <w:rFonts w:ascii="Arial" w:hAnsi="Arial"/>
        <w:color w:val="F2F2F2"/>
        <w:sz w:val="22"/>
      </w:rPr>
      <w:tbl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DE9D8"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DE9D8"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
    <w:name w:val="Bordered &amp; Lined - Accent"/>
    <w:basedOn w:val="a1"/>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pPr>
        <w:snapToGrid/>
      </w:pPr>
      <w:rPr>
        <w:rFonts w:ascii="Arial" w:hAnsi="Arial"/>
        <w:color w:val="F2F2F2"/>
        <w:sz w:val="22"/>
      </w:rPr>
      <w:tblPr/>
      <w:tcPr>
        <w:shd w:val="clear" w:color="auto" w:fill="7F7F7F" w:themeFill="text1" w:themeFillTint="80"/>
      </w:tcPr>
    </w:tblStylePr>
    <w:tblStylePr w:type="lastRow">
      <w:pPr>
        <w:snapToGrid/>
      </w:pPr>
      <w:rPr>
        <w:rFonts w:ascii="Arial" w:hAnsi="Arial"/>
        <w:color w:val="F2F2F2"/>
        <w:sz w:val="22"/>
      </w:rPr>
      <w:tblPr/>
      <w:tcPr>
        <w:shd w:val="clear" w:color="auto" w:fill="7F7F7F" w:themeFill="text1" w:themeFillTint="80"/>
      </w:tcPr>
    </w:tblStylePr>
    <w:tblStylePr w:type="firstCol">
      <w:pPr>
        <w:snapToGrid/>
      </w:pPr>
      <w:rPr>
        <w:rFonts w:ascii="Arial" w:hAnsi="Arial"/>
        <w:color w:val="F2F2F2"/>
        <w:sz w:val="22"/>
      </w:rPr>
      <w:tblPr/>
      <w:tcPr>
        <w:shd w:val="clear" w:color="auto" w:fill="7F7F7F" w:themeFill="text1" w:themeFillTint="80"/>
      </w:tcPr>
    </w:tblStylePr>
    <w:tblStylePr w:type="lastCol">
      <w:pPr>
        <w:snapToGrid/>
      </w:pPr>
      <w:rPr>
        <w:rFonts w:ascii="Arial" w:hAnsi="Arial"/>
        <w:color w:val="F2F2F2"/>
        <w:sz w:val="22"/>
      </w:rPr>
      <w:tblPr/>
      <w:tcPr>
        <w:shd w:val="clear" w:color="auto" w:fill="7F7F7F" w:themeFill="text1" w:themeFillTint="80"/>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F2F2" w:themeFill="text1" w:themeFillTint="0D"/>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F2F2" w:themeFill="text1" w:themeFillTint="0D"/>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1">
    <w:name w:val="Bordered &amp; Lined - Accent 1"/>
    <w:basedOn w:val="a1"/>
    <w:uiPriority w:val="99"/>
    <w:qFormat/>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pPr>
        <w:snapToGrid/>
      </w:pPr>
      <w:rPr>
        <w:rFonts w:ascii="Arial" w:hAnsi="Arial"/>
        <w:color w:val="F2F2F2"/>
        <w:sz w:val="22"/>
      </w:rPr>
      <w:tblPr/>
      <w:tcPr>
        <w:shd w:val="clear" w:color="auto" w:fill="5D8AC2" w:themeFill="accent1" w:themeFillTint="EA"/>
      </w:tcPr>
    </w:tblStylePr>
    <w:tblStylePr w:type="lastRow">
      <w:pPr>
        <w:snapToGrid/>
      </w:pPr>
      <w:rPr>
        <w:rFonts w:ascii="Arial" w:hAnsi="Arial"/>
        <w:color w:val="F2F2F2"/>
        <w:sz w:val="22"/>
      </w:rPr>
      <w:tblPr/>
      <w:tcPr>
        <w:shd w:val="clear" w:color="auto" w:fill="5D8AC2" w:themeFill="accent1" w:themeFillTint="EA"/>
      </w:tcPr>
    </w:tblStylePr>
    <w:tblStylePr w:type="firstCol">
      <w:pPr>
        <w:snapToGrid/>
      </w:pPr>
      <w:rPr>
        <w:rFonts w:ascii="Arial" w:hAnsi="Arial"/>
        <w:color w:val="F2F2F2"/>
        <w:sz w:val="22"/>
      </w:rPr>
      <w:tblPr/>
      <w:tcPr>
        <w:shd w:val="clear" w:color="auto" w:fill="5D8AC2" w:themeFill="accent1" w:themeFillTint="EA"/>
      </w:tcPr>
    </w:tblStylePr>
    <w:tblStylePr w:type="lastCol">
      <w:pPr>
        <w:snapToGrid/>
      </w:pPr>
      <w:rPr>
        <w:rFonts w:ascii="Arial" w:hAnsi="Arial"/>
        <w:color w:val="F2F2F2"/>
        <w:sz w:val="22"/>
      </w:rPr>
      <w:tblPr/>
      <w:tcPr>
        <w:shd w:val="clear" w:color="auto" w:fill="5D8AC2" w:themeFill="accent1" w:themeFillTint="E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C7D7EA" w:themeFill="accent1" w:themeFillTint="50"/>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C7D7EA" w:themeFill="accent1" w:themeFillTint="50"/>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2">
    <w:name w:val="Bordered &amp; Lined - Accent 2"/>
    <w:basedOn w:val="a1"/>
    <w:uiPriority w:val="99"/>
    <w:qFormat/>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pPr>
        <w:snapToGrid/>
      </w:pPr>
      <w:rPr>
        <w:rFonts w:ascii="Arial" w:hAnsi="Arial"/>
        <w:color w:val="F2F2F2"/>
        <w:sz w:val="22"/>
      </w:rPr>
      <w:tblPr/>
      <w:tcPr>
        <w:shd w:val="clear" w:color="auto" w:fill="D99695" w:themeFill="accent2" w:themeFillTint="97"/>
      </w:tcPr>
    </w:tblStylePr>
    <w:tblStylePr w:type="lastRow">
      <w:pPr>
        <w:snapToGrid/>
      </w:pPr>
      <w:rPr>
        <w:rFonts w:ascii="Arial" w:hAnsi="Arial"/>
        <w:color w:val="F2F2F2"/>
        <w:sz w:val="22"/>
      </w:rPr>
      <w:tblPr/>
      <w:tcPr>
        <w:shd w:val="clear" w:color="auto" w:fill="D99695" w:themeFill="accent2" w:themeFillTint="97"/>
      </w:tcPr>
    </w:tblStylePr>
    <w:tblStylePr w:type="firstCol">
      <w:pPr>
        <w:snapToGrid/>
      </w:pPr>
      <w:rPr>
        <w:rFonts w:ascii="Arial" w:hAnsi="Arial"/>
        <w:color w:val="F2F2F2"/>
        <w:sz w:val="22"/>
      </w:rPr>
      <w:tblPr/>
      <w:tcPr>
        <w:shd w:val="clear" w:color="auto" w:fill="D99695" w:themeFill="accent2" w:themeFillTint="97"/>
      </w:tcPr>
    </w:tblStylePr>
    <w:tblStylePr w:type="lastCol">
      <w:pPr>
        <w:snapToGrid/>
      </w:pPr>
      <w:rPr>
        <w:rFonts w:ascii="Arial" w:hAnsi="Arial"/>
        <w:color w:val="F2F2F2"/>
        <w:sz w:val="22"/>
      </w:rPr>
      <w:tblPr/>
      <w:tcPr>
        <w:shd w:val="clear" w:color="auto" w:fill="D99695" w:themeFill="accent2" w:themeFillTint="97"/>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2DCDC" w:themeFill="accent2" w:themeFillTint="32"/>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2DCDC" w:themeFill="accent2" w:themeFillTint="32"/>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3">
    <w:name w:val="Bordered &amp; Lined - Accent 3"/>
    <w:basedOn w:val="a1"/>
    <w:uiPriority w:val="99"/>
    <w:qFormat/>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pPr>
        <w:snapToGrid/>
      </w:pPr>
      <w:rPr>
        <w:rFonts w:ascii="Arial" w:hAnsi="Arial"/>
        <w:color w:val="F2F2F2"/>
        <w:sz w:val="22"/>
      </w:rPr>
      <w:tblPr/>
      <w:tcPr>
        <w:shd w:val="clear" w:color="auto" w:fill="9ABB59" w:themeFill="accent3" w:themeFillTint="FE"/>
      </w:tcPr>
    </w:tblStylePr>
    <w:tblStylePr w:type="lastRow">
      <w:pPr>
        <w:snapToGrid/>
      </w:pPr>
      <w:rPr>
        <w:rFonts w:ascii="Arial" w:hAnsi="Arial"/>
        <w:color w:val="F2F2F2"/>
        <w:sz w:val="22"/>
      </w:rPr>
      <w:tblPr/>
      <w:tcPr>
        <w:shd w:val="clear" w:color="auto" w:fill="9ABB59" w:themeFill="accent3" w:themeFillTint="FE"/>
      </w:tcPr>
    </w:tblStylePr>
    <w:tblStylePr w:type="firstCol">
      <w:pPr>
        <w:snapToGrid/>
      </w:pPr>
      <w:rPr>
        <w:rFonts w:ascii="Arial" w:hAnsi="Arial"/>
        <w:color w:val="F2F2F2"/>
        <w:sz w:val="22"/>
      </w:rPr>
      <w:tblPr/>
      <w:tcPr>
        <w:shd w:val="clear" w:color="auto" w:fill="9ABB59" w:themeFill="accent3" w:themeFillTint="FE"/>
      </w:tcPr>
    </w:tblStylePr>
    <w:tblStylePr w:type="lastCol">
      <w:pPr>
        <w:snapToGrid/>
      </w:pPr>
      <w:rPr>
        <w:rFonts w:ascii="Arial" w:hAnsi="Arial"/>
        <w:color w:val="F2F2F2"/>
        <w:sz w:val="22"/>
      </w:rPr>
      <w:tblPr/>
      <w:tcPr>
        <w:shd w:val="clear" w:color="auto" w:fill="9ABB59" w:themeFill="accent3" w:themeFillTint="FE"/>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AF1DC" w:themeFill="accent3"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AF1DC" w:themeFill="accent3"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4">
    <w:name w:val="Bordered &amp; Lined - Accent 4"/>
    <w:basedOn w:val="a1"/>
    <w:uiPriority w:val="99"/>
    <w:qFormat/>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pPr>
        <w:snapToGrid/>
      </w:pPr>
      <w:rPr>
        <w:rFonts w:ascii="Arial" w:hAnsi="Arial"/>
        <w:color w:val="F2F2F2"/>
        <w:sz w:val="22"/>
      </w:rPr>
      <w:tblPr/>
      <w:tcPr>
        <w:shd w:val="clear" w:color="auto" w:fill="B2A1C6" w:themeFill="accent4" w:themeFillTint="9A"/>
      </w:tcPr>
    </w:tblStylePr>
    <w:tblStylePr w:type="lastRow">
      <w:pPr>
        <w:snapToGrid/>
      </w:pPr>
      <w:rPr>
        <w:rFonts w:ascii="Arial" w:hAnsi="Arial"/>
        <w:color w:val="F2F2F2"/>
        <w:sz w:val="22"/>
      </w:rPr>
      <w:tblPr/>
      <w:tcPr>
        <w:shd w:val="clear" w:color="auto" w:fill="B2A1C6" w:themeFill="accent4" w:themeFillTint="9A"/>
      </w:tcPr>
    </w:tblStylePr>
    <w:tblStylePr w:type="firstCol">
      <w:pPr>
        <w:snapToGrid/>
      </w:pPr>
      <w:rPr>
        <w:rFonts w:ascii="Arial" w:hAnsi="Arial"/>
        <w:color w:val="F2F2F2"/>
        <w:sz w:val="22"/>
      </w:rPr>
      <w:tblPr/>
      <w:tcPr>
        <w:shd w:val="clear" w:color="auto" w:fill="B2A1C6" w:themeFill="accent4" w:themeFillTint="9A"/>
      </w:tcPr>
    </w:tblStylePr>
    <w:tblStylePr w:type="lastCol">
      <w:pPr>
        <w:snapToGrid/>
      </w:pPr>
      <w:rPr>
        <w:rFonts w:ascii="Arial" w:hAnsi="Arial"/>
        <w:color w:val="F2F2F2"/>
        <w:sz w:val="22"/>
      </w:rPr>
      <w:tblPr/>
      <w:tcPr>
        <w:shd w:val="clear" w:color="auto" w:fill="B2A1C6" w:themeFill="accent4" w:themeFillTint="9A"/>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E5DFEC" w:themeFill="accent4"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E5DFEC" w:themeFill="accent4"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5">
    <w:name w:val="Bordered &amp; Lined - Accent 5"/>
    <w:basedOn w:val="a1"/>
    <w:uiPriority w:val="99"/>
    <w:qFormat/>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pPr>
        <w:snapToGrid/>
      </w:pPr>
      <w:rPr>
        <w:rFonts w:ascii="Arial" w:hAnsi="Arial"/>
        <w:color w:val="F2F2F2"/>
        <w:sz w:val="22"/>
      </w:rPr>
      <w:tblPr/>
      <w:tcPr>
        <w:shd w:val="clear" w:color="auto" w:fill="4BACC6" w:themeFill="accent5"/>
      </w:tcPr>
    </w:tblStylePr>
    <w:tblStylePr w:type="lastRow">
      <w:pPr>
        <w:snapToGrid/>
      </w:pPr>
      <w:rPr>
        <w:rFonts w:ascii="Arial" w:hAnsi="Arial"/>
        <w:color w:val="F2F2F2"/>
        <w:sz w:val="22"/>
      </w:rPr>
      <w:tblPr/>
      <w:tcPr>
        <w:shd w:val="clear" w:color="auto" w:fill="4BACC6" w:themeFill="accent5"/>
      </w:tcPr>
    </w:tblStylePr>
    <w:tblStylePr w:type="firstCol">
      <w:pPr>
        <w:snapToGrid/>
      </w:pPr>
      <w:rPr>
        <w:rFonts w:ascii="Arial" w:hAnsi="Arial"/>
        <w:color w:val="F2F2F2"/>
        <w:sz w:val="22"/>
      </w:rPr>
      <w:tblPr/>
      <w:tcPr>
        <w:shd w:val="clear" w:color="auto" w:fill="4BACC6" w:themeFill="accent5"/>
      </w:tcPr>
    </w:tblStylePr>
    <w:tblStylePr w:type="lastCol">
      <w:pPr>
        <w:snapToGrid/>
      </w:pPr>
      <w:rPr>
        <w:rFonts w:ascii="Arial" w:hAnsi="Arial"/>
        <w:color w:val="F2F2F2"/>
        <w:sz w:val="22"/>
      </w:rPr>
      <w:tblPr/>
      <w:tcPr>
        <w:shd w:val="clear" w:color="auto" w:fill="4BACC6" w:themeFill="accent5"/>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DAEEF3" w:themeFill="accent5"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DAEEF3" w:themeFill="accent5"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Lined-Accent6">
    <w:name w:val="Bordered &amp; Lined - Accent 6"/>
    <w:basedOn w:val="a1"/>
    <w:uiPriority w:val="99"/>
    <w:qFormat/>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pPr>
        <w:snapToGrid/>
      </w:pPr>
      <w:rPr>
        <w:rFonts w:ascii="Arial" w:hAnsi="Arial"/>
        <w:color w:val="F2F2F2"/>
        <w:sz w:val="22"/>
      </w:rPr>
      <w:tblPr/>
      <w:tcPr>
        <w:shd w:val="clear" w:color="auto" w:fill="F79646" w:themeFill="accent6"/>
      </w:tcPr>
    </w:tblStylePr>
    <w:tblStylePr w:type="lastRow">
      <w:pPr>
        <w:snapToGrid/>
      </w:pPr>
      <w:rPr>
        <w:rFonts w:ascii="Arial" w:hAnsi="Arial"/>
        <w:color w:val="F2F2F2"/>
        <w:sz w:val="22"/>
      </w:rPr>
      <w:tblPr/>
      <w:tcPr>
        <w:shd w:val="clear" w:color="auto" w:fill="F79646" w:themeFill="accent6"/>
      </w:tcPr>
    </w:tblStylePr>
    <w:tblStylePr w:type="firstCol">
      <w:pPr>
        <w:snapToGrid/>
      </w:pPr>
      <w:rPr>
        <w:rFonts w:ascii="Arial" w:hAnsi="Arial"/>
        <w:color w:val="F2F2F2"/>
        <w:sz w:val="22"/>
      </w:rPr>
      <w:tblPr/>
      <w:tcPr>
        <w:shd w:val="clear" w:color="auto" w:fill="F79646" w:themeFill="accent6"/>
      </w:tcPr>
    </w:tblStylePr>
    <w:tblStylePr w:type="lastCol">
      <w:pPr>
        <w:snapToGrid/>
      </w:pPr>
      <w:rPr>
        <w:rFonts w:ascii="Arial" w:hAnsi="Arial"/>
        <w:color w:val="F2F2F2"/>
        <w:sz w:val="22"/>
      </w:rPr>
      <w:tblPr/>
      <w:tcPr>
        <w:shd w:val="clear" w:color="auto" w:fill="F79646" w:themeFill="accent6"/>
      </w:tcPr>
    </w:tblStylePr>
    <w:tblStylePr w:type="band1Vert">
      <w:pPr>
        <w:snapToGrid/>
      </w:pPr>
      <w:rPr>
        <w:rFonts w:ascii="Arial" w:hAnsi="Arial"/>
        <w:color w:val="404040"/>
        <w:sz w:val="22"/>
      </w:rPr>
    </w:tblStylePr>
    <w:tblStylePr w:type="band2Vert">
      <w:pPr>
        <w:snapToGrid/>
      </w:pPr>
      <w:rPr>
        <w:rFonts w:ascii="Arial" w:hAnsi="Arial"/>
        <w:color w:val="404040"/>
        <w:sz w:val="22"/>
      </w:rPr>
      <w:tblPr/>
      <w:tcPr>
        <w:shd w:val="clear" w:color="auto" w:fill="FDE9D8" w:themeFill="accent6" w:themeFillTint="34"/>
      </w:tcPr>
    </w:tblStylePr>
    <w:tblStylePr w:type="band1Horz">
      <w:pPr>
        <w:snapToGrid/>
      </w:pPr>
      <w:rPr>
        <w:rFonts w:ascii="Arial" w:hAnsi="Arial"/>
        <w:color w:val="404040"/>
        <w:sz w:val="22"/>
      </w:rPr>
    </w:tblStylePr>
    <w:tblStylePr w:type="band2Horz">
      <w:pPr>
        <w:snapToGrid/>
      </w:pPr>
      <w:rPr>
        <w:rFonts w:ascii="Arial" w:hAnsi="Arial"/>
        <w:color w:val="404040"/>
        <w:sz w:val="22"/>
      </w:rPr>
      <w:tblPr/>
      <w:tcPr>
        <w:shd w:val="clear" w:color="auto" w:fill="FDE9D8" w:themeFill="accent6" w:themeFillTint="34"/>
      </w:tc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
    <w:name w:val="Bordered"/>
    <w:basedOn w:val="a1"/>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pPr>
        <w:snapToGrid/>
      </w:pPr>
      <w:rPr>
        <w:rFonts w:ascii="Arial" w:hAnsi="Arial"/>
        <w:color w:val="404040"/>
        <w:sz w:val="22"/>
      </w:rPr>
      <w:tblPr/>
      <w:tcPr>
        <w:tcBorders>
          <w:bottom w:val="single" w:sz="12" w:space="0" w:color="7F7F7F" w:themeColor="text1" w:themeTint="80"/>
        </w:tcBorders>
      </w:tcPr>
    </w:tblStylePr>
    <w:tblStylePr w:type="lastRow">
      <w:pPr>
        <w:snapToGrid/>
      </w:pPr>
      <w:rPr>
        <w:rFonts w:ascii="Arial" w:hAnsi="Arial"/>
        <w:color w:val="404040"/>
        <w:sz w:val="22"/>
      </w:rPr>
      <w:tblPr/>
      <w:tcPr>
        <w:tcBorders>
          <w:top w:val="single" w:sz="12" w:space="0" w:color="7F7F7F" w:themeColor="text1" w:themeTint="80"/>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7F7F7F" w:themeColor="text1" w:themeTint="80"/>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1">
    <w:name w:val="Bordered - Accent 1"/>
    <w:basedOn w:val="a1"/>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pPr>
        <w:snapToGrid/>
      </w:pPr>
      <w:rPr>
        <w:rFonts w:ascii="Arial" w:hAnsi="Arial"/>
        <w:color w:val="404040"/>
        <w:sz w:val="22"/>
      </w:rPr>
      <w:tblPr/>
      <w:tcPr>
        <w:tcBorders>
          <w:bottom w:val="single" w:sz="12" w:space="0" w:color="4F81BD" w:themeColor="accent1"/>
        </w:tcBorders>
      </w:tcPr>
    </w:tblStylePr>
    <w:tblStylePr w:type="lastRow">
      <w:pPr>
        <w:snapToGrid/>
      </w:pPr>
      <w:rPr>
        <w:rFonts w:ascii="Arial" w:hAnsi="Arial"/>
        <w:color w:val="404040"/>
        <w:sz w:val="22"/>
      </w:rPr>
      <w:tblPr/>
      <w:tcPr>
        <w:tcBorders>
          <w:top w:val="single" w:sz="12" w:space="0" w:color="4F81BD" w:themeColor="accent1"/>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4F81BD" w:themeColor="accent1"/>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2">
    <w:name w:val="Bordered - Accent 2"/>
    <w:basedOn w:val="a1"/>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pPr>
        <w:snapToGrid/>
      </w:pPr>
      <w:rPr>
        <w:rFonts w:ascii="Arial" w:hAnsi="Arial"/>
        <w:color w:val="404040"/>
        <w:sz w:val="22"/>
      </w:rPr>
      <w:tblPr/>
      <w:tcPr>
        <w:tcBorders>
          <w:bottom w:val="single" w:sz="12" w:space="0" w:color="D99695" w:themeColor="accent2" w:themeTint="97"/>
        </w:tcBorders>
      </w:tcPr>
    </w:tblStylePr>
    <w:tblStylePr w:type="lastRow">
      <w:pPr>
        <w:snapToGrid/>
      </w:pPr>
      <w:rPr>
        <w:rFonts w:ascii="Arial" w:hAnsi="Arial"/>
        <w:color w:val="404040"/>
        <w:sz w:val="22"/>
      </w:rPr>
      <w:tblPr/>
      <w:tcPr>
        <w:tcBorders>
          <w:top w:val="single" w:sz="12" w:space="0" w:color="D99695" w:themeColor="accent2" w:themeTint="97"/>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D99695" w:themeColor="accent2" w:themeTint="97"/>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3">
    <w:name w:val="Bordered - Accent 3"/>
    <w:basedOn w:val="a1"/>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pPr>
        <w:snapToGrid/>
      </w:pPr>
      <w:rPr>
        <w:rFonts w:ascii="Arial" w:hAnsi="Arial"/>
        <w:color w:val="404040"/>
        <w:sz w:val="22"/>
      </w:rPr>
      <w:tblPr/>
      <w:tcPr>
        <w:tcBorders>
          <w:bottom w:val="single" w:sz="12" w:space="0" w:color="C3D69B" w:themeColor="accent3" w:themeTint="98"/>
        </w:tcBorders>
      </w:tcPr>
    </w:tblStylePr>
    <w:tblStylePr w:type="lastRow">
      <w:pPr>
        <w:snapToGrid/>
      </w:pPr>
      <w:rPr>
        <w:rFonts w:ascii="Arial" w:hAnsi="Arial"/>
        <w:color w:val="404040"/>
        <w:sz w:val="22"/>
      </w:rPr>
      <w:tblPr/>
      <w:tcPr>
        <w:tcBorders>
          <w:top w:val="single" w:sz="12" w:space="0" w:color="C3D69B" w:themeColor="accent3" w:themeTint="98"/>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C3D69B" w:themeColor="accent3" w:themeTint="98"/>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4">
    <w:name w:val="Bordered - Accent 4"/>
    <w:basedOn w:val="a1"/>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pPr>
        <w:snapToGrid/>
      </w:pPr>
      <w:rPr>
        <w:rFonts w:ascii="Arial" w:hAnsi="Arial"/>
        <w:color w:val="404040"/>
        <w:sz w:val="22"/>
      </w:rPr>
      <w:tblPr/>
      <w:tcPr>
        <w:tcBorders>
          <w:bottom w:val="single" w:sz="12" w:space="0" w:color="B2A1C6" w:themeColor="accent4" w:themeTint="9A"/>
        </w:tcBorders>
      </w:tcPr>
    </w:tblStylePr>
    <w:tblStylePr w:type="lastRow">
      <w:pPr>
        <w:snapToGrid/>
      </w:pPr>
      <w:rPr>
        <w:rFonts w:ascii="Arial" w:hAnsi="Arial"/>
        <w:color w:val="404040"/>
        <w:sz w:val="22"/>
      </w:rPr>
      <w:tblPr/>
      <w:tcPr>
        <w:tcBorders>
          <w:top w:val="single" w:sz="12" w:space="0" w:color="B2A1C6" w:themeColor="accent4" w:themeTint="9A"/>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B2A1C6" w:themeColor="accent4" w:themeTint="9A"/>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5">
    <w:name w:val="Bordered - Accent 5"/>
    <w:basedOn w:val="a1"/>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pPr>
        <w:snapToGrid/>
      </w:pPr>
      <w:rPr>
        <w:rFonts w:ascii="Arial" w:hAnsi="Arial"/>
        <w:color w:val="404040"/>
        <w:sz w:val="22"/>
      </w:rPr>
      <w:tblPr/>
      <w:tcPr>
        <w:tcBorders>
          <w:bottom w:val="single" w:sz="12" w:space="0" w:color="92CCDC" w:themeColor="accent5" w:themeTint="9A"/>
        </w:tcBorders>
      </w:tcPr>
    </w:tblStylePr>
    <w:tblStylePr w:type="lastRow">
      <w:pPr>
        <w:snapToGrid/>
      </w:pPr>
      <w:rPr>
        <w:rFonts w:ascii="Arial" w:hAnsi="Arial"/>
        <w:color w:val="404040"/>
        <w:sz w:val="22"/>
      </w:rPr>
      <w:tblPr/>
      <w:tcPr>
        <w:tcBorders>
          <w:top w:val="single" w:sz="12" w:space="0" w:color="92CCDC" w:themeColor="accent5" w:themeTint="9A"/>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92CCDC" w:themeColor="accent5" w:themeTint="9A"/>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table" w:customStyle="1" w:styleId="Bordered-Accent6">
    <w:name w:val="Bordered - Accent 6"/>
    <w:basedOn w:val="a1"/>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pPr>
        <w:snapToGrid/>
      </w:pPr>
      <w:rPr>
        <w:rFonts w:ascii="Arial" w:hAnsi="Arial"/>
        <w:color w:val="404040"/>
        <w:sz w:val="22"/>
      </w:rPr>
      <w:tblPr/>
      <w:tcPr>
        <w:tcBorders>
          <w:bottom w:val="single" w:sz="12" w:space="0" w:color="FAC090" w:themeColor="accent6" w:themeTint="98"/>
        </w:tcBorders>
      </w:tcPr>
    </w:tblStylePr>
    <w:tblStylePr w:type="lastRow">
      <w:pPr>
        <w:snapToGrid/>
      </w:pPr>
      <w:rPr>
        <w:rFonts w:ascii="Arial" w:hAnsi="Arial"/>
        <w:color w:val="404040"/>
        <w:sz w:val="22"/>
      </w:rPr>
      <w:tblPr/>
      <w:tcPr>
        <w:tcBorders>
          <w:top w:val="single" w:sz="12" w:space="0" w:color="FAC090" w:themeColor="accent6" w:themeTint="98"/>
        </w:tcBorders>
      </w:tcPr>
    </w:tblStylePr>
    <w:tblStylePr w:type="firstCol">
      <w:pPr>
        <w:snapToGrid/>
      </w:pPr>
      <w:rPr>
        <w:rFonts w:ascii="Arial" w:hAnsi="Arial"/>
        <w:color w:val="404040"/>
        <w:sz w:val="22"/>
      </w:rPr>
    </w:tblStylePr>
    <w:tblStylePr w:type="lastCol">
      <w:pPr>
        <w:snapToGrid/>
      </w:pPr>
      <w:rPr>
        <w:rFonts w:ascii="Arial" w:hAnsi="Arial"/>
        <w:color w:val="404040"/>
        <w:sz w:val="22"/>
      </w:rPr>
      <w:tblPr/>
      <w:tcPr>
        <w:tcBorders>
          <w:left w:val="single" w:sz="12" w:space="0" w:color="FAC090" w:themeColor="accent6" w:themeTint="98"/>
        </w:tcBorders>
      </w:tcPr>
    </w:tblStylePr>
    <w:tblStylePr w:type="band1Vert">
      <w:pPr>
        <w:snapToGrid/>
      </w:pPr>
    </w:tblStylePr>
    <w:tblStylePr w:type="band2Vert">
      <w:pPr>
        <w:snapToGrid/>
      </w:pPr>
    </w:tblStylePr>
    <w:tblStylePr w:type="band1Horz">
      <w:pPr>
        <w:snapToGrid/>
      </w:pPr>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tblStylePr w:type="band2Horz">
      <w:pPr>
        <w:snapToGrid/>
      </w:pPr>
    </w:tblStylePr>
    <w:tblStylePr w:type="neCell">
      <w:pPr>
        <w:snapToGrid/>
      </w:pPr>
    </w:tblStylePr>
    <w:tblStylePr w:type="nwCell">
      <w:pPr>
        <w:snapToGrid/>
      </w:pPr>
    </w:tblStylePr>
    <w:tblStylePr w:type="seCell">
      <w:pPr>
        <w:snapToGrid/>
      </w:pPr>
    </w:tblStylePr>
    <w:tblStylePr w:type="swCell">
      <w:pPr>
        <w:snapToGrid/>
      </w:pPr>
    </w:tblStylePr>
  </w:style>
  <w:style w:type="character" w:customStyle="1" w:styleId="af0">
    <w:name w:val="脚注文本 字符"/>
    <w:link w:val="af"/>
    <w:uiPriority w:val="99"/>
    <w:qFormat/>
    <w:rPr>
      <w:sz w:val="18"/>
    </w:rPr>
  </w:style>
  <w:style w:type="paragraph" w:customStyle="1" w:styleId="TOC10">
    <w:name w:val="TOC 标题1"/>
    <w:uiPriority w:val="39"/>
    <w:unhideWhenUsed/>
    <w:qFormat/>
    <w:pPr>
      <w:pBdr>
        <w:top w:val="none" w:sz="0" w:space="0" w:color="000000"/>
        <w:left w:val="none" w:sz="0" w:space="0" w:color="000000"/>
        <w:bottom w:val="none" w:sz="0" w:space="0" w:color="000000"/>
        <w:right w:val="none" w:sz="0" w:space="0" w:color="000000"/>
        <w:between w:val="none" w:sz="0" w:space="0" w:color="000000"/>
      </w:pBdr>
    </w:pPr>
    <w:rPr>
      <w:szCs w:val="22"/>
      <w:lang w:eastAsia="en-US" w:bidi="en-US"/>
    </w:rPr>
  </w:style>
  <w:style w:type="paragraph" w:customStyle="1" w:styleId="afd">
    <w:name w:val="正文所"/>
    <w:basedOn w:val="a"/>
    <w:qFormat/>
    <w:pPr>
      <w:spacing w:line="360" w:lineRule="auto"/>
      <w:ind w:firstLine="420"/>
    </w:pPr>
    <w:rPr>
      <w:rFonts w:ascii="宋体"/>
      <w:szCs w:val="20"/>
    </w:rPr>
  </w:style>
  <w:style w:type="paragraph" w:customStyle="1" w:styleId="ParaChar">
    <w:name w:val="默认段落字体 Para Char"/>
    <w:basedOn w:val="a"/>
    <w:qFormat/>
    <w:pPr>
      <w:tabs>
        <w:tab w:val="left" w:pos="360"/>
      </w:tabs>
      <w:spacing w:before="312" w:after="312" w:line="360" w:lineRule="auto"/>
    </w:pPr>
  </w:style>
  <w:style w:type="paragraph" w:customStyle="1" w:styleId="CharCharCharChar">
    <w:name w:val="Char Char Char Char"/>
    <w:basedOn w:val="a"/>
    <w:qFormat/>
    <w:pPr>
      <w:tabs>
        <w:tab w:val="left" w:pos="360"/>
      </w:tabs>
    </w:pPr>
    <w:rPr>
      <w:szCs w:val="20"/>
    </w:rPr>
  </w:style>
  <w:style w:type="character" w:customStyle="1" w:styleId="11">
    <w:name w:val="批注文字 字符1"/>
    <w:link w:val="a6"/>
    <w:qFormat/>
    <w:rPr>
      <w:rFonts w:eastAsia="宋体"/>
      <w:sz w:val="21"/>
      <w:szCs w:val="24"/>
      <w:lang w:val="en-US" w:eastAsia="zh-CN" w:bidi="ar-SA"/>
    </w:rPr>
  </w:style>
  <w:style w:type="paragraph" w:customStyle="1" w:styleId="CharCharCharCharCharChar1CharCharChar">
    <w:name w:val="Char Char Char Char Char Char1 Char Char Char"/>
    <w:basedOn w:val="a"/>
    <w:qFormat/>
    <w:pPr>
      <w:jc w:val="left"/>
    </w:pPr>
    <w:rPr>
      <w:rFonts w:eastAsia="方正仿宋简体"/>
      <w:sz w:val="32"/>
      <w:szCs w:val="20"/>
    </w:rPr>
  </w:style>
  <w:style w:type="character" w:customStyle="1" w:styleId="CharChar1">
    <w:name w:val="Char Char1"/>
    <w:qFormat/>
    <w:rPr>
      <w:rFonts w:ascii="宋体" w:eastAsia="宋体" w:hAnsi="宋体"/>
      <w:sz w:val="21"/>
      <w:szCs w:val="24"/>
      <w:lang w:val="en-US" w:eastAsia="zh-CN" w:bidi="ar-SA"/>
    </w:rPr>
  </w:style>
  <w:style w:type="paragraph" w:customStyle="1" w:styleId="15">
    <w:name w:val="列出段落1"/>
    <w:basedOn w:val="a"/>
    <w:uiPriority w:val="34"/>
    <w:qFormat/>
    <w:pPr>
      <w:ind w:firstLine="420"/>
    </w:pPr>
  </w:style>
  <w:style w:type="paragraph" w:customStyle="1" w:styleId="113">
    <w:name w:val="无间隔11"/>
    <w:uiPriority w:val="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华文宋体" w:hAnsi="Times New Roman" w:cs="Times New Roman"/>
      <w:sz w:val="24"/>
      <w:szCs w:val="24"/>
    </w:rPr>
  </w:style>
  <w:style w:type="character" w:customStyle="1" w:styleId="aa">
    <w:name w:val="页脚 字符"/>
    <w:basedOn w:val="a0"/>
    <w:link w:val="a9"/>
    <w:uiPriority w:val="99"/>
    <w:qFormat/>
    <w:rPr>
      <w:rFonts w:eastAsia="华文宋体"/>
      <w:sz w:val="18"/>
      <w:szCs w:val="18"/>
    </w:rPr>
  </w:style>
  <w:style w:type="character" w:customStyle="1" w:styleId="afe">
    <w:name w:val="批注文字 字符"/>
    <w:qFormat/>
    <w:rPr>
      <w:sz w:val="21"/>
      <w:szCs w:val="24"/>
    </w:rPr>
  </w:style>
  <w:style w:type="paragraph" w:customStyle="1" w:styleId="Default">
    <w:name w:val="Default"/>
    <w:qFormat/>
    <w:pPr>
      <w:widowControl w:val="0"/>
      <w:pBdr>
        <w:top w:val="none" w:sz="0" w:space="0" w:color="000000"/>
        <w:left w:val="none" w:sz="0" w:space="0" w:color="000000"/>
        <w:bottom w:val="none" w:sz="0" w:space="0" w:color="000000"/>
        <w:right w:val="none" w:sz="0" w:space="0" w:color="000000"/>
        <w:between w:val="none" w:sz="0" w:space="0" w:color="000000"/>
      </w:pBdr>
    </w:pPr>
    <w:rPr>
      <w:rFonts w:ascii="仿宋" w:eastAsia="仿宋" w:hAnsi="Times New Roman" w:cs="仿宋"/>
      <w:color w:val="000000"/>
      <w:sz w:val="24"/>
      <w:szCs w:val="24"/>
    </w:rPr>
  </w:style>
  <w:style w:type="paragraph" w:customStyle="1" w:styleId="16">
    <w:name w:val="修订1"/>
    <w:hidden/>
    <w:uiPriority w:val="99"/>
    <w:semiHidden/>
    <w:qFormat/>
    <w:pPr>
      <w:pBdr>
        <w:top w:val="none" w:sz="0" w:space="0" w:color="000000"/>
        <w:left w:val="none" w:sz="0" w:space="0" w:color="000000"/>
        <w:bottom w:val="none" w:sz="0" w:space="0" w:color="000000"/>
        <w:right w:val="none" w:sz="0" w:space="0" w:color="000000"/>
        <w:between w:val="none" w:sz="0" w:space="0" w:color="000000"/>
      </w:pBdr>
    </w:pPr>
    <w:rPr>
      <w:rFonts w:ascii="Times New Roman" w:eastAsia="华文宋体" w:hAnsi="Times New Roman" w:cs="Times New Roman"/>
      <w:sz w:val="24"/>
      <w:szCs w:val="24"/>
    </w:rPr>
  </w:style>
  <w:style w:type="paragraph" w:customStyle="1" w:styleId="aff">
    <w:name w:val="段"/>
    <w:qFormat/>
    <w:pPr>
      <w:pBdr>
        <w:top w:val="none" w:sz="0" w:space="0" w:color="000000"/>
        <w:left w:val="none" w:sz="0" w:space="0" w:color="000000"/>
        <w:bottom w:val="none" w:sz="0" w:space="0" w:color="000000"/>
        <w:right w:val="none" w:sz="0" w:space="0" w:color="000000"/>
        <w:between w:val="none" w:sz="0" w:space="0" w:color="000000"/>
      </w:pBdr>
      <w:ind w:firstLine="200"/>
      <w:jc w:val="both"/>
    </w:pPr>
    <w:rPr>
      <w:rFonts w:ascii="宋体" w:cs="Times New Roman"/>
      <w:sz w:val="21"/>
      <w:szCs w:val="22"/>
    </w:rPr>
  </w:style>
  <w:style w:type="paragraph" w:customStyle="1" w:styleId="23">
    <w:name w:val="修订2"/>
    <w:hidden/>
    <w:uiPriority w:val="99"/>
    <w:semiHidden/>
    <w:qFormat/>
    <w:pPr>
      <w:pBdr>
        <w:top w:val="none" w:sz="0" w:space="0" w:color="000000"/>
        <w:left w:val="none" w:sz="0" w:space="0" w:color="000000"/>
        <w:bottom w:val="none" w:sz="0" w:space="0" w:color="000000"/>
        <w:right w:val="none" w:sz="0" w:space="0" w:color="000000"/>
        <w:between w:val="none" w:sz="0" w:space="0" w:color="000000"/>
      </w:pBdr>
    </w:pPr>
    <w:rPr>
      <w:rFonts w:ascii="Times New Roman" w:eastAsia="华文宋体" w:hAnsi="Times New Roman" w:cs="Times New Roman"/>
      <w:sz w:val="24"/>
      <w:szCs w:val="24"/>
    </w:rPr>
  </w:style>
  <w:style w:type="paragraph" w:customStyle="1" w:styleId="32">
    <w:name w:val="修订3"/>
    <w:hidden/>
    <w:uiPriority w:val="99"/>
    <w:unhideWhenUsed/>
    <w:qFormat/>
    <w:pPr>
      <w:pBdr>
        <w:top w:val="none" w:sz="0" w:space="0" w:color="000000"/>
        <w:left w:val="none" w:sz="0" w:space="0" w:color="000000"/>
        <w:bottom w:val="none" w:sz="0" w:space="0" w:color="000000"/>
        <w:right w:val="none" w:sz="0" w:space="0" w:color="000000"/>
        <w:between w:val="none" w:sz="0" w:space="0" w:color="000000"/>
      </w:pBdr>
    </w:pPr>
    <w:rPr>
      <w:rFonts w:ascii="Times New Roman" w:eastAsia="华文宋体" w:hAnsi="Times New Roman" w:cs="Times New Roman"/>
      <w:sz w:val="24"/>
      <w:szCs w:val="24"/>
    </w:rPr>
  </w:style>
  <w:style w:type="paragraph" w:customStyle="1" w:styleId="42">
    <w:name w:val="修订4"/>
    <w:hidden/>
    <w:uiPriority w:val="99"/>
    <w:unhideWhenUsed/>
    <w:qFormat/>
    <w:pPr>
      <w:pBdr>
        <w:top w:val="none" w:sz="0" w:space="0" w:color="000000"/>
        <w:left w:val="none" w:sz="0" w:space="0" w:color="000000"/>
        <w:bottom w:val="none" w:sz="0" w:space="0" w:color="000000"/>
        <w:right w:val="none" w:sz="0" w:space="0" w:color="000000"/>
        <w:between w:val="none" w:sz="0" w:space="0" w:color="000000"/>
      </w:pBdr>
    </w:pPr>
    <w:rPr>
      <w:rFonts w:ascii="Times New Roman" w:eastAsia="华文宋体" w:hAnsi="Times New Roman" w:cs="Times New Roman"/>
      <w:sz w:val="24"/>
      <w:szCs w:val="24"/>
    </w:rPr>
  </w:style>
  <w:style w:type="character" w:customStyle="1" w:styleId="font21">
    <w:name w:val="font21"/>
    <w:basedOn w:val="a0"/>
    <w:qFormat/>
    <w:rPr>
      <w:rFonts w:ascii="仿宋_GB2312" w:eastAsia="仿宋_GB2312" w:cs="仿宋_GB2312" w:hint="default"/>
      <w:color w:val="000000"/>
      <w:sz w:val="24"/>
      <w:szCs w:val="24"/>
      <w:u w:val="none"/>
    </w:rPr>
  </w:style>
  <w:style w:type="character" w:customStyle="1" w:styleId="Char1">
    <w:name w:val="批注文字 Char1"/>
    <w:uiPriority w:val="99"/>
    <w:qFormat/>
    <w:rPr>
      <w:sz w:val="21"/>
      <w:szCs w:val="24"/>
    </w:rPr>
  </w:style>
  <w:style w:type="character" w:customStyle="1" w:styleId="30">
    <w:name w:val="标题 3 字符"/>
    <w:basedOn w:val="a0"/>
    <w:link w:val="3"/>
    <w:qFormat/>
    <w:rPr>
      <w:rFonts w:ascii="Times New Roman" w:eastAsia="华文宋体" w:hAnsi="Times New Roman" w:cs="Times New Roman"/>
      <w:b/>
      <w:bCs/>
      <w:sz w:val="32"/>
      <w:szCs w:val="32"/>
    </w:rPr>
  </w:style>
  <w:style w:type="paragraph" w:customStyle="1" w:styleId="24">
    <w:name w:val="列出段落2"/>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宋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964F139-4948-4DAB-AAD2-215364D35A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11785</Words>
  <Characters>67181</Characters>
  <Application>Microsoft Office Word</Application>
  <DocSecurity>0</DocSecurity>
  <Lines>559</Lines>
  <Paragraphs>157</Paragraphs>
  <ScaleCrop>false</ScaleCrop>
  <Company>ICBC</Company>
  <LinksUpToDate>false</LinksUpToDate>
  <CharactersWithSpaces>78809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资产管理合同</dc:title>
  <dc:creator>黄绍华</dc:creator>
  <cp:lastModifiedBy>Xinyu Zhou</cp:lastModifiedBy>
  <cp:revision>2</cp:revision>
  <dcterms:created xsi:type="dcterms:W3CDTF">2021-09-30T01:17:00Z</dcterms:created>
  <dcterms:modified xsi:type="dcterms:W3CDTF">2021-09-30T01:17:00Z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6343A53330DC41218AA763BACB99BD85</vt:lpwstr>
  </property>
</Properties>
</file>