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560" w:lineRule="exact"/>
        <w:jc w:val="center"/>
        <w:rPr>
          <w:rFonts w:hint="eastAsia" w:ascii="黑体" w:hAnsi="黑体" w:eastAsia="黑体" w:cs="方正小标宋简体"/>
          <w:sz w:val="42"/>
          <w:szCs w:val="42"/>
          <w:lang w:eastAsia="zh-CN"/>
        </w:rPr>
      </w:pPr>
      <w:r>
        <w:rPr>
          <w:rFonts w:hint="eastAsia" w:ascii="黑体" w:hAnsi="黑体" w:eastAsia="黑体" w:cs="方正小标宋简体"/>
          <w:sz w:val="42"/>
          <w:szCs w:val="42"/>
        </w:rPr>
        <w:t>关于</w:t>
      </w:r>
      <w:r>
        <w:rPr>
          <w:rFonts w:hint="eastAsia" w:ascii="黑体" w:hAnsi="黑体" w:eastAsia="黑体" w:cs="方正小标宋简体"/>
          <w:sz w:val="42"/>
          <w:szCs w:val="42"/>
          <w:lang w:val="en-US" w:eastAsia="zh-CN"/>
        </w:rPr>
        <w:t>阳光橙增盈绝对收益策略2号</w:t>
      </w:r>
      <w:r>
        <w:rPr>
          <w:rFonts w:hint="eastAsia" w:ascii="黑体" w:hAnsi="黑体" w:eastAsia="黑体" w:cs="方正小标宋简体"/>
          <w:sz w:val="42"/>
          <w:szCs w:val="42"/>
        </w:rPr>
        <w:t>成立资管计划进行投资的</w:t>
      </w:r>
      <w:r>
        <w:rPr>
          <w:rFonts w:hint="eastAsia" w:ascii="黑体" w:hAnsi="黑体" w:eastAsia="黑体" w:cs="方正小标宋简体"/>
          <w:sz w:val="42"/>
          <w:szCs w:val="42"/>
          <w:lang w:val="en-US" w:eastAsia="zh-CN"/>
        </w:rPr>
        <w:t>申请</w:t>
      </w:r>
    </w:p>
    <w:p>
      <w:p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阳光橙增盈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绝对收益2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号预计将于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2021年9月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正式成立。根据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产品投资策略安排和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目标收益水平测算，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权益类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净多头仓位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约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15%左右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区间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自主管理的商品及衍生品仓位约在10%左右区间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（具体建仓安排另行汇报）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为了更好利用股票仓位价值、统筹管理权益敞口、提升衍生品交易灵活性，拟申请成立3个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资产管理计划进行股票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和权益类基金投资、股票打新、衍生品交易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相关操作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相关投资策略由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我司提供，并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由资产计划管理人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在我司授权范围内执行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投资操作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具体安排汇报如下：</w:t>
      </w:r>
    </w:p>
    <w:p>
      <w:pPr>
        <w:widowControl/>
        <w:numPr>
          <w:ilvl w:val="0"/>
          <w:numId w:val="1"/>
        </w:numPr>
        <w:spacing w:beforeLines="25" w:afterLines="25"/>
        <w:ind w:firstLine="640" w:firstLineChars="200"/>
        <w:jc w:val="left"/>
        <w:rPr>
          <w:rFonts w:hint="default" w:ascii="仿宋" w:hAnsi="仿宋" w:cs="仿宋"/>
          <w:b w:val="0"/>
          <w:bCs w:val="0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 w:val="0"/>
          <w:bCs w:val="0"/>
          <w:szCs w:val="32"/>
        </w:rPr>
        <w:t>申请理由</w:t>
      </w:r>
    </w:p>
    <w:p>
      <w:pPr>
        <w:spacing w:line="600" w:lineRule="exact"/>
        <w:ind w:firstLine="630"/>
        <w:rPr>
          <w:rFonts w:hint="default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（一）便于股票资产参与打新</w:t>
      </w:r>
    </w:p>
    <w:p>
      <w:pPr>
        <w:spacing w:line="600" w:lineRule="exact"/>
        <w:ind w:firstLine="630"/>
        <w:rPr>
          <w:rFonts w:hint="default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目前我司能够使用产品自己的交易所账户参与打新，但相较于通过券商资管计划进行线下打新，网上打新在中签率、打新获配比例、分配规则方面不具备优势。</w:t>
      </w:r>
    </w:p>
    <w:p>
      <w:pPr>
        <w:spacing w:line="600" w:lineRule="exact"/>
        <w:ind w:firstLine="630"/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根据目前新股发行制度，网下打新对资产规模有上限要求。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因此，通过多个规模适中的资管计划进行打新，能够进一步增厚投资收益。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按照目前的市场情况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中性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测算，预计单一账户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亿资产规模能够增厚收益率5%，单一账户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亿资产规模能够增厚整体收益率1%；如果将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亿资产规模拆成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亿的专户，能够将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亿资产规模每年增厚5%的收益率，相对于单一专户提高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4%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的收益率。因此，拟适当分散股票专户，提升投收益水平。</w:t>
      </w:r>
    </w:p>
    <w:p>
      <w:pPr>
        <w:spacing w:line="600" w:lineRule="exact"/>
        <w:ind w:firstLine="630"/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便于衍生品投资交易</w:t>
      </w:r>
    </w:p>
    <w:p>
      <w:pPr>
        <w:spacing w:line="600" w:lineRule="exact"/>
        <w:ind w:firstLine="630"/>
        <w:rPr>
          <w:rFonts w:hint="default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为符合监管部门对投资衍生品的相关要求同时更好地整合券商、外资银行和期货子公司等交易对手资源，申请由基金子公司设立资管计划作为中介代理机构，全面执行我司的衍生品交易指令、基础资产买卖指令等交易工作，并协助我司进行资产估值、风险监控等工作。</w:t>
      </w:r>
    </w:p>
    <w:p>
      <w:pPr>
        <w:widowControl/>
        <w:numPr>
          <w:ilvl w:val="0"/>
          <w:numId w:val="1"/>
        </w:numPr>
        <w:spacing w:beforeLines="25" w:afterLines="25"/>
        <w:ind w:firstLine="640" w:firstLineChars="200"/>
        <w:jc w:val="left"/>
        <w:rPr>
          <w:rFonts w:hint="default" w:ascii="黑体" w:hAnsi="黑体" w:eastAsia="黑体"/>
          <w:b w:val="0"/>
          <w:bCs w:val="0"/>
          <w:szCs w:val="32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Cs w:val="32"/>
          <w:lang w:val="en-US" w:eastAsia="zh-CN"/>
        </w:rPr>
        <w:t>投资策略安排</w:t>
      </w:r>
    </w:p>
    <w:p>
      <w:pPr>
        <w:numPr>
          <w:ilvl w:val="0"/>
          <w:numId w:val="2"/>
        </w:num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股票投资部分：股票投资由我司根据投资策略和授权提供。同时，委托券商管理人进行打新操作。中签股票根据监管规定和相关打新规则在二级市场卖出。原则上，若非限售，主板股票开板后5个交易日内卖出、创业板、科创板股票上市5个交易日内卖出。</w:t>
      </w:r>
    </w:p>
    <w:p>
      <w:pPr>
        <w:numPr>
          <w:ilvl w:val="0"/>
          <w:numId w:val="2"/>
        </w:num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基金投资部分：基金投资由我司根据投资策略和授权提供。</w:t>
      </w:r>
    </w:p>
    <w:p>
      <w:pPr>
        <w:numPr>
          <w:ilvl w:val="0"/>
          <w:numId w:val="2"/>
        </w:num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衍生投资部分：衍生投资由我司根据投资策略和授权提供。</w:t>
      </w:r>
    </w:p>
    <w:p>
      <w:pPr>
        <w:numPr>
          <w:ilvl w:val="0"/>
          <w:numId w:val="2"/>
        </w:numPr>
        <w:spacing w:line="600" w:lineRule="exact"/>
        <w:ind w:firstLine="636"/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投资比例安排：投资于固定收益类金融产品的比例不超过80%；投资于权益类金融产品的比例不超过80%；投资于商品及金融衍生品类金融产品的比例不超过80%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pacing w:beforeLines="25" w:afterLines="25"/>
        <w:ind w:firstLine="640" w:firstLineChars="200"/>
        <w:jc w:val="left"/>
        <w:rPr>
          <w:rFonts w:hint="eastAsia" w:ascii="黑体" w:hAnsi="黑体" w:eastAsia="黑体"/>
          <w:b w:val="0"/>
          <w:bCs w:val="0"/>
          <w:szCs w:val="32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Cs w:val="32"/>
          <w:lang w:val="en-US" w:eastAsia="zh-CN"/>
        </w:rPr>
        <w:t>业务结构</w:t>
      </w:r>
    </w:p>
    <w:p>
      <w:pPr>
        <w:spacing w:line="600" w:lineRule="exact"/>
        <w:ind w:firstLine="636"/>
        <w:rPr>
          <w:rFonts w:ascii="仿宋" w:hAnsi="仿宋" w:cs="仿宋"/>
          <w:bCs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bCs/>
          <w:color w:val="000000" w:themeColor="text1"/>
          <w:szCs w:val="32"/>
          <w14:textFill>
            <w14:solidFill>
              <w14:schemeClr w14:val="tx1"/>
            </w14:solidFill>
          </w14:textFill>
        </w:rPr>
        <w:t>新增</w:t>
      </w:r>
      <w:r>
        <w:rPr>
          <w:rFonts w:hint="eastAsia" w:ascii="仿宋" w:hAnsi="仿宋" w:cs="仿宋"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cs="仿宋"/>
          <w:bCs/>
          <w:color w:val="000000" w:themeColor="text1"/>
          <w:szCs w:val="32"/>
          <w14:textFill>
            <w14:solidFill>
              <w14:schemeClr w14:val="tx1"/>
            </w14:solidFill>
          </w14:textFill>
        </w:rPr>
        <w:t>个资产管理计划用于理财产品的</w:t>
      </w:r>
      <w:r>
        <w:rPr>
          <w:rFonts w:hint="eastAsia" w:ascii="仿宋" w:hAnsi="仿宋" w:cs="仿宋"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权益资产和衍生品</w:t>
      </w:r>
      <w:r>
        <w:rPr>
          <w:rFonts w:hint="eastAsia" w:ascii="仿宋" w:hAnsi="仿宋" w:cs="仿宋"/>
          <w:bCs/>
          <w:color w:val="000000" w:themeColor="text1"/>
          <w:szCs w:val="32"/>
          <w14:textFill>
            <w14:solidFill>
              <w14:schemeClr w14:val="tx1"/>
            </w14:solidFill>
          </w14:textFill>
        </w:rPr>
        <w:t>投资（每个资管计划根据</w:t>
      </w:r>
      <w:r>
        <w:rPr>
          <w:rFonts w:hint="eastAsia" w:ascii="仿宋" w:hAnsi="仿宋" w:cs="仿宋"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建仓节奏</w:t>
      </w:r>
      <w:r>
        <w:rPr>
          <w:rFonts w:hint="eastAsia" w:ascii="仿宋" w:hAnsi="仿宋" w:cs="仿宋"/>
          <w:bCs/>
          <w:color w:val="000000" w:themeColor="text1"/>
          <w:szCs w:val="32"/>
          <w14:textFill>
            <w14:solidFill>
              <w14:schemeClr w14:val="tx1"/>
            </w14:solidFill>
          </w14:textFill>
        </w:rPr>
        <w:t>需要陆续启用），业务结构如下：</w:t>
      </w:r>
    </w:p>
    <w:p>
      <w:pPr>
        <w:spacing w:line="600" w:lineRule="exact"/>
        <w:jc w:val="center"/>
        <w:rPr>
          <w:rFonts w:ascii="仿宋" w:hAnsi="仿宋" w:cs="仿宋"/>
          <w:color w:val="000000" w:themeColor="text1"/>
          <w:sz w:val="2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 w:val="22"/>
          <w:szCs w:val="32"/>
          <w14:textFill>
            <w14:solidFill>
              <w14:schemeClr w14:val="tx1"/>
            </w14:solidFill>
          </w14:textFill>
        </w:rPr>
        <w:t>图表1</w:t>
      </w:r>
      <w:r>
        <w:rPr>
          <w:rFonts w:hint="eastAsia" w:ascii="仿宋" w:hAnsi="仿宋" w:cs="仿宋"/>
          <w:color w:val="000000" w:themeColor="text1"/>
          <w:sz w:val="22"/>
          <w:szCs w:val="32"/>
          <w14:textFill>
            <w14:solidFill>
              <w14:schemeClr w14:val="tx1"/>
            </w14:solidFill>
          </w14:textFill>
        </w:rPr>
        <w:t>：理财</w:t>
      </w:r>
      <w:r>
        <w:rPr>
          <w:rFonts w:ascii="仿宋" w:hAnsi="仿宋" w:cs="仿宋"/>
          <w:color w:val="000000" w:themeColor="text1"/>
          <w:sz w:val="22"/>
          <w:szCs w:val="32"/>
          <w14:textFill>
            <w14:solidFill>
              <w14:schemeClr w14:val="tx1"/>
            </w14:solidFill>
          </w14:textFill>
        </w:rPr>
        <w:t>产品</w:t>
      </w:r>
      <w:r>
        <w:rPr>
          <w:rFonts w:hint="eastAsia" w:ascii="仿宋" w:hAnsi="仿宋" w:cs="仿宋"/>
          <w:color w:val="000000" w:themeColor="text1"/>
          <w:sz w:val="22"/>
          <w:szCs w:val="32"/>
          <w14:textFill>
            <w14:solidFill>
              <w14:schemeClr w14:val="tx1"/>
            </w14:solidFill>
          </w14:textFill>
        </w:rPr>
        <w:t>投资集合资产管理计划的投资架构</w: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9525</wp:posOffset>
                </wp:positionV>
                <wp:extent cx="3456940" cy="463550"/>
                <wp:effectExtent l="6350" t="6350" r="2286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10" cy="46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95pt;margin-top:0.75pt;height:36.5pt;width:272.2pt;z-index:251659264;v-text-anchor:middle;mso-width-relative:page;mso-height-relative:page;" filled="f" stroked="t" coordsize="21600,21600" o:gfxdata="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Rgl6nXAAAACAEAAA8AAAAAAAAAAQAgAAAAIgAAAGRycy9k&#10;b3ducmV2LnhtbFBLAQIUABQAAAAIAIdO4kD2E3kMdQIAAOQ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理财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106680</wp:posOffset>
                </wp:positionV>
                <wp:extent cx="242570" cy="332740"/>
                <wp:effectExtent l="15240" t="6350" r="27940" b="2286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332509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8.2pt;margin-top:8.4pt;height:26.2pt;width:19.1pt;z-index:251661312;v-text-anchor:middle;mso-width-relative:page;mso-height-relative:page;" filled="f" stroked="t" coordsize="21600,21600" o:gfxdata="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WcCItgAAAAJAQAADwAAAAAAAAABACAAAAAiAAAA&#10;ZHJzL2Rvd25yZXYueG1sUEsBAhQAFAAAAAgAh07iQI5aibp5AgAA4gQAAA4AAAAAAAAAAQAgAAAA&#10;JwEAAGRycy9lMm9Eb2MueG1sUEsFBgAAAAAGAAYAWQEAABIGAAAAAA==&#10;" adj="13726,5400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100965</wp:posOffset>
                </wp:positionV>
                <wp:extent cx="4017645" cy="512445"/>
                <wp:effectExtent l="6350" t="635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8" cy="5126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集合资产管理计划（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混合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类一对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或一对多专户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9pt;margin-top:7.95pt;height:40.35pt;width:316.35pt;z-index:251660288;v-text-anchor:middle;mso-width-relative:page;mso-height-relative:page;" filled="f" stroked="t" coordsize="21600,21600" o:gfxdata="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J4cQ9cAAAAJAQAADwAAAAAAAAABACAAAAAiAAAAZHJzL2Rv&#10;d25yZXYueG1sUEsBAhQAFAAAAAgAh07iQNRuaq10AgAA5AQAAA4AAAAAAAAAAQAgAAAAJg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集合资产管理计划（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混合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类一对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专户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或一对多专户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245110</wp:posOffset>
                </wp:positionV>
                <wp:extent cx="283210" cy="339725"/>
                <wp:effectExtent l="15240" t="6350" r="25400" b="1587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41" cy="339437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6.35pt;margin-top:19.3pt;height:26.75pt;width:22.3pt;z-index:251663360;v-text-anchor:middle;mso-width-relative:page;mso-height-relative:page;" filled="f" stroked="t" coordsize="21600,21600" o:gfxdata="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kfPudkAAAAJAQAADwAAAAAAAAABACAAAAAiAAAA&#10;ZHJzL2Rvd25yZXYueG1sUEsBAhQAFAAAAAgAh07iQMNhG114AgAA4gQAAA4AAAAAAAAAAQAgAAAA&#10;KAEAAGRycy9lMm9Eb2MueG1sUEsFBgAAAAAGAAYAWQEAABIGAAAAAA==&#10;" adj="12582,5400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217170</wp:posOffset>
                </wp:positionV>
                <wp:extent cx="1821815" cy="422275"/>
                <wp:effectExtent l="6350" t="6350" r="1968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42256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股票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和衍生品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投资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85pt;margin-top:17.1pt;height:33.25pt;width:143.45pt;z-index:251662336;v-text-anchor:middle;mso-width-relative:page;mso-height-relative:page;" filled="f" stroked="t" coordsize="21600,21600" o:gfxdata="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TDRzNgAAAAKAQAADwAAAAAAAAABACAAAAAiAAAAZHJz&#10;L2Rvd25yZXYueG1sUEsBAhQAFAAAAAgAh07iQMQUKa12AgAA5gQAAA4AAAAAAAAAAQAgAAAAJw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股票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和衍生品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投资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600" w:lineRule="exact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ind w:firstLine="636"/>
        <w:rPr>
          <w:rFonts w:ascii="仿宋" w:hAnsi="仿宋" w:cs="仿宋"/>
          <w:b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b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="仿宋" w:hAnsi="仿宋" w:cs="仿宋"/>
          <w:b/>
          <w:color w:val="000000" w:themeColor="text1"/>
          <w:szCs w:val="32"/>
          <w14:textFill>
            <w14:solidFill>
              <w14:schemeClr w14:val="tx1"/>
            </w14:solidFill>
          </w14:textFill>
        </w:rPr>
        <w:t>合作机构</w:t>
      </w:r>
      <w:bookmarkStart w:id="1" w:name="_GoBack"/>
      <w:bookmarkEnd w:id="1"/>
    </w:p>
    <w:p>
      <w:pPr>
        <w:spacing w:line="600" w:lineRule="exact"/>
        <w:ind w:firstLine="636"/>
        <w:rPr>
          <w:rFonts w:hint="eastAsia" w:ascii="仿宋" w:hAnsi="仿宋" w:eastAsia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资管计划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管理人</w:t>
      </w: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选取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经我司批准的</w:t>
      </w: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合作机构白名单内的证券公司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和基金子公司，资管计划管理费率原则上</w:t>
      </w:r>
      <w:r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不超过</w:t>
      </w:r>
      <w:r>
        <w:rPr>
          <w:rFonts w:hint="eastAsia" w:ascii="仿宋" w:hAnsi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0.1%</w:t>
      </w:r>
      <w:r>
        <w:rPr>
          <w:rFonts w:hint="eastAsia" w:ascii="仿宋" w:hAnsi="仿宋" w:cs="仿宋"/>
          <w:color w:val="000000" w:themeColor="text1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600" w:lineRule="exact"/>
        <w:ind w:firstLine="630"/>
        <w:rPr>
          <w:rFonts w:hint="eastAsia"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特此汇报</w:t>
      </w:r>
    </w:p>
    <w:p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Lines="50" w:line="600" w:lineRule="exact"/>
        <w:ind w:right="298" w:firstLine="641"/>
        <w:jc w:val="right"/>
        <w:rPr>
          <w:rFonts w:ascii="仿宋" w:hAnsi="仿宋" w:cs="仿宋_GB2312"/>
          <w:szCs w:val="32"/>
        </w:rPr>
      </w:pPr>
      <w:r>
        <w:rPr>
          <w:rFonts w:hint="eastAsia" w:ascii="仿宋" w:hAnsi="仿宋" w:cs="仿宋_GB2312"/>
          <w:szCs w:val="32"/>
        </w:rPr>
        <w:t>股票投资部</w:t>
      </w:r>
    </w:p>
    <w:p>
      <w:pPr>
        <w:jc w:val="right"/>
      </w:pPr>
      <w:bookmarkStart w:id="0" w:name="body"/>
      <w:bookmarkEnd w:id="0"/>
      <w:r>
        <w:rPr>
          <w:szCs w:val="32"/>
        </w:rPr>
        <w:t>202</w:t>
      </w:r>
      <w:r>
        <w:rPr>
          <w:rFonts w:hint="eastAsia"/>
          <w:szCs w:val="32"/>
        </w:rPr>
        <w:t>1</w:t>
      </w:r>
      <w:r>
        <w:rPr>
          <w:szCs w:val="32"/>
        </w:rPr>
        <w:t>年</w:t>
      </w:r>
      <w:r>
        <w:rPr>
          <w:rFonts w:hint="eastAsia"/>
          <w:szCs w:val="32"/>
          <w:lang w:val="en-US" w:eastAsia="zh-CN"/>
        </w:rPr>
        <w:t>8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lang w:val="en-US" w:eastAsia="zh-CN"/>
        </w:rPr>
        <w:t>27</w:t>
      </w:r>
      <w:r>
        <w:rPr>
          <w:szCs w:val="32"/>
        </w:rPr>
        <w:t>日</w:t>
      </w: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2AE4C"/>
    <w:multiLevelType w:val="singleLevel"/>
    <w:tmpl w:val="52A2AE4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338F76F"/>
    <w:multiLevelType w:val="singleLevel"/>
    <w:tmpl w:val="5338F76F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16"/>
    <w:rsid w:val="0009225F"/>
    <w:rsid w:val="000B0F6E"/>
    <w:rsid w:val="000F6795"/>
    <w:rsid w:val="001154D7"/>
    <w:rsid w:val="001F22F9"/>
    <w:rsid w:val="00204F23"/>
    <w:rsid w:val="002A10B8"/>
    <w:rsid w:val="002C4C66"/>
    <w:rsid w:val="002C557E"/>
    <w:rsid w:val="002F0FD6"/>
    <w:rsid w:val="00314116"/>
    <w:rsid w:val="00343867"/>
    <w:rsid w:val="0043191E"/>
    <w:rsid w:val="00441F5A"/>
    <w:rsid w:val="00485C7D"/>
    <w:rsid w:val="00490655"/>
    <w:rsid w:val="00495A70"/>
    <w:rsid w:val="004A0FA0"/>
    <w:rsid w:val="00522C96"/>
    <w:rsid w:val="005B4D7A"/>
    <w:rsid w:val="005B6A3F"/>
    <w:rsid w:val="006A4628"/>
    <w:rsid w:val="006B2F8E"/>
    <w:rsid w:val="00727D60"/>
    <w:rsid w:val="00793F75"/>
    <w:rsid w:val="007A0027"/>
    <w:rsid w:val="008353E2"/>
    <w:rsid w:val="008573CE"/>
    <w:rsid w:val="008D74C1"/>
    <w:rsid w:val="00925B62"/>
    <w:rsid w:val="00942F3F"/>
    <w:rsid w:val="009C4176"/>
    <w:rsid w:val="00A730A8"/>
    <w:rsid w:val="00AA6BF9"/>
    <w:rsid w:val="00B242F6"/>
    <w:rsid w:val="00BD3F2B"/>
    <w:rsid w:val="00BE255B"/>
    <w:rsid w:val="00CF68D7"/>
    <w:rsid w:val="00DD567E"/>
    <w:rsid w:val="00DF440D"/>
    <w:rsid w:val="00E12E24"/>
    <w:rsid w:val="00E83E26"/>
    <w:rsid w:val="00EC1F94"/>
    <w:rsid w:val="00F40DE7"/>
    <w:rsid w:val="00F86895"/>
    <w:rsid w:val="00FF3A47"/>
    <w:rsid w:val="07F306C3"/>
    <w:rsid w:val="148C0B35"/>
    <w:rsid w:val="18E164CC"/>
    <w:rsid w:val="1A09573F"/>
    <w:rsid w:val="20105C6D"/>
    <w:rsid w:val="20BA0FFD"/>
    <w:rsid w:val="2A654BDC"/>
    <w:rsid w:val="2BB540BB"/>
    <w:rsid w:val="31360EB8"/>
    <w:rsid w:val="32250A28"/>
    <w:rsid w:val="324A32C5"/>
    <w:rsid w:val="3BDB28B2"/>
    <w:rsid w:val="3D3916BD"/>
    <w:rsid w:val="420960F0"/>
    <w:rsid w:val="4735279B"/>
    <w:rsid w:val="47F561B8"/>
    <w:rsid w:val="4B7635D3"/>
    <w:rsid w:val="55E22DDD"/>
    <w:rsid w:val="5B5F1793"/>
    <w:rsid w:val="5DFC436B"/>
    <w:rsid w:val="6B9546A9"/>
    <w:rsid w:val="749755EA"/>
    <w:rsid w:val="79996EA8"/>
    <w:rsid w:val="7BB76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570</Characters>
  <Lines>4</Lines>
  <Paragraphs>1</Paragraphs>
  <TotalTime>211</TotalTime>
  <ScaleCrop>false</ScaleCrop>
  <LinksUpToDate>false</LinksUpToDate>
  <CharactersWithSpaces>668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2021-01-07T06:11:00Z</dcterms:created>
  <dc:creator>方 伟宁</dc:creator>
  <cp:lastModifiedBy>霓霓</cp:lastModifiedBy>
  <dcterms:modified xsi:type="dcterms:W3CDTF">2021-08-27T08:41:40Z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