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spacing w:before="300"/>
        <w:jc w:val="center"/>
      </w:pPr>
      <w:r>
        <w:rPr>
          <w:b/>
          <w:bCs/>
          <w:color w:val="1F2933"/>
          <w:sz w:val="72"/>
          <w:szCs w:val="72"/>
        </w:rPr>
        <w:t xml:space="preserve">ALmaze</w:t>
      </w:r>
    </w:p>
    <w:p>
      <w:pPr>
        <w:jc w:val="center"/>
      </w:pPr>
      <w:r>
        <w:rPr>
          <w:color w:val="0F6CBD"/>
          <w:sz w:val="30"/>
          <w:szCs w:val="30"/>
        </w:rPr>
        <w:t xml:space="preserve">Votre chemin dans le code Business Central</w:t>
      </w:r>
    </w:p>
    <w:p>
      <w:pPr>
        <w:spacing w:before="600"/>
        <w:jc w:val="center"/>
      </w:pPr>
      <w:r>
        <w:rPr>
          <w:color w:val="1F2933"/>
          <w:sz w:val="36"/>
          <w:szCs w:val="36"/>
        </w:rPr>
        <w:t xml:space="preserve">Manuel utilisateur</w:t>
      </w:r>
    </w:p>
    <w:p>
      <w:pPr>
        <w:spacing w:before="120"/>
        <w:jc w:val="center"/>
      </w:pPr>
      <w:r>
        <w:rPr>
          <w:color w:val="5B6573"/>
          <w:sz w:val="22"/>
          <w:szCs w:val="22"/>
        </w:rPr>
        <w:t xml:space="preserve">Version 1.4.0 · octobre 2026</w:t>
      </w:r>
    </w:p>
    <w:p>
      <w:r>
        <w:br w:type="page"/>
      </w:r>
    </w:p>
    <w:p>
      <w:pPr>
        <w:pStyle w:val="Heading1"/>
      </w:pPr>
      <w:r>
        <w:t xml:space="preserve">Sommaire</w:t>
      </w:r>
    </w:p>
    <w:p>
      <w:pPr>
        <w:spacing w:after="90"/>
      </w:pPr>
      <w:hyperlink w:history="1" w:anchor="presentation">
        <w:r>
          <w:rPr>
            <w:color w:val="1F2933"/>
            <w:sz w:val="23"/>
            <w:szCs w:val="23"/>
          </w:rPr>
          <w:t xml:space="preserve">1.  Présentation</w:t>
        </w:r>
      </w:hyperlink>
    </w:p>
    <w:p>
      <w:pPr>
        <w:spacing w:after="90"/>
      </w:pPr>
      <w:hyperlink w:history="1" w:anchor="nouveautes">
        <w:r>
          <w:rPr>
            <w:color w:val="1F2933"/>
            <w:sz w:val="23"/>
            <w:szCs w:val="23"/>
          </w:rPr>
          <w:t xml:space="preserve">2.  Nouveautés de la version 1.4</w:t>
        </w:r>
      </w:hyperlink>
    </w:p>
    <w:p>
      <w:pPr>
        <w:spacing w:after="90"/>
      </w:pPr>
      <w:hyperlink w:history="1" w:anchor="installation">
        <w:r>
          <w:rPr>
            <w:color w:val="1F2933"/>
            <w:sz w:val="23"/>
            <w:szCs w:val="23"/>
          </w:rPr>
          <w:t xml:space="preserve">3.  Installation et mises à jour</w:t>
        </w:r>
      </w:hyperlink>
    </w:p>
    <w:p>
      <w:pPr>
        <w:spacing w:after="90"/>
      </w:pPr>
      <w:hyperlink w:history="1" w:anchor="ouvrir">
        <w:r>
          <w:rPr>
            <w:color w:val="1F2933"/>
            <w:sz w:val="23"/>
            <w:szCs w:val="23"/>
          </w:rPr>
          <w:t xml:space="preserve">4.  Ouvrir un corpus</w:t>
        </w:r>
      </w:hyperlink>
    </w:p>
    <w:p>
      <w:pPr>
        <w:spacing w:after="90"/>
      </w:pPr>
      <w:hyperlink w:history="1" w:anchor="barre">
        <w:r>
          <w:rPr>
            <w:color w:val="1F2933"/>
            <w:sz w:val="23"/>
            <w:szCs w:val="23"/>
          </w:rPr>
          <w:t xml:space="preserve">5.  La barre d’outils</w:t>
        </w:r>
      </w:hyperlink>
    </w:p>
    <w:p>
      <w:pPr>
        <w:spacing w:after="90"/>
      </w:pPr>
      <w:hyperlink w:history="1" w:anchor="explorateur">
        <w:r>
          <w:rPr>
            <w:color w:val="1F2933"/>
            <w:sz w:val="23"/>
            <w:szCs w:val="23"/>
          </w:rPr>
          <w:t xml:space="preserve">6.  L’explorateur d’objets</w:t>
        </w:r>
      </w:hyperlink>
    </w:p>
    <w:p>
      <w:pPr>
        <w:spacing w:after="90"/>
      </w:pPr>
      <w:hyperlink w:history="1" w:anchor="recherche">
        <w:r>
          <w:rPr>
            <w:color w:val="1F2933"/>
            <w:sz w:val="23"/>
            <w:szCs w:val="23"/>
          </w:rPr>
          <w:t xml:space="preserve">7.  La recherche rapide</w:t>
        </w:r>
      </w:hyperlink>
    </w:p>
    <w:p>
      <w:pPr>
        <w:spacing w:after="90"/>
      </w:pPr>
      <w:hyperlink w:history="1" w:anchor="code">
        <w:r>
          <w:rPr>
            <w:color w:val="1F2933"/>
            <w:sz w:val="23"/>
            <w:szCs w:val="23"/>
          </w:rPr>
          <w:t xml:space="preserve">8.  Lire le code</w:t>
        </w:r>
      </w:hyperlink>
    </w:p>
    <w:p>
      <w:pPr>
        <w:spacing w:after="90"/>
      </w:pPr>
      <w:hyperlink w:history="1" w:anchor="vue-fonctionnelle">
        <w:r>
          <w:rPr>
            <w:color w:val="1F2933"/>
            <w:sz w:val="23"/>
            <w:szCs w:val="23"/>
          </w:rPr>
          <w:t xml:space="preserve">9.  La Vue fonctionnelle</w:t>
        </w:r>
      </w:hyperlink>
    </w:p>
    <w:p>
      <w:pPr>
        <w:spacing w:after="90"/>
      </w:pPr>
      <w:hyperlink w:history="1" w:anchor="utilisations">
        <w:r>
          <w:rPr>
            <w:color w:val="1F2933"/>
            <w:sz w:val="23"/>
            <w:szCs w:val="23"/>
          </w:rPr>
          <w:t xml:space="preserve">10.  Trouver les utilisations</w:t>
        </w:r>
      </w:hyperlink>
    </w:p>
    <w:p>
      <w:pPr>
        <w:spacing w:after="90"/>
      </w:pPr>
      <w:hyperlink w:history="1" w:anchor="operations">
        <w:r>
          <w:rPr>
            <w:color w:val="1F2933"/>
            <w:sz w:val="23"/>
            <w:szCs w:val="23"/>
          </w:rPr>
          <w:t xml:space="preserve">11.  Opérations de base sur une table</w:t>
        </w:r>
      </w:hyperlink>
    </w:p>
    <w:p>
      <w:pPr>
        <w:spacing w:after="90"/>
      </w:pPr>
      <w:hyperlink w:history="1" w:anchor="hierarchie">
        <w:r>
          <w:rPr>
            <w:color w:val="1F2933"/>
            <w:sz w:val="23"/>
            <w:szCs w:val="23"/>
          </w:rPr>
          <w:t xml:space="preserve">12.  Hiérarchie d’appels</w:t>
        </w:r>
      </w:hyperlink>
    </w:p>
    <w:p>
      <w:pPr>
        <w:spacing w:after="90"/>
      </w:pPr>
      <w:hyperlink w:history="1" w:anchor="portee">
        <w:r>
          <w:rPr>
            <w:color w:val="1F2933"/>
            <w:sz w:val="23"/>
            <w:szCs w:val="23"/>
          </w:rPr>
          <w:t xml:space="preserve">13.  La portée d’un membre</w:t>
        </w:r>
      </w:hyperlink>
    </w:p>
    <w:p>
      <w:pPr>
        <w:spacing w:after="90"/>
      </w:pPr>
      <w:hyperlink w:history="1" w:anchor="evenements">
        <w:r>
          <w:rPr>
            <w:color w:val="1F2933"/>
            <w:sz w:val="23"/>
            <w:szCs w:val="23"/>
          </w:rPr>
          <w:t xml:space="preserve">14.  Les événements du corpus</w:t>
        </w:r>
      </w:hyperlink>
    </w:p>
    <w:p>
      <w:pPr>
        <w:spacing w:after="90"/>
      </w:pPr>
      <w:hyperlink w:history="1" w:anchor="permissions">
        <w:r>
          <w:rPr>
            <w:color w:val="1F2933"/>
            <w:sz w:val="23"/>
            <w:szCs w:val="23"/>
          </w:rPr>
          <w:t xml:space="preserve">15.  Le jeu de permissions</w:t>
        </w:r>
      </w:hyperlink>
    </w:p>
    <w:p>
      <w:pPr>
        <w:spacing w:after="90"/>
      </w:pPr>
      <w:hyperlink w:history="1" w:anchor="tickets">
        <w:r>
          <w:rPr>
            <w:color w:val="1F2933"/>
            <w:sz w:val="23"/>
            <w:szCs w:val="23"/>
          </w:rPr>
          <w:t xml:space="preserve">16.  Rédiger un ticket</w:t>
        </w:r>
      </w:hyperlink>
    </w:p>
    <w:p>
      <w:pPr>
        <w:spacing w:after="90"/>
      </w:pPr>
      <w:hyperlink w:history="1" w:anchor="role-center">
        <w:r>
          <w:rPr>
            <w:color w:val="1F2933"/>
            <w:sz w:val="23"/>
            <w:szCs w:val="23"/>
          </w:rPr>
          <w:t xml:space="preserve">17.  Composer un Role Center</w:t>
        </w:r>
      </w:hyperlink>
    </w:p>
    <w:p>
      <w:pPr>
        <w:spacing w:after="90"/>
      </w:pPr>
      <w:hyperlink w:history="1" w:anchor="rapport">
        <w:r>
          <w:rPr>
            <w:color w:val="1F2933"/>
            <w:sz w:val="23"/>
            <w:szCs w:val="23"/>
          </w:rPr>
          <w:t xml:space="preserve">18.  Le rapport de chargement</w:t>
        </w:r>
      </w:hyperlink>
    </w:p>
    <w:p>
      <w:pPr>
        <w:spacing w:after="90"/>
      </w:pPr>
      <w:hyperlink w:history="1" w:anchor="parametres">
        <w:r>
          <w:rPr>
            <w:color w:val="1F2933"/>
            <w:sz w:val="23"/>
            <w:szCs w:val="23"/>
          </w:rPr>
          <w:t xml:space="preserve">19.  Les paramètres</w:t>
        </w:r>
      </w:hyperlink>
    </w:p>
    <w:p>
      <w:pPr>
        <w:spacing w:after="90"/>
      </w:pPr>
      <w:hyperlink w:history="1" w:anchor="fenetres">
        <w:r>
          <w:rPr>
            <w:color w:val="1F2933"/>
            <w:sz w:val="23"/>
            <w:szCs w:val="23"/>
          </w:rPr>
          <w:t xml:space="preserve">20.  Fenêtres et disposition</w:t>
        </w:r>
      </w:hyperlink>
    </w:p>
    <w:p>
      <w:pPr>
        <w:spacing w:after="90"/>
      </w:pPr>
      <w:hyperlink w:history="1" w:anchor="mcp">
        <w:r>
          <w:rPr>
            <w:color w:val="1F2933"/>
            <w:sz w:val="23"/>
            <w:szCs w:val="23"/>
          </w:rPr>
          <w:t xml:space="preserve">21.  Pour les assistants IA : le serveur MCP</w:t>
        </w:r>
      </w:hyperlink>
    </w:p>
    <w:p>
      <w:pPr>
        <w:spacing w:after="90"/>
      </w:pPr>
      <w:hyperlink w:history="1" w:anchor="raccourcis">
        <w:r>
          <w:rPr>
            <w:color w:val="1F2933"/>
            <w:sz w:val="23"/>
            <w:szCs w:val="23"/>
          </w:rPr>
          <w:t xml:space="preserve">22.  Raccourcis clavier</w:t>
        </w:r>
      </w:hyperlink>
    </w:p>
    <w:p>
      <w:r>
        <w:br w:type="page"/>
      </w:r>
    </w:p>
    <w:p>
      <w:pPr>
        <w:pStyle w:val="Heading1"/>
      </w:pPr>
      <w:bookmarkStart w:name="presentation" w:id="1"/>
      <w:r>
        <w:t xml:space="preserve">1. Présentation</w:t>
      </w:r>
      <w:bookmarkEnd w:id="1"/>
    </w:p>
    <w:p>
      <w:pPr>
        <w:spacing w:after="140" w:line="300"/>
      </w:pPr>
      <w:r>
        <w:rPr>
          <w:b/>
          <w:bCs/>
        </w:rPr>
        <w:t xml:space="preserve">ALmaze</w:t>
      </w:r>
      <w:r>
        <w:t xml:space="preserve"> est un explorateur du code AL de Microsoft Dynamics 365 Business Central. Il ouvre en lecture seule un projet, un fichier </w:t>
      </w:r>
      <w:r>
        <w:rPr>
          <w:rFonts w:ascii="Cascadia Mono" w:cs="Cascadia Mono" w:eastAsia="Cascadia Mono" w:hAnsi="Cascadia Mono"/>
          <w:color w:val="1F2933"/>
          <w:sz w:val="19"/>
          <w:szCs w:val="19"/>
          <w:shd w:fill="EEF1F5" w:color="auto" w:val="clear"/>
        </w:rPr>
        <w:t xml:space="preserve">.code-workspace</w:t>
      </w:r>
      <w:r>
        <w:t xml:space="preserve"> ou un dossier de packages, avec les applications Microsoft dont il dépend, et permet de retrouver en quelques secondes ce que l’on cherche d’habitude à la main dans VS Code ou dans les sources de la Base Application.</w:t>
      </w:r>
    </w:p>
    <w:p>
      <w:pPr>
        <w:spacing w:after="140" w:line="300"/>
      </w:pPr>
      <w:r>
        <w:t xml:space="preserve">Il répond aux questions du quotidien :</w:t>
      </w:r>
    </w:p>
    <w:p>
      <w:pPr>
        <w:pStyle w:val="ListParagraph"/>
        <w:numPr>
          <w:ilvl w:val="0"/>
          <w:numId w:val="2"/>
        </w:numPr>
        <w:spacing w:after="60" w:line="290"/>
      </w:pPr>
      <w:r>
        <w:rPr>
          <w:b/>
          <w:bCs/>
        </w:rPr>
        <w:t xml:space="preserve">Où est utilisé</w:t>
      </w:r>
      <w:r>
        <w:t xml:space="preserve"> cet objet, ce champ, cette procédure ? Qui </w:t>
      </w:r>
      <w:r>
        <w:rPr>
          <w:b/>
          <w:bCs/>
        </w:rPr>
        <w:t xml:space="preserve">écrit</w:t>
      </w:r>
      <w:r>
        <w:t xml:space="preserve"> dans ce champ ?</w:t>
      </w:r>
    </w:p>
    <w:p>
      <w:pPr>
        <w:pStyle w:val="ListParagraph"/>
        <w:numPr>
          <w:ilvl w:val="0"/>
          <w:numId w:val="2"/>
        </w:numPr>
        <w:spacing w:after="60" w:line="290"/>
      </w:pPr>
      <w:r>
        <w:rPr>
          <w:b/>
          <w:bCs/>
        </w:rPr>
        <w:t xml:space="preserve">Qui appelle</w:t>
      </w:r>
      <w:r>
        <w:t xml:space="preserve"> cette procédure, et que fait-elle à son tour (hiérarchie d’appels) ?</w:t>
      </w:r>
    </w:p>
    <w:p>
      <w:pPr>
        <w:pStyle w:val="ListParagraph"/>
        <w:numPr>
          <w:ilvl w:val="0"/>
          <w:numId w:val="2"/>
        </w:numPr>
        <w:spacing w:after="60" w:line="290"/>
      </w:pPr>
      <w:r>
        <w:t xml:space="preserve">Jusqu’où va un membre : </w:t>
      </w:r>
      <w:r>
        <w:rPr>
          <w:b/>
          <w:bCs/>
        </w:rPr>
        <w:t xml:space="preserve">tables écrites et lues, commits, événements levés, points d’entrée</w:t>
      </w:r>
      <w:r>
        <w:t xml:space="preserve"> (portée) ?</w:t>
      </w:r>
    </w:p>
    <w:p>
      <w:pPr>
        <w:pStyle w:val="ListParagraph"/>
        <w:numPr>
          <w:ilvl w:val="0"/>
          <w:numId w:val="2"/>
        </w:numPr>
        <w:spacing w:after="60" w:line="290"/>
      </w:pPr>
      <w:r>
        <w:t xml:space="preserve">Quels </w:t>
      </w:r>
      <w:r>
        <w:rPr>
          <w:b/>
          <w:bCs/>
        </w:rPr>
        <w:t xml:space="preserve">abonnés</w:t>
      </w:r>
      <w:r>
        <w:t xml:space="preserve"> réagissent à un événement, quelles </w:t>
      </w:r>
      <w:r>
        <w:rPr>
          <w:b/>
          <w:bCs/>
        </w:rPr>
        <w:t xml:space="preserve">opérations</w:t>
      </w:r>
      <w:r>
        <w:t xml:space="preserve"> (Insert, Modify, Delete…) touchent une table ?</w:t>
      </w:r>
    </w:p>
    <w:p>
      <w:pPr>
        <w:pStyle w:val="ListParagraph"/>
        <w:numPr>
          <w:ilvl w:val="0"/>
          <w:numId w:val="2"/>
        </w:numPr>
        <w:spacing w:after="60" w:line="290"/>
      </w:pPr>
      <w:r>
        <w:t xml:space="preserve">Quel </w:t>
      </w:r>
      <w:r>
        <w:rPr>
          <w:b/>
          <w:bCs/>
        </w:rPr>
        <w:t xml:space="preserve">jeu de permissions</w:t>
      </w:r>
      <w:r>
        <w:t xml:space="preserve"> faut-il pour exécuter une fonctionnalité ?</w:t>
      </w:r>
    </w:p>
    <w:p>
      <w:pPr>
        <w:pStyle w:val="ListParagraph"/>
        <w:numPr>
          <w:ilvl w:val="0"/>
          <w:numId w:val="2"/>
        </w:numPr>
        <w:spacing w:after="60" w:line="290"/>
      </w:pPr>
      <w:r>
        <w:t xml:space="preserve">Comment décrire une demande au développeur avec les bonnes références ? Un </w:t>
      </w:r>
      <w:r>
        <w:rPr>
          <w:b/>
          <w:bCs/>
        </w:rPr>
        <w:t xml:space="preserve">ticket</w:t>
      </w:r>
      <w:r>
        <w:t xml:space="preserve"> GitHub rédigé dans ALmaze.</w:t>
      </w:r>
    </w:p>
    <w:p>
      <w:pPr>
        <w:pStyle w:val="ListParagraph"/>
        <w:numPr>
          <w:ilvl w:val="0"/>
          <w:numId w:val="2"/>
        </w:numPr>
        <w:spacing w:after="60" w:line="290"/>
      </w:pPr>
      <w:r>
        <w:t xml:space="preserve">Que voit le consultant à l’écran, et quel </w:t>
      </w:r>
      <w:r>
        <w:rPr>
          <w:b/>
          <w:bCs/>
        </w:rPr>
        <w:t xml:space="preserve">paramétrage</w:t>
      </w:r>
      <w:r>
        <w:t xml:space="preserve"> lit ce champ ? La </w:t>
      </w:r>
      <w:r>
        <w:rPr>
          <w:b/>
          <w:bCs/>
        </w:rPr>
        <w:t xml:space="preserve">Vue fonctionnelle</w:t>
      </w:r>
      <w:r>
        <w:t xml:space="preserve">.</w:t>
      </w:r>
    </w:p>
    <w:p>
      <w:pPr>
        <w:pStyle w:val="ListParagraph"/>
        <w:numPr>
          <w:ilvl w:val="0"/>
          <w:numId w:val="2"/>
        </w:numPr>
        <w:spacing w:after="60" w:line="290"/>
      </w:pPr>
      <w:r>
        <w:t xml:space="preserve">À quoi ressemblera ce </w:t>
      </w:r>
      <w:r>
        <w:rPr>
          <w:b/>
          <w:bCs/>
        </w:rPr>
        <w:t xml:space="preserve">Role Center</w:t>
      </w:r>
      <w:r>
        <w:t xml:space="preserve">, et quelles permissions demande son profil ? L’</w:t>
      </w:r>
      <w:r>
        <w:rPr>
          <w:b/>
          <w:bCs/>
        </w:rPr>
        <w:t xml:space="preserve">éditeur de Role Center</w:t>
      </w:r>
      <w:r>
        <w:t xml:space="preserve">.</w:t>
      </w:r>
    </w:p>
    <w:p>
      <w:pPr>
        <w:spacing w:after="140" w:line="300"/>
      </w:pPr>
      <w:r>
        <w:t xml:space="preserve">ALmaze ne modifie jamais le code : il le lit, l’indexe et l’affiche ; il peut publier des tickets GitHub, sans rien écrire dans les dépôts. Il fonctionne hors ligne une fois les dépendances téléchargées.</w:t>
      </w:r>
    </w:p>
    <w:p>
      <w:pPr>
        <w:pStyle w:val="Heading1"/>
        <w:pageBreakBefore/>
      </w:pPr>
      <w:bookmarkStart w:name="nouveautes" w:id="1"/>
      <w:r>
        <w:t xml:space="preserve">2. Nouveautés de la version 1.4</w:t>
      </w:r>
      <w:bookmarkEnd w:id="1"/>
    </w:p>
    <w:p>
      <w:pPr>
        <w:spacing w:after="140" w:line="300"/>
      </w:pPr>
      <w:r>
        <w:t xml:space="preserve">La version 1.4 aide le consultant à définir les </w:t>
      </w:r>
      <w:r>
        <w:rPr>
          <w:b/>
          <w:bCs/>
        </w:rPr>
        <w:t xml:space="preserve">cues</w:t>
      </w:r>
      <w:r>
        <w:t xml:space="preserve"> d’un Role Center (voir Composer un Role Center) :</w:t>
      </w:r>
    </w:p>
    <w:p>
      <w:pPr>
        <w:pStyle w:val="ListParagraph"/>
        <w:numPr>
          <w:ilvl w:val="0"/>
          <w:numId w:val="2"/>
        </w:numPr>
        <w:spacing w:after="60" w:line="290"/>
      </w:pPr>
      <w:r>
        <w:rPr>
          <w:b/>
          <w:bCs/>
        </w:rPr>
        <w:t xml:space="preserve">Cue à développer</w:t>
      </w:r>
      <w:r>
        <w:t xml:space="preserve"> : un formulaire décrit le cue en français (valeur, table, filtres, page ouverte au clic, groupe, largeur, seuils) au lieu d’un texte libre.</w:t>
      </w:r>
    </w:p>
    <w:p>
      <w:pPr>
        <w:pStyle w:val="ListParagraph"/>
        <w:numPr>
          <w:ilvl w:val="0"/>
          <w:numId w:val="2"/>
        </w:numPr>
        <w:spacing w:after="60" w:line="290"/>
      </w:pPr>
      <w:r>
        <w:rPr>
          <w:b/>
          <w:bCs/>
        </w:rPr>
        <w:t xml:space="preserve">Cues existants</w:t>
      </w:r>
      <w:r>
        <w:t xml:space="preserve"> proposés d’abord : ALmaze lit ce que compte chaque cue du corpus et propose ceux qui ressemblent à la demande, pour placer leur part ou les reprendre dans la sienne.</w:t>
      </w:r>
    </w:p>
    <w:p>
      <w:pPr>
        <w:pStyle w:val="ListParagraph"/>
        <w:numPr>
          <w:ilvl w:val="0"/>
          <w:numId w:val="2"/>
        </w:numPr>
        <w:spacing w:after="60" w:line="290"/>
      </w:pPr>
      <w:r>
        <w:t xml:space="preserve">Dans le designer, chaque cue à développer est une </w:t>
      </w:r>
      <w:r>
        <w:rPr>
          <w:b/>
          <w:bCs/>
        </w:rPr>
        <w:t xml:space="preserve">tuile</w:t>
      </w:r>
      <w:r>
        <w:t xml:space="preserve"> de sa part ; le ticket les décrit dans une section </w:t>
      </w:r>
      <w:r>
        <w:rPr>
          <w:b/>
          <w:bCs/>
        </w:rPr>
        <w:t xml:space="preserve">Cues à développer</w:t>
      </w:r>
      <w:r>
        <w:t xml:space="preserve">, un tableau par part.</w:t>
      </w:r>
    </w:p>
    <w:p>
      <w:pPr>
        <w:pStyle w:val="ListParagraph"/>
        <w:numPr>
          <w:ilvl w:val="0"/>
          <w:numId w:val="2"/>
        </w:numPr>
        <w:spacing w:after="60" w:line="290"/>
      </w:pPr>
      <w:r>
        <w:t xml:space="preserve">Vue fonctionnelle : la </w:t>
      </w:r>
      <w:r>
        <w:rPr>
          <w:b/>
          <w:bCs/>
        </w:rPr>
        <w:t xml:space="preserve">structure</w:t>
      </w:r>
      <w:r>
        <w:t xml:space="preserve"> des objets sans écran (tables, états, codeunits…), les </w:t>
      </w:r>
      <w:r>
        <w:rPr>
          <w:b/>
          <w:bCs/>
        </w:rPr>
        <w:t xml:space="preserve">onglets</w:t>
      </w:r>
      <w:r>
        <w:t xml:space="preserve"> et les </w:t>
      </w:r>
      <w:r>
        <w:rPr>
          <w:b/>
          <w:bCs/>
        </w:rPr>
        <w:t xml:space="preserve">FactBox</w:t>
      </w:r>
      <w:r>
        <w:t xml:space="preserve"> d’un écran.</w:t>
      </w:r>
    </w:p>
    <w:p>
      <w:pPr>
        <w:spacing w:after="140" w:line="300"/>
      </w:pPr>
      <w:r>
        <w:t xml:space="preserve">La version 1.3 a refondu l’interface, sans changer ce qu’elle permet de faire :</w:t>
      </w:r>
    </w:p>
    <w:p>
      <w:pPr>
        <w:pStyle w:val="ListParagraph"/>
        <w:numPr>
          <w:ilvl w:val="0"/>
          <w:numId w:val="2"/>
        </w:numPr>
        <w:spacing w:after="60" w:line="290"/>
      </w:pPr>
      <w:r>
        <w:rPr>
          <w:b/>
          <w:bCs/>
        </w:rPr>
        <w:t xml:space="preserve">En-tête d’objet compact</w:t>
      </w:r>
      <w:r>
        <w:t xml:space="preserve"> : les actions de l’objet tiennent sur une ligne, en icônes quand la place manque, le surplus dans un menu </w:t>
      </w:r>
      <w:r>
        <w:rPr>
          <w:b/>
          <w:bCs/>
        </w:rPr>
        <w:t xml:space="preserve">…</w:t>
      </w:r>
      <w:r>
        <w:t xml:space="preserve"> ; une seule recherche de membres, </w:t>
      </w:r>
      <w:r>
        <w:rPr>
          <w:rFonts w:ascii="Cascadia Mono" w:cs="Cascadia Mono" w:eastAsia="Cascadia Mono" w:hAnsi="Cascadia Mono"/>
          <w:b/>
          <w:bCs/>
          <w:color w:val="1F2933"/>
          <w:sz w:val="18"/>
          <w:szCs w:val="18"/>
          <w:shd w:fill="E3E7ED" w:color="auto" w:val="clear"/>
        </w:rPr>
        <w:t xml:space="preserve"> Ctrl+F </w:t>
      </w:r>
      <w:r>
        <w:t xml:space="preserve"> (voir Lire le code).</w:t>
      </w:r>
    </w:p>
    <w:p>
      <w:pPr>
        <w:pStyle w:val="ListParagraph"/>
        <w:numPr>
          <w:ilvl w:val="0"/>
          <w:numId w:val="2"/>
        </w:numPr>
        <w:spacing w:after="60" w:line="290"/>
      </w:pPr>
      <w:r>
        <w:rPr>
          <w:b/>
          <w:bCs/>
        </w:rPr>
        <w:t xml:space="preserve">Panneaux du bas</w:t>
      </w:r>
      <w:r>
        <w:t xml:space="preserve"> : même en-tête partout (titre, compteur, </w:t>
      </w:r>
      <w:r>
        <w:rPr>
          <w:b/>
          <w:bCs/>
        </w:rPr>
        <w:t xml:space="preserve">Exporter…</w:t>
      </w:r>
      <w:r>
        <w:t xml:space="preserve">, Détacher, Fermer), onglets intégrés, filtres </w:t>
      </w:r>
      <w:r>
        <w:rPr>
          <w:b/>
          <w:bCs/>
        </w:rPr>
        <w:t xml:space="preserve">Inclure :</w:t>
      </w:r>
      <w:r>
        <w:t xml:space="preserve"> et choix </w:t>
      </w:r>
      <w:r>
        <w:rPr>
          <w:b/>
          <w:bCs/>
        </w:rPr>
        <w:t xml:space="preserve">Apps du corpus</w:t>
      </w:r>
      <w:r>
        <w:t xml:space="preserve"> / </w:t>
      </w:r>
      <w:r>
        <w:rPr>
          <w:b/>
          <w:bCs/>
        </w:rPr>
        <w:t xml:space="preserve">Toutes les apps</w:t>
      </w:r>
      <w:r>
        <w:t xml:space="preserve">.</w:t>
      </w:r>
    </w:p>
    <w:p>
      <w:pPr>
        <w:pStyle w:val="ListParagraph"/>
        <w:numPr>
          <w:ilvl w:val="0"/>
          <w:numId w:val="2"/>
        </w:numPr>
        <w:spacing w:after="60" w:line="290"/>
      </w:pPr>
      <w:r>
        <w:rPr>
          <w:b/>
          <w:bCs/>
        </w:rPr>
        <w:t xml:space="preserve">Dialogues</w:t>
      </w:r>
      <w:r>
        <w:t xml:space="preserve"> homogènes : croix en haut à droite, </w:t>
      </w:r>
      <w:r>
        <w:rPr>
          <w:rFonts w:ascii="Cascadia Mono" w:cs="Cascadia Mono" w:eastAsia="Cascadia Mono" w:hAnsi="Cascadia Mono"/>
          <w:b/>
          <w:bCs/>
          <w:color w:val="1F2933"/>
          <w:sz w:val="18"/>
          <w:szCs w:val="18"/>
          <w:shd w:fill="E3E7ED" w:color="auto" w:val="clear"/>
        </w:rPr>
        <w:t xml:space="preserve"> Échap </w:t>
      </w:r>
      <w:r>
        <w:t xml:space="preserve"> ou un clic à côté pour fermer, focus gardé dans le dialogue.</w:t>
      </w:r>
    </w:p>
    <w:p>
      <w:pPr>
        <w:pStyle w:val="ListParagraph"/>
        <w:numPr>
          <w:ilvl w:val="0"/>
          <w:numId w:val="2"/>
        </w:numPr>
        <w:spacing w:after="60" w:line="290"/>
      </w:pPr>
      <w:r>
        <w:rPr>
          <w:b/>
          <w:bCs/>
        </w:rPr>
        <w:t xml:space="preserve">Notifications</w:t>
      </w:r>
      <w:r>
        <w:t xml:space="preserve"> empilées en bas à droite : indexation, échec de l’ouverture dans VS Code, mise à jour disponible.</w:t>
      </w:r>
    </w:p>
    <w:p>
      <w:pPr>
        <w:pStyle w:val="ListParagraph"/>
        <w:numPr>
          <w:ilvl w:val="0"/>
          <w:numId w:val="2"/>
        </w:numPr>
        <w:spacing w:after="60" w:line="290"/>
      </w:pPr>
      <w:r>
        <w:rPr>
          <w:b/>
          <w:bCs/>
        </w:rPr>
        <w:t xml:space="preserve">Diagrammes</w:t>
      </w:r>
      <w:r>
        <w:t xml:space="preserve"> lisibles à l’ouverture, libellés des liens au survol, bouton </w:t>
      </w:r>
      <w:r>
        <w:rPr>
          <w:b/>
          <w:bCs/>
        </w:rPr>
        <w:t xml:space="preserve">Ajuster</w:t>
      </w:r>
      <w:r>
        <w:t xml:space="preserve"> pour la vue d’ensemble.</w:t>
      </w:r>
    </w:p>
    <w:p>
      <w:pPr>
        <w:pStyle w:val="ListParagraph"/>
        <w:numPr>
          <w:ilvl w:val="0"/>
          <w:numId w:val="2"/>
        </w:numPr>
        <w:spacing w:after="60" w:line="290"/>
      </w:pPr>
      <w:r>
        <w:t xml:space="preserve">Thème </w:t>
      </w:r>
      <w:r>
        <w:rPr>
          <w:b/>
          <w:bCs/>
        </w:rPr>
        <w:t xml:space="preserve">Sombre</w:t>
      </w:r>
      <w:r>
        <w:t xml:space="preserve"> (anciennement « Dark mode »), contrastes renforcés dans les trois thèmes, icônes uniformes.</w:t>
      </w:r>
    </w:p>
    <w:p>
      <w:pPr>
        <w:pStyle w:val="ListParagraph"/>
        <w:numPr>
          <w:ilvl w:val="0"/>
          <w:numId w:val="2"/>
        </w:numPr>
        <w:spacing w:after="60" w:line="290"/>
      </w:pPr>
      <w:r>
        <w:t xml:space="preserve">Événements : la colonne </w:t>
      </w:r>
      <w:r>
        <w:rPr>
          <w:b/>
          <w:bCs/>
        </w:rPr>
        <w:t xml:space="preserve">Levé par</w:t>
      </w:r>
      <w:r>
        <w:t xml:space="preserve"> (anciennement « Publisher ») ; « corpus » remplace « workspace » dans les libellés.</w:t>
      </w:r>
    </w:p>
    <w:p>
      <w:pPr>
        <w:spacing w:after="140" w:line="300"/>
      </w:pPr>
      <w:r>
        <w:t xml:space="preserve">Les versions 1.1 et 1.2 ont apporté la </w:t>
      </w:r>
      <w:r>
        <w:rPr>
          <w:b/>
          <w:bCs/>
        </w:rPr>
        <w:t xml:space="preserve">Vue fonctionnelle</w:t>
      </w:r>
      <w:r>
        <w:t xml:space="preserve"> et le </w:t>
      </w:r>
      <w:r>
        <w:rPr>
          <w:b/>
          <w:bCs/>
        </w:rPr>
        <w:t xml:space="preserve">paramétrage lu</w:t>
      </w:r>
      <w:r>
        <w:t xml:space="preserve"> d’un champ, les </w:t>
      </w:r>
      <w:r>
        <w:rPr>
          <w:b/>
          <w:bCs/>
        </w:rPr>
        <w:t xml:space="preserve">brouillons de ticket</w:t>
      </w:r>
      <w:r>
        <w:t xml:space="preserve"> publiés sur GitHub, l’</w:t>
      </w:r>
      <w:r>
        <w:rPr>
          <w:b/>
          <w:bCs/>
        </w:rPr>
        <w:t xml:space="preserve">éditeur de Role Center</w:t>
      </w:r>
      <w:r>
        <w:t xml:space="preserve"> avec son designer et les </w:t>
      </w:r>
      <w:r>
        <w:rPr>
          <w:b/>
          <w:bCs/>
        </w:rPr>
        <w:t xml:space="preserve">permissions du profil</w:t>
      </w:r>
      <w:r>
        <w:t xml:space="preserve">, les </w:t>
      </w:r>
      <w:r>
        <w:rPr>
          <w:b/>
          <w:bCs/>
        </w:rPr>
        <w:t xml:space="preserve">utilisations d’un Label</w:t>
      </w:r>
      <w:r>
        <w:t xml:space="preserve">, le </w:t>
      </w:r>
      <w:r>
        <w:rPr>
          <w:b/>
          <w:bCs/>
        </w:rPr>
        <w:t xml:space="preserve">survol</w:t>
      </w:r>
      <w:r>
        <w:t xml:space="preserve"> des textes traduisibles et les </w:t>
      </w:r>
      <w:r>
        <w:rPr>
          <w:b/>
          <w:bCs/>
        </w:rPr>
        <w:t xml:space="preserve">langues de traduction</w:t>
      </w:r>
      <w:r>
        <w:t xml:space="preserve">. L’export des permissions regroupe désormais un objet présent plusieurs fois en une seule entrée.</w:t>
      </w:r>
    </w:p>
    <w:p>
      <w:pPr>
        <w:pStyle w:val="Heading1"/>
        <w:pageBreakBefore/>
      </w:pPr>
      <w:bookmarkStart w:name="installation" w:id="1"/>
      <w:r>
        <w:t xml:space="preserve">3. Installation et mises à jour</w:t>
      </w:r>
      <w:bookmarkEnd w:id="1"/>
    </w:p>
    <w:p>
      <w:pPr>
        <w:spacing w:after="140" w:line="300"/>
      </w:pPr>
      <w:r>
        <w:t xml:space="preserve">Télécharger le dernier installeur </w:t>
      </w:r>
      <w:r>
        <w:rPr>
          <w:rFonts w:ascii="Cascadia Mono" w:cs="Cascadia Mono" w:eastAsia="Cascadia Mono" w:hAnsi="Cascadia Mono"/>
          <w:color w:val="1F2933"/>
          <w:sz w:val="19"/>
          <w:szCs w:val="19"/>
          <w:shd w:fill="EEF1F5" w:color="auto" w:val="clear"/>
        </w:rPr>
        <w:t xml:space="preserve">ALmaze_&lt;version&gt;_x64-setup.exe</w:t>
      </w:r>
      <w:r>
        <w:t xml:space="preserve"> depuis la page des </w:t>
      </w:r>
      <w:hyperlink w:history="1" r:id="rIdw7lfgny6p0omgdx2upgzh">
        <w:r>
          <w:rPr>
            <w:rStyle w:val="Hyperlink"/>
          </w:rPr>
          <w:t xml:space="preserve">Releases</w:t>
        </w:r>
      </w:hyperlink>
      <w:r>
        <w:t xml:space="preserve">, puis le lancer. L’installation se fait par utilisateur, dans </w:t>
      </w:r>
      <w:r>
        <w:rPr>
          <w:rFonts w:ascii="Cascadia Mono" w:cs="Cascadia Mono" w:eastAsia="Cascadia Mono" w:hAnsi="Cascadia Mono"/>
          <w:color w:val="1F2933"/>
          <w:sz w:val="19"/>
          <w:szCs w:val="19"/>
          <w:shd w:fill="EEF1F5" w:color="auto" w:val="clear"/>
        </w:rPr>
        <w:t xml:space="preserve">%LOCALAPPDATA%\ALmaze</w:t>
      </w:r>
      <w:r>
        <w:t xml:space="preserve">, sans droits administrateur.</w:t>
      </w:r>
    </w:p>
    <w:p>
      <w:pPr>
        <w:spacing w:after="140" w:line="300"/>
      </w:pPr>
      <w:r>
        <w:t xml:space="preserve">Prérequis : Windows 10 ou 11 x64. Le runtime WebView2, déjà présent sur Windows 11, est téléchargé par l’installeur s’il manque.</w:t>
      </w:r>
    </w:p>
    <w:p>
      <w:pPr>
        <w:pBdr>
          <w:left w:val="single" w:color="0F6CBD" w:sz="18" w:space="8"/>
        </w:pBdr>
        <w:shd w:fill="E8F0FE" w:color="auto" w:val="clear"/>
        <w:spacing w:before="80" w:after="160" w:line="290"/>
        <w:ind w:left="200"/>
      </w:pPr>
      <w:r>
        <w:t xml:space="preserve">Les installeurs sont signés par le certificat Capset, auto-signé. Au premier lancement, Windows peut afficher « Windows a protégé votre ordinateur » : cliquer sur </w:t>
      </w:r>
      <w:r>
        <w:rPr>
          <w:b/>
          <w:bCs/>
        </w:rPr>
        <w:t xml:space="preserve">Informations complémentaires</w:t>
      </w:r>
      <w:r>
        <w:t xml:space="preserve"> puis </w:t>
      </w:r>
      <w:r>
        <w:rPr>
          <w:b/>
          <w:bCs/>
        </w:rPr>
        <w:t xml:space="preserve">Exécuter quand même</w:t>
      </w:r>
      <w:r>
        <w:t xml:space="preserve">, ou approuver le certificat comme l’explique le README du dépôt des Releases.</w:t>
      </w:r>
    </w:p>
    <w:p>
      <w:pPr>
        <w:spacing w:after="140" w:line="300"/>
      </w:pPr>
      <w:r>
        <w:rPr>
          <w:b/>
          <w:bCs/>
        </w:rPr>
        <w:t xml:space="preserve">Mises à jour.</w:t>
      </w:r>
      <w:r>
        <w:t xml:space="preserve"> À chaque lancement, ALmaze vérifie s’il existe une version plus récente et la propose dans une notification en bas à droite de la fenêtre : </w:t>
      </w:r>
      <w:r>
        <w:rPr>
          <w:b/>
          <w:bCs/>
        </w:rPr>
        <w:t xml:space="preserve">Installer et redémarrer</w:t>
      </w:r>
      <w:r>
        <w:t xml:space="preserve"> ou </w:t>
      </w:r>
      <w:r>
        <w:rPr>
          <w:b/>
          <w:bCs/>
        </w:rPr>
        <w:t xml:space="preserve">Plus tard</w:t>
      </w:r>
      <w:r>
        <w:t xml:space="preserve">. La recherche au lancement se désactive dans Paramètres › Mises à jour, qui permet aussi de chercher à la demande.</w:t>
      </w:r>
    </w:p>
    <w:p>
      <w:pPr>
        <w:pBdr>
          <w:left w:val="single" w:color="0F6CBD" w:sz="18" w:space="8"/>
        </w:pBdr>
        <w:shd w:fill="E8F0FE" w:color="auto" w:val="clear"/>
        <w:spacing w:before="80" w:after="160" w:line="290"/>
        <w:ind w:left="200"/>
      </w:pPr>
      <w:r>
        <w:t xml:space="preserve">Jusqu’à la version 0.6.0, l’application s’appelait </w:t>
      </w:r>
      <w:r>
        <w:rPr>
          <w:b/>
          <w:bCs/>
        </w:rPr>
        <w:t xml:space="preserve">AL Object Browser</w:t>
      </w:r>
      <w:r>
        <w:t xml:space="preserve">. La mise à jour vers ALmaze 1.0 désinstalle l’ancienne version ; vos réglages, vos récents, l’index des corpus et la connexion GitHub sont conservés.</w:t>
      </w:r>
    </w:p>
    <w:p>
      <w:pPr>
        <w:pStyle w:val="Heading1"/>
        <w:pageBreakBefore/>
      </w:pPr>
      <w:bookmarkStart w:name="ouvrir" w:id="1"/>
      <w:r>
        <w:t xml:space="preserve">4. Ouvrir un corpus</w:t>
      </w:r>
      <w:bookmarkEnd w:id="1"/>
    </w:p>
    <w:p>
      <w:pPr>
        <w:spacing w:after="140" w:line="300"/>
      </w:pPr>
      <w:r>
        <w:t xml:space="preserve">Un </w:t>
      </w:r>
      <w:r>
        <w:rPr>
          <w:b/>
          <w:bCs/>
        </w:rPr>
        <w:t xml:space="preserve">corpus</w:t>
      </w:r>
      <w:r>
        <w:t xml:space="preserve"> est l’ensemble des applications ouvertes ensemble. L’écran d’accueil propose trois façons de l’ouvrir :</w:t>
      </w:r>
    </w:p>
    <w:tbl>
      <w:tblPr>
        <w:tblW w:type="dxa" w:w="9638"/>
        <w:tblBorders>
          <w:top w:val="single" w:color="D9DEE5" w:sz="4"/>
          <w:left w:val="single" w:color="D9DEE5" w:sz="4"/>
          <w:bottom w:val="single" w:color="D9DEE5" w:sz="4"/>
          <w:right w:val="single" w:color="D9DEE5" w:sz="4"/>
          <w:insideH w:val="single" w:color="D9DEE5" w:sz="4"/>
          <w:insideV w:val="single" w:color="D9DEE5" w:sz="4"/>
        </w:tblBorders>
      </w:tblPr>
      <w:tblGrid>
        <w:gridCol w:w="3000"/>
        <w:gridCol w:w="6638"/>
      </w:tblGrid>
      <w:tr>
        <w:trPr>
          <w:tblHeader/>
        </w:trPr>
        <w:tc>
          <w:tcPr>
            <w:tcW w:type="dxa" w:w="3000"/>
            <w:shd w:fill="DBE8FB" w:color="auto" w:val="clear"/>
            <w:tcMar>
              <w:top w:type="dxa" w:w="60"/>
              <w:left w:type="dxa" w:w="100"/>
              <w:bottom w:type="dxa" w:w="60"/>
              <w:right w:type="dxa" w:w="100"/>
            </w:tcMar>
          </w:tcPr>
          <w:p>
            <w:pPr>
              <w:spacing w:after="0"/>
            </w:pPr>
            <w:r>
              <w:rPr>
                <w:b/>
                <w:bCs/>
              </w:rPr>
              <w:t xml:space="preserve">Choix</w:t>
            </w:r>
          </w:p>
        </w:tc>
        <w:tc>
          <w:tcPr>
            <w:tcW w:type="dxa" w:w="6638"/>
            <w:shd w:fill="DBE8FB" w:color="auto" w:val="clear"/>
            <w:tcMar>
              <w:top w:type="dxa" w:w="60"/>
              <w:left w:type="dxa" w:w="100"/>
              <w:bottom w:type="dxa" w:w="60"/>
              <w:right w:type="dxa" w:w="100"/>
            </w:tcMar>
          </w:tcPr>
          <w:p>
            <w:pPr>
              <w:spacing w:after="0"/>
            </w:pPr>
            <w:r>
              <w:rPr>
                <w:b/>
                <w:bCs/>
              </w:rPr>
              <w:t xml:space="preserve">Ce qui est chargé</w:t>
            </w:r>
          </w:p>
        </w:tc>
      </w:tr>
      <w:tr>
        <w:tc>
          <w:tcPr>
            <w:tcW w:type="dxa" w:w="3000"/>
            <w:tcMar>
              <w:top w:type="dxa" w:w="60"/>
              <w:left w:type="dxa" w:w="100"/>
              <w:bottom w:type="dxa" w:w="60"/>
              <w:right w:type="dxa" w:w="100"/>
            </w:tcMar>
          </w:tcPr>
          <w:p>
            <w:pPr>
              <w:spacing w:after="0"/>
            </w:pPr>
            <w:r>
              <w:t xml:space="preserve">Fichier .code-workspace</w:t>
            </w:r>
          </w:p>
        </w:tc>
        <w:tc>
          <w:tcPr>
            <w:tcW w:type="dxa" w:w="6638"/>
            <w:tcMar>
              <w:top w:type="dxa" w:w="60"/>
              <w:left w:type="dxa" w:w="100"/>
              <w:bottom w:type="dxa" w:w="60"/>
              <w:right w:type="dxa" w:w="100"/>
            </w:tcMar>
          </w:tcPr>
          <w:p>
            <w:pPr>
              <w:spacing w:after="0"/>
            </w:pPr>
            <w:r>
              <w:t xml:space="preserve">Tous les dossiers listés dans le fichier : projets AL et leurs dossiers </w:t>
            </w:r>
            <w:r>
              <w:rPr>
                <w:rFonts w:ascii="Cascadia Mono" w:cs="Cascadia Mono" w:eastAsia="Cascadia Mono" w:hAnsi="Cascadia Mono"/>
                <w:color w:val="1F2933"/>
                <w:sz w:val="19"/>
                <w:szCs w:val="19"/>
                <w:shd w:fill="EEF1F5" w:color="auto" w:val="clear"/>
              </w:rPr>
              <w:t xml:space="preserve">.alpackages</w:t>
            </w:r>
            <w:r>
              <w:t xml:space="preserve">.</w:t>
            </w:r>
          </w:p>
        </w:tc>
      </w:tr>
      <w:tr>
        <w:tc>
          <w:tcPr>
            <w:tcW w:type="dxa" w:w="3000"/>
            <w:tcMar>
              <w:top w:type="dxa" w:w="60"/>
              <w:left w:type="dxa" w:w="100"/>
              <w:bottom w:type="dxa" w:w="60"/>
              <w:right w:type="dxa" w:w="100"/>
            </w:tcMar>
          </w:tcPr>
          <w:p>
            <w:pPr>
              <w:spacing w:after="0"/>
            </w:pPr>
            <w:r>
              <w:t xml:space="preserve">Dossier de projet</w:t>
            </w:r>
          </w:p>
        </w:tc>
        <w:tc>
          <w:tcPr>
            <w:tcW w:type="dxa" w:w="6638"/>
            <w:tcMar>
              <w:top w:type="dxa" w:w="60"/>
              <w:left w:type="dxa" w:w="100"/>
              <w:bottom w:type="dxa" w:w="60"/>
              <w:right w:type="dxa" w:w="100"/>
            </w:tcMar>
          </w:tcPr>
          <w:p>
            <w:pPr>
              <w:spacing w:after="0"/>
            </w:pPr>
            <w:r>
              <w:t xml:space="preserve">Un dossier contenant un </w:t>
            </w:r>
            <w:r>
              <w:rPr>
                <w:rFonts w:ascii="Cascadia Mono" w:cs="Cascadia Mono" w:eastAsia="Cascadia Mono" w:hAnsi="Cascadia Mono"/>
                <w:color w:val="1F2933"/>
                <w:sz w:val="19"/>
                <w:szCs w:val="19"/>
                <w:shd w:fill="EEF1F5" w:color="auto" w:val="clear"/>
              </w:rPr>
              <w:t xml:space="preserve">app.json</w:t>
            </w:r>
            <w:r>
              <w:t xml:space="preserve"> et ses sources </w:t>
            </w:r>
            <w:r>
              <w:rPr>
                <w:rFonts w:ascii="Cascadia Mono" w:cs="Cascadia Mono" w:eastAsia="Cascadia Mono" w:hAnsi="Cascadia Mono"/>
                <w:color w:val="1F2933"/>
                <w:sz w:val="19"/>
                <w:szCs w:val="19"/>
                <w:shd w:fill="EEF1F5" w:color="auto" w:val="clear"/>
              </w:rPr>
              <w:t xml:space="preserve">.al</w:t>
            </w:r>
            <w:r>
              <w:t xml:space="preserve">.</w:t>
            </w:r>
          </w:p>
        </w:tc>
      </w:tr>
      <w:tr>
        <w:tc>
          <w:tcPr>
            <w:tcW w:type="dxa" w:w="3000"/>
            <w:tcMar>
              <w:top w:type="dxa" w:w="60"/>
              <w:left w:type="dxa" w:w="100"/>
              <w:bottom w:type="dxa" w:w="60"/>
              <w:right w:type="dxa" w:w="100"/>
            </w:tcMar>
          </w:tcPr>
          <w:p>
            <w:pPr>
              <w:spacing w:after="0"/>
            </w:pPr>
            <w:r>
              <w:t xml:space="preserve">Dossier de packages</w:t>
            </w:r>
          </w:p>
        </w:tc>
        <w:tc>
          <w:tcPr>
            <w:tcW w:type="dxa" w:w="6638"/>
            <w:tcMar>
              <w:top w:type="dxa" w:w="60"/>
              <w:left w:type="dxa" w:w="100"/>
              <w:bottom w:type="dxa" w:w="60"/>
              <w:right w:type="dxa" w:w="100"/>
            </w:tcMar>
          </w:tcPr>
          <w:p>
            <w:pPr>
              <w:spacing w:after="0"/>
            </w:pPr>
            <w:r>
              <w:t xml:space="preserve">Des fichiers </w:t>
            </w:r>
            <w:r>
              <w:rPr>
                <w:rFonts w:ascii="Cascadia Mono" w:cs="Cascadia Mono" w:eastAsia="Cascadia Mono" w:hAnsi="Cascadia Mono"/>
                <w:color w:val="1F2933"/>
                <w:sz w:val="19"/>
                <w:szCs w:val="19"/>
                <w:shd w:fill="EEF1F5" w:color="auto" w:val="clear"/>
              </w:rPr>
              <w:t xml:space="preserve">.app</w:t>
            </w:r>
            <w:r>
              <w:t xml:space="preserve">, avec ou sans sources.</w:t>
            </w:r>
          </w:p>
        </w:tc>
      </w:tr>
    </w:tbl>
    <w:p>
      <w:pPr>
        <w:spacing w:after="120"/>
      </w:pPr>
    </w:p>
    <w:p>
      <w:pPr>
        <w:spacing w:after="140" w:line="300"/>
      </w:pPr>
      <w:r>
        <w:t xml:space="preserve">Le dossier est parcouru récursivement. Chaque application est représentée par ses sources si on les a, sinon par son package de version la plus haute.</w:t>
      </w:r>
    </w:p>
    <w:p>
      <w:pPr>
        <w:keepNext/>
        <w:spacing w:before="120" w:after="60"/>
        <w:jc w:val="center"/>
      </w:pPr>
      <w:r>
        <w:drawing>
          <wp:inline distT="0" distB="0" distL="0" distR="0">
            <wp:extent cx="61150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15050" cy="3438525"/>
                    </a:xfrm>
                    <a:prstGeom prst="rect">
                      <a:avLst/>
                    </a:prstGeom>
                  </pic:spPr>
                </pic:pic>
              </a:graphicData>
            </a:graphic>
          </wp:inline>
        </w:drawing>
      </w:r>
    </w:p>
    <w:p>
      <w:pPr>
        <w:spacing w:after="220"/>
        <w:jc w:val="center"/>
      </w:pPr>
      <w:r>
        <w:rPr>
          <w:i/>
          <w:iCs/>
          <w:color w:val="5B6573"/>
          <w:sz w:val="18"/>
          <w:szCs w:val="18"/>
        </w:rPr>
        <w:t xml:space="preserve">L’écran d’accueil : ouvrir un corpus, le rapport du dernier chargement et les corpus récents.</w:t>
      </w:r>
    </w:p>
    <w:p>
      <w:pPr>
        <w:spacing w:after="140" w:line="300"/>
      </w:pPr>
      <w:r>
        <w:t xml:space="preserve">Les </w:t>
      </w:r>
      <w:r>
        <w:rPr>
          <w:b/>
          <w:bCs/>
        </w:rPr>
        <w:t xml:space="preserve">récents</w:t>
      </w:r>
      <w:r>
        <w:t xml:space="preserve"> se rouvrent d’un clic. Sous la liste, la section </w:t>
      </w:r>
      <w:r>
        <w:rPr>
          <w:b/>
          <w:bCs/>
        </w:rPr>
        <w:t xml:space="preserve">GitHub</w:t>
      </w:r>
      <w:r>
        <w:t xml:space="preserve"> permet de se connecter (code à saisir sur github.com, ou jeton personnel) puis d’ouvrir directement un dépôt à une branche ou un tag : il est téléchargé dans un cache local, sans clone.</w:t>
      </w:r>
    </w:p>
    <w:p>
      <w:pPr>
        <w:spacing w:after="140" w:line="300"/>
      </w:pPr>
      <w:r>
        <w:t xml:space="preserve">À l’ouverture, ALmaze analyse les sources et construit un index. Les ouvertures suivantes sont quasi immédiates : seules les applications modifiées sont réanalysées. Les dépendances manquantes peuvent être prises dans les autres dépôts GitHub ou dans les flux publics de Microsoft (voir le rapport de chargement).</w:t>
      </w:r>
    </w:p>
    <w:p>
      <w:pPr>
        <w:pStyle w:val="Heading1"/>
        <w:pageBreakBefore/>
      </w:pPr>
      <w:bookmarkStart w:name="barre" w:id="1"/>
      <w:r>
        <w:t xml:space="preserve">5. La barre d’outils</w:t>
      </w:r>
      <w:bookmarkEnd w:id="1"/>
    </w:p>
    <w:p>
      <w:pPr>
        <w:keepNext/>
        <w:spacing w:before="120" w:after="60"/>
        <w:jc w:val="center"/>
      </w:pPr>
      <w:r>
        <w:drawing>
          <wp:inline distT="0" distB="0" distL="0" distR="0">
            <wp:extent cx="61150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295275"/>
                    </a:xfrm>
                    <a:prstGeom prst="rect">
                      <a:avLst/>
                    </a:prstGeom>
                  </pic:spPr>
                </pic:pic>
              </a:graphicData>
            </a:graphic>
          </wp:inline>
        </w:drawing>
      </w:r>
    </w:p>
    <w:p>
      <w:pPr>
        <w:spacing w:after="220"/>
        <w:jc w:val="center"/>
      </w:pPr>
      <w:r>
        <w:rPr>
          <w:i/>
          <w:iCs/>
          <w:color w:val="5B6573"/>
          <w:sz w:val="18"/>
          <w:szCs w:val="18"/>
        </w:rPr>
        <w:t xml:space="preserve">La barre d’outils, corpus ouvert.</w:t>
      </w:r>
    </w:p>
    <w:tbl>
      <w:tblPr>
        <w:tblW w:type="dxa" w:w="9638"/>
        <w:tblBorders>
          <w:top w:val="single" w:color="D9DEE5" w:sz="4"/>
          <w:left w:val="single" w:color="D9DEE5" w:sz="4"/>
          <w:bottom w:val="single" w:color="D9DEE5" w:sz="4"/>
          <w:right w:val="single" w:color="D9DEE5" w:sz="4"/>
          <w:insideH w:val="single" w:color="D9DEE5" w:sz="4"/>
          <w:insideV w:val="single" w:color="D9DEE5" w:sz="4"/>
        </w:tblBorders>
      </w:tblPr>
      <w:tblGrid>
        <w:gridCol w:w="3000"/>
        <w:gridCol w:w="6638"/>
      </w:tblGrid>
      <w:tr>
        <w:trPr>
          <w:tblHeader/>
        </w:trPr>
        <w:tc>
          <w:tcPr>
            <w:tcW w:type="dxa" w:w="3000"/>
            <w:shd w:fill="DBE8FB" w:color="auto" w:val="clear"/>
            <w:tcMar>
              <w:top w:type="dxa" w:w="60"/>
              <w:left w:type="dxa" w:w="100"/>
              <w:bottom w:type="dxa" w:w="60"/>
              <w:right w:type="dxa" w:w="100"/>
            </w:tcMar>
          </w:tcPr>
          <w:p>
            <w:pPr>
              <w:spacing w:after="0"/>
            </w:pPr>
            <w:r>
              <w:rPr>
                <w:b/>
                <w:bCs/>
              </w:rPr>
              <w:t xml:space="preserve">Élément</w:t>
            </w:r>
          </w:p>
        </w:tc>
        <w:tc>
          <w:tcPr>
            <w:tcW w:type="dxa" w:w="6638"/>
            <w:shd w:fill="DBE8FB" w:color="auto" w:val="clear"/>
            <w:tcMar>
              <w:top w:type="dxa" w:w="60"/>
              <w:left w:type="dxa" w:w="100"/>
              <w:bottom w:type="dxa" w:w="60"/>
              <w:right w:type="dxa" w:w="100"/>
            </w:tcMar>
          </w:tcPr>
          <w:p>
            <w:pPr>
              <w:spacing w:after="0"/>
            </w:pPr>
            <w:r>
              <w:rPr>
                <w:b/>
                <w:bCs/>
              </w:rPr>
              <w:t xml:space="preserve">Rôle</w:t>
            </w:r>
          </w:p>
        </w:tc>
      </w:tr>
      <w:tr>
        <w:tc>
          <w:tcPr>
            <w:tcW w:type="dxa" w:w="3000"/>
            <w:tcMar>
              <w:top w:type="dxa" w:w="60"/>
              <w:left w:type="dxa" w:w="100"/>
              <w:bottom w:type="dxa" w:w="60"/>
              <w:right w:type="dxa" w:w="100"/>
            </w:tcMar>
          </w:tcPr>
          <w:p>
            <w:pPr>
              <w:spacing w:after="0"/>
            </w:pPr>
            <w:r>
              <w:t xml:space="preserve">Accueil</w:t>
            </w:r>
          </w:p>
        </w:tc>
        <w:tc>
          <w:tcPr>
            <w:tcW w:type="dxa" w:w="6638"/>
            <w:tcMar>
              <w:top w:type="dxa" w:w="60"/>
              <w:left w:type="dxa" w:w="100"/>
              <w:bottom w:type="dxa" w:w="60"/>
              <w:right w:type="dxa" w:w="100"/>
            </w:tcMar>
          </w:tcPr>
          <w:p>
            <w:pPr>
              <w:spacing w:after="0"/>
            </w:pPr>
            <w:r>
              <w:t xml:space="preserve">Revenir à l’écran d’accueil sans fermer le corpus.</w:t>
            </w:r>
          </w:p>
        </w:tc>
      </w:tr>
      <w:tr>
        <w:tc>
          <w:tcPr>
            <w:tcW w:type="dxa" w:w="3000"/>
            <w:tcMar>
              <w:top w:type="dxa" w:w="60"/>
              <w:left w:type="dxa" w:w="100"/>
              <w:bottom w:type="dxa" w:w="60"/>
              <w:right w:type="dxa" w:w="100"/>
            </w:tcMar>
          </w:tcPr>
          <w:p>
            <w:pPr>
              <w:spacing w:after="0"/>
            </w:pPr>
            <w:r>
              <w:t xml:space="preserve">Précédent / Suivant</w:t>
            </w:r>
          </w:p>
        </w:tc>
        <w:tc>
          <w:tcPr>
            <w:tcW w:type="dxa" w:w="6638"/>
            <w:tcMar>
              <w:top w:type="dxa" w:w="60"/>
              <w:left w:type="dxa" w:w="100"/>
              <w:bottom w:type="dxa" w:w="60"/>
              <w:right w:type="dxa" w:w="100"/>
            </w:tcMar>
          </w:tcPr>
          <w:p>
            <w:pPr>
              <w:spacing w:after="0"/>
            </w:pPr>
            <w:r>
              <w:t xml:space="preserve">Naviguer dans l’historique des emplacements ouverts (</w:t>
            </w:r>
            <w:r>
              <w:rPr>
                <w:rFonts w:ascii="Cascadia Mono" w:cs="Cascadia Mono" w:eastAsia="Cascadia Mono" w:hAnsi="Cascadia Mono"/>
                <w:b/>
                <w:bCs/>
                <w:color w:val="1F2933"/>
                <w:sz w:val="18"/>
                <w:szCs w:val="18"/>
                <w:shd w:fill="E3E7ED" w:color="auto" w:val="clear"/>
              </w:rPr>
              <w:t xml:space="preserve"> Alt+← </w:t>
            </w:r>
            <w:r>
              <w:t xml:space="preserve"> / </w:t>
            </w:r>
            <w:r>
              <w:rPr>
                <w:rFonts w:ascii="Cascadia Mono" w:cs="Cascadia Mono" w:eastAsia="Cascadia Mono" w:hAnsi="Cascadia Mono"/>
                <w:b/>
                <w:bCs/>
                <w:color w:val="1F2933"/>
                <w:sz w:val="18"/>
                <w:szCs w:val="18"/>
                <w:shd w:fill="E3E7ED" w:color="auto" w:val="clear"/>
              </w:rPr>
              <w:t xml:space="preserve"> Alt+→ </w:t>
            </w:r>
            <w:r>
              <w:t xml:space="preserve">).</w:t>
            </w:r>
          </w:p>
        </w:tc>
      </w:tr>
      <w:tr>
        <w:tc>
          <w:tcPr>
            <w:tcW w:type="dxa" w:w="3000"/>
            <w:tcMar>
              <w:top w:type="dxa" w:w="60"/>
              <w:left w:type="dxa" w:w="100"/>
              <w:bottom w:type="dxa" w:w="60"/>
              <w:right w:type="dxa" w:w="100"/>
            </w:tcMar>
          </w:tcPr>
          <w:p>
            <w:pPr>
              <w:spacing w:after="0"/>
            </w:pPr>
            <w:r>
              <w:t xml:space="preserve">Pastille du corpus</w:t>
            </w:r>
          </w:p>
        </w:tc>
        <w:tc>
          <w:tcPr>
            <w:tcW w:type="dxa" w:w="6638"/>
            <w:tcMar>
              <w:top w:type="dxa" w:w="60"/>
              <w:left w:type="dxa" w:w="100"/>
              <w:bottom w:type="dxa" w:w="60"/>
              <w:right w:type="dxa" w:w="100"/>
            </w:tcMar>
          </w:tcPr>
          <w:p>
            <w:pPr>
              <w:spacing w:after="0"/>
            </w:pPr>
            <w:r>
              <w:t xml:space="preserve">Au survol, se déplie pour montrer le nom, le nombre d’apps et d’objets et l’emplacement du corpus.</w:t>
            </w:r>
          </w:p>
        </w:tc>
      </w:tr>
      <w:tr>
        <w:tc>
          <w:tcPr>
            <w:tcW w:type="dxa" w:w="3000"/>
            <w:tcMar>
              <w:top w:type="dxa" w:w="60"/>
              <w:left w:type="dxa" w:w="100"/>
              <w:bottom w:type="dxa" w:w="60"/>
              <w:right w:type="dxa" w:w="100"/>
            </w:tcMar>
          </w:tcPr>
          <w:p>
            <w:pPr>
              <w:spacing w:after="0"/>
            </w:pPr>
            <w:r>
              <w:t xml:space="preserve">Actualiser</w:t>
            </w:r>
          </w:p>
        </w:tc>
        <w:tc>
          <w:tcPr>
            <w:tcW w:type="dxa" w:w="6638"/>
            <w:tcMar>
              <w:top w:type="dxa" w:w="60"/>
              <w:left w:type="dxa" w:w="100"/>
              <w:bottom w:type="dxa" w:w="60"/>
              <w:right w:type="dxa" w:w="100"/>
            </w:tcMar>
          </w:tcPr>
          <w:p>
            <w:pPr>
              <w:spacing w:after="0"/>
            </w:pPr>
            <w:r>
              <w:t xml:space="preserve">Recharger le corpus (seules les apps modifiées sont réanalysées) ; pour un dépôt GitHub, vérifier le dernier commit.</w:t>
            </w:r>
          </w:p>
        </w:tc>
      </w:tr>
      <w:tr>
        <w:tc>
          <w:tcPr>
            <w:tcW w:type="dxa" w:w="3000"/>
            <w:tcMar>
              <w:top w:type="dxa" w:w="60"/>
              <w:left w:type="dxa" w:w="100"/>
              <w:bottom w:type="dxa" w:w="60"/>
              <w:right w:type="dxa" w:w="100"/>
            </w:tcMar>
          </w:tcPr>
          <w:p>
            <w:pPr>
              <w:spacing w:after="0"/>
            </w:pPr>
            <w:r>
              <w:t xml:space="preserve">Rechercher</w:t>
            </w:r>
          </w:p>
        </w:tc>
        <w:tc>
          <w:tcPr>
            <w:tcW w:type="dxa" w:w="6638"/>
            <w:tcMar>
              <w:top w:type="dxa" w:w="60"/>
              <w:left w:type="dxa" w:w="100"/>
              <w:bottom w:type="dxa" w:w="60"/>
              <w:right w:type="dxa" w:w="100"/>
            </w:tcMar>
          </w:tcPr>
          <w:p>
            <w:pPr>
              <w:spacing w:after="0"/>
            </w:pPr>
            <w:r>
              <w:t xml:space="preserve">Ouvrir la recherche rapide (</w:t>
            </w:r>
            <w:r>
              <w:rPr>
                <w:rFonts w:ascii="Cascadia Mono" w:cs="Cascadia Mono" w:eastAsia="Cascadia Mono" w:hAnsi="Cascadia Mono"/>
                <w:b/>
                <w:bCs/>
                <w:color w:val="1F2933"/>
                <w:sz w:val="18"/>
                <w:szCs w:val="18"/>
                <w:shd w:fill="E3E7ED" w:color="auto" w:val="clear"/>
              </w:rPr>
              <w:t xml:space="preserve"> Ctrl+P </w:t>
            </w:r>
            <w:r>
              <w:t xml:space="preserve">).</w:t>
            </w:r>
          </w:p>
        </w:tc>
      </w:tr>
      <w:tr>
        <w:tc>
          <w:tcPr>
            <w:tcW w:type="dxa" w:w="3000"/>
            <w:tcMar>
              <w:top w:type="dxa" w:w="60"/>
              <w:left w:type="dxa" w:w="100"/>
              <w:bottom w:type="dxa" w:w="60"/>
              <w:right w:type="dxa" w:w="100"/>
            </w:tcMar>
          </w:tcPr>
          <w:p>
            <w:pPr>
              <w:spacing w:after="0"/>
            </w:pPr>
            <w:r>
              <w:t xml:space="preserve">Rapport de chargement</w:t>
            </w:r>
          </w:p>
        </w:tc>
        <w:tc>
          <w:tcPr>
            <w:tcW w:type="dxa" w:w="6638"/>
            <w:tcMar>
              <w:top w:type="dxa" w:w="60"/>
              <w:left w:type="dxa" w:w="100"/>
              <w:bottom w:type="dxa" w:w="60"/>
              <w:right w:type="dxa" w:w="100"/>
            </w:tcMar>
          </w:tcPr>
          <w:p>
            <w:pPr>
              <w:spacing w:after="0"/>
            </w:pPr>
            <w:r>
              <w:t xml:space="preserve">Un triangle et un compteur signalent les problèmes à traiter ; sinon une simple icône.</w:t>
            </w:r>
          </w:p>
        </w:tc>
      </w:tr>
      <w:tr>
        <w:tc>
          <w:tcPr>
            <w:tcW w:type="dxa" w:w="3000"/>
            <w:tcMar>
              <w:top w:type="dxa" w:w="60"/>
              <w:left w:type="dxa" w:w="100"/>
              <w:bottom w:type="dxa" w:w="60"/>
              <w:right w:type="dxa" w:w="100"/>
            </w:tcMar>
          </w:tcPr>
          <w:p>
            <w:pPr>
              <w:spacing w:after="0"/>
            </w:pPr>
            <w:r>
              <w:t xml:space="preserve">Événements</w:t>
            </w:r>
          </w:p>
        </w:tc>
        <w:tc>
          <w:tcPr>
            <w:tcW w:type="dxa" w:w="6638"/>
            <w:tcMar>
              <w:top w:type="dxa" w:w="60"/>
              <w:left w:type="dxa" w:w="100"/>
              <w:bottom w:type="dxa" w:w="60"/>
              <w:right w:type="dxa" w:w="100"/>
            </w:tcMar>
          </w:tcPr>
          <w:p>
            <w:pPr>
              <w:spacing w:after="0"/>
            </w:pPr>
            <w:r>
              <w:t xml:space="preserve">Ouvrir le panneau des événements du corpus.</w:t>
            </w:r>
          </w:p>
        </w:tc>
      </w:tr>
      <w:tr>
        <w:tc>
          <w:tcPr>
            <w:tcW w:type="dxa" w:w="3000"/>
            <w:tcMar>
              <w:top w:type="dxa" w:w="60"/>
              <w:left w:type="dxa" w:w="100"/>
              <w:bottom w:type="dxa" w:w="60"/>
              <w:right w:type="dxa" w:w="100"/>
            </w:tcMar>
          </w:tcPr>
          <w:p>
            <w:pPr>
              <w:spacing w:after="0"/>
            </w:pPr>
            <w:r>
              <w:t xml:space="preserve">Exporter</w:t>
            </w:r>
          </w:p>
        </w:tc>
        <w:tc>
          <w:tcPr>
            <w:tcW w:type="dxa" w:w="6638"/>
            <w:tcMar>
              <w:top w:type="dxa" w:w="60"/>
              <w:left w:type="dxa" w:w="100"/>
              <w:bottom w:type="dxa" w:w="60"/>
              <w:right w:type="dxa" w:w="100"/>
            </w:tcMar>
          </w:tcPr>
          <w:p>
            <w:pPr>
              <w:spacing w:after="0"/>
            </w:pPr>
            <w:r>
              <w:t xml:space="preserve">Le jeu de permissions en cours, avec le nombre de membres ajoutés (visible dès qu’un membre est ajouté).</w:t>
            </w:r>
          </w:p>
        </w:tc>
      </w:tr>
      <w:tr>
        <w:tc>
          <w:tcPr>
            <w:tcW w:type="dxa" w:w="3000"/>
            <w:tcMar>
              <w:top w:type="dxa" w:w="60"/>
              <w:left w:type="dxa" w:w="100"/>
              <w:bottom w:type="dxa" w:w="60"/>
              <w:right w:type="dxa" w:w="100"/>
            </w:tcMar>
          </w:tcPr>
          <w:p>
            <w:pPr>
              <w:spacing w:after="0"/>
            </w:pPr>
            <w:r>
              <w:t xml:space="preserve">Tickets</w:t>
            </w:r>
          </w:p>
        </w:tc>
        <w:tc>
          <w:tcPr>
            <w:tcW w:type="dxa" w:w="6638"/>
            <w:tcMar>
              <w:top w:type="dxa" w:w="60"/>
              <w:left w:type="dxa" w:w="100"/>
              <w:bottom w:type="dxa" w:w="60"/>
              <w:right w:type="dxa" w:w="100"/>
            </w:tcMar>
          </w:tcPr>
          <w:p>
            <w:pPr>
              <w:spacing w:after="0"/>
            </w:pPr>
            <w:r>
              <w:t xml:space="preserve">Les brouillons de ticket du corpus, avec le nombre d’éléments du brouillon actif.</w:t>
            </w:r>
          </w:p>
        </w:tc>
      </w:tr>
      <w:tr>
        <w:tc>
          <w:tcPr>
            <w:tcW w:type="dxa" w:w="3000"/>
            <w:tcMar>
              <w:top w:type="dxa" w:w="60"/>
              <w:left w:type="dxa" w:w="100"/>
              <w:bottom w:type="dxa" w:w="60"/>
              <w:right w:type="dxa" w:w="100"/>
            </w:tcMar>
          </w:tcPr>
          <w:p>
            <w:pPr>
              <w:spacing w:after="0"/>
            </w:pPr>
            <w:r>
              <w:t xml:space="preserve">Role Center</w:t>
            </w:r>
          </w:p>
        </w:tc>
        <w:tc>
          <w:tcPr>
            <w:tcW w:type="dxa" w:w="6638"/>
            <w:tcMar>
              <w:top w:type="dxa" w:w="60"/>
              <w:left w:type="dxa" w:w="100"/>
              <w:bottom w:type="dxa" w:w="60"/>
              <w:right w:type="dxa" w:w="100"/>
            </w:tcMar>
          </w:tcPr>
          <w:p>
            <w:pPr>
              <w:spacing w:after="0"/>
            </w:pPr>
            <w:r>
              <w:t xml:space="preserve">Ouvrir l’éditeur de Role Center : composer un Role Center, en tirer un ticket et un squelette AL.</w:t>
            </w:r>
          </w:p>
        </w:tc>
      </w:tr>
      <w:tr>
        <w:tc>
          <w:tcPr>
            <w:tcW w:type="dxa" w:w="3000"/>
            <w:tcMar>
              <w:top w:type="dxa" w:w="60"/>
              <w:left w:type="dxa" w:w="100"/>
              <w:bottom w:type="dxa" w:w="60"/>
              <w:right w:type="dxa" w:w="100"/>
            </w:tcMar>
          </w:tcPr>
          <w:p>
            <w:pPr>
              <w:spacing w:after="0"/>
            </w:pPr>
            <w:r>
              <w:t xml:space="preserve">Vue fonctionnelle</w:t>
            </w:r>
          </w:p>
        </w:tc>
        <w:tc>
          <w:tcPr>
            <w:tcW w:type="dxa" w:w="6638"/>
            <w:tcMar>
              <w:top w:type="dxa" w:w="60"/>
              <w:left w:type="dxa" w:w="100"/>
              <w:bottom w:type="dxa" w:w="60"/>
              <w:right w:type="dxa" w:w="100"/>
            </w:tcMar>
          </w:tcPr>
          <w:p>
            <w:pPr>
              <w:spacing w:after="0"/>
            </w:pPr>
            <w:r>
              <w:t xml:space="preserve">Basculer entre la vue développeur (le code) et la </w:t>
            </w:r>
            <w:r>
              <w:rPr>
                <w:b/>
                <w:bCs/>
              </w:rPr>
              <w:t xml:space="preserve">Vue fonctionnelle</w:t>
            </w:r>
            <w:r>
              <w:t xml:space="preserve"> des consultants (les écrans) (</w:t>
            </w:r>
            <w:r>
              <w:rPr>
                <w:rFonts w:ascii="Cascadia Mono" w:cs="Cascadia Mono" w:eastAsia="Cascadia Mono" w:hAnsi="Cascadia Mono"/>
                <w:b/>
                <w:bCs/>
                <w:color w:val="1F2933"/>
                <w:sz w:val="18"/>
                <w:szCs w:val="18"/>
                <w:shd w:fill="E3E7ED" w:color="auto" w:val="clear"/>
              </w:rPr>
              <w:t xml:space="preserve"> Ctrl+Alt+V </w:t>
            </w:r>
            <w:r>
              <w:t xml:space="preserve">).</w:t>
            </w:r>
          </w:p>
        </w:tc>
      </w:tr>
      <w:tr>
        <w:tc>
          <w:tcPr>
            <w:tcW w:type="dxa" w:w="3000"/>
            <w:tcMar>
              <w:top w:type="dxa" w:w="60"/>
              <w:left w:type="dxa" w:w="100"/>
              <w:bottom w:type="dxa" w:w="60"/>
              <w:right w:type="dxa" w:w="100"/>
            </w:tcMar>
          </w:tcPr>
          <w:p>
            <w:pPr>
              <w:spacing w:after="0"/>
            </w:pPr>
            <w:r>
              <w:t xml:space="preserve">Paramètres</w:t>
            </w:r>
          </w:p>
        </w:tc>
        <w:tc>
          <w:tcPr>
            <w:tcW w:type="dxa" w:w="6638"/>
            <w:tcMar>
              <w:top w:type="dxa" w:w="60"/>
              <w:left w:type="dxa" w:w="100"/>
              <w:bottom w:type="dxa" w:w="60"/>
              <w:right w:type="dxa" w:w="100"/>
            </w:tcMar>
          </w:tcPr>
          <w:p>
            <w:pPr>
              <w:spacing w:after="0"/>
            </w:pPr>
            <w:r>
              <w:t xml:space="preserve">Thème, densité, sources Microsoft, GitHub, corpus, mises à jour. Une pastille signale un téléchargement en cours ou une mise à jour disponible.</w:t>
            </w:r>
          </w:p>
        </w:tc>
      </w:tr>
    </w:tbl>
    <w:p>
      <w:pPr>
        <w:spacing w:after="120"/>
      </w:pPr>
    </w:p>
    <w:p>
      <w:pPr>
        <w:spacing w:after="140" w:line="300"/>
      </w:pPr>
      <w:r>
        <w:t xml:space="preserve">Chaque bouton affiche son rôle et son raccourci au survol.</w:t>
      </w:r>
    </w:p>
    <w:p>
      <w:pPr>
        <w:keepNext/>
        <w:spacing w:before="120" w:after="60"/>
        <w:jc w:val="center"/>
      </w:pPr>
      <w:r>
        <w:drawing>
          <wp:inline distT="0" distB="0" distL="0" distR="0">
            <wp:extent cx="61150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466725"/>
                    </a:xfrm>
                    <a:prstGeom prst="rect">
                      <a:avLst/>
                    </a:prstGeom>
                  </pic:spPr>
                </pic:pic>
              </a:graphicData>
            </a:graphic>
          </wp:inline>
        </w:drawing>
      </w:r>
    </w:p>
    <w:p>
      <w:pPr>
        <w:spacing w:after="220"/>
        <w:jc w:val="center"/>
      </w:pPr>
      <w:r>
        <w:rPr>
          <w:i/>
          <w:iCs/>
          <w:color w:val="5B6573"/>
          <w:sz w:val="18"/>
          <w:szCs w:val="18"/>
        </w:rPr>
        <w:t xml:space="preserve">La pastille du corpus, dépliée au survol.</w:t>
      </w:r>
    </w:p>
    <w:p>
      <w:pPr>
        <w:pStyle w:val="Heading1"/>
        <w:pageBreakBefore/>
      </w:pPr>
      <w:bookmarkStart w:name="explorateur" w:id="1"/>
      <w:r>
        <w:t xml:space="preserve">6. L’explorateur d’objets</w:t>
      </w:r>
      <w:bookmarkEnd w:id="1"/>
    </w:p>
    <w:p>
      <w:pPr>
        <w:spacing w:after="140" w:line="300"/>
      </w:pPr>
      <w:r>
        <w:t xml:space="preserve">À gauche, l’explorateur liste tous les objets du corpus. Une pastille colorée indique le type : </w:t>
      </w:r>
      <w:r>
        <w:rPr>
          <w:b/>
          <w:bCs/>
        </w:rPr>
        <w:t xml:space="preserve">T</w:t>
      </w:r>
      <w:r>
        <w:t xml:space="preserve"> table, </w:t>
      </w:r>
      <w:r>
        <w:rPr>
          <w:b/>
          <w:bCs/>
        </w:rPr>
        <w:t xml:space="preserve">P</w:t>
      </w:r>
      <w:r>
        <w:t xml:space="preserve"> page, </w:t>
      </w:r>
      <w:r>
        <w:rPr>
          <w:b/>
          <w:bCs/>
        </w:rPr>
        <w:t xml:space="preserve">CU</w:t>
      </w:r>
      <w:r>
        <w:t xml:space="preserve"> codeunit, </w:t>
      </w:r>
      <w:r>
        <w:rPr>
          <w:b/>
          <w:bCs/>
        </w:rPr>
        <w:t xml:space="preserve">R</w:t>
      </w:r>
      <w:r>
        <w:t xml:space="preserve"> report, </w:t>
      </w:r>
      <w:r>
        <w:rPr>
          <w:b/>
          <w:bCs/>
        </w:rPr>
        <w:t xml:space="preserve">E</w:t>
      </w:r>
      <w:r>
        <w:t xml:space="preserve"> enum… Les extensions (</w:t>
      </w:r>
      <w:r>
        <w:rPr>
          <w:b/>
          <w:bCs/>
        </w:rPr>
        <w:t xml:space="preserve">TE</w:t>
      </w:r>
      <w:r>
        <w:t xml:space="preserve">, </w:t>
      </w:r>
      <w:r>
        <w:rPr>
          <w:b/>
          <w:bCs/>
        </w:rPr>
        <w:t xml:space="preserve">PE</w:t>
      </w:r>
      <w:r>
        <w:t xml:space="preserve">…) ont la couleur de l’objet étendu, en pointillé, et affichent sous leur nom l’objet qu’elles étendent.</w:t>
      </w:r>
    </w:p>
    <w:p>
      <w:pPr>
        <w:spacing w:after="140" w:line="300"/>
      </w:pPr>
      <w:r>
        <w:t xml:space="preserve">Les filtres, en haut de l’explorateur :</w:t>
      </w:r>
    </w:p>
    <w:p>
      <w:pPr>
        <w:pStyle w:val="ListParagraph"/>
        <w:numPr>
          <w:ilvl w:val="0"/>
          <w:numId w:val="2"/>
        </w:numPr>
        <w:spacing w:after="60" w:line="290"/>
      </w:pPr>
      <w:r>
        <w:rPr>
          <w:b/>
          <w:bCs/>
        </w:rPr>
        <w:t xml:space="preserve">Filtrer par nom</w:t>
      </w:r>
      <w:r>
        <w:t xml:space="preserve"> : texte libre ; le compteur indique les objets affichés sur le total.</w:t>
      </w:r>
    </w:p>
    <w:p>
      <w:pPr>
        <w:pStyle w:val="ListParagraph"/>
        <w:numPr>
          <w:ilvl w:val="0"/>
          <w:numId w:val="2"/>
        </w:numPr>
        <w:spacing w:after="60" w:line="290"/>
      </w:pPr>
      <w:r>
        <w:rPr>
          <w:b/>
          <w:bCs/>
        </w:rPr>
        <w:t xml:space="preserve">Type</w:t>
      </w:r>
      <w:r>
        <w:t xml:space="preserve"> et </w:t>
      </w:r>
      <w:r>
        <w:rPr>
          <w:b/>
          <w:bCs/>
        </w:rPr>
        <w:t xml:space="preserve">App</w:t>
      </w:r>
      <w:r>
        <w:t xml:space="preserve"> : choix multiples ; un badge indique le nombre de valeurs cochées.</w:t>
      </w:r>
    </w:p>
    <w:p>
      <w:pPr>
        <w:pStyle w:val="ListParagraph"/>
        <w:numPr>
          <w:ilvl w:val="0"/>
          <w:numId w:val="2"/>
        </w:numPr>
        <w:spacing w:after="60" w:line="290"/>
      </w:pPr>
      <w:r>
        <w:rPr>
          <w:b/>
          <w:bCs/>
        </w:rPr>
        <w:t xml:space="preserve">ID</w:t>
      </w:r>
      <w:r>
        <w:t xml:space="preserve"> : un ID seul (</w:t>
      </w:r>
      <w:r>
        <w:rPr>
          <w:rFonts w:ascii="Cascadia Mono" w:cs="Cascadia Mono" w:eastAsia="Cascadia Mono" w:hAnsi="Cascadia Mono"/>
          <w:color w:val="1F2933"/>
          <w:sz w:val="19"/>
          <w:szCs w:val="19"/>
          <w:shd w:fill="EEF1F5" w:color="auto" w:val="clear"/>
        </w:rPr>
        <w:t xml:space="preserve">18</w:t>
      </w:r>
      <w:r>
        <w:t xml:space="preserve">) ou une plage : </w:t>
      </w:r>
      <w:r>
        <w:rPr>
          <w:rFonts w:ascii="Cascadia Mono" w:cs="Cascadia Mono" w:eastAsia="Cascadia Mono" w:hAnsi="Cascadia Mono"/>
          <w:color w:val="1F2933"/>
          <w:sz w:val="19"/>
          <w:szCs w:val="19"/>
          <w:shd w:fill="EEF1F5" w:color="auto" w:val="clear"/>
        </w:rPr>
        <w:t xml:space="preserve">50000..59999</w:t>
      </w:r>
      <w:r>
        <w:t xml:space="preserve">, </w:t>
      </w:r>
      <w:r>
        <w:rPr>
          <w:rFonts w:ascii="Cascadia Mono" w:cs="Cascadia Mono" w:eastAsia="Cascadia Mono" w:hAnsi="Cascadia Mono"/>
          <w:color w:val="1F2933"/>
          <w:sz w:val="19"/>
          <w:szCs w:val="19"/>
          <w:shd w:fill="EEF1F5" w:color="auto" w:val="clear"/>
        </w:rPr>
        <w:t xml:space="preserve">50000..</w:t>
      </w:r>
      <w:r>
        <w:t xml:space="preserve"> ou </w:t>
      </w:r>
      <w:r>
        <w:rPr>
          <w:rFonts w:ascii="Cascadia Mono" w:cs="Cascadia Mono" w:eastAsia="Cascadia Mono" w:hAnsi="Cascadia Mono"/>
          <w:color w:val="1F2933"/>
          <w:sz w:val="19"/>
          <w:szCs w:val="19"/>
          <w:shd w:fill="EEF1F5" w:color="auto" w:val="clear"/>
        </w:rPr>
        <w:t xml:space="preserve">..59999</w:t>
      </w:r>
      <w:r>
        <w:t xml:space="preserve">.</w:t>
      </w:r>
    </w:p>
    <w:p>
      <w:pPr>
        <w:keepNext/>
        <w:spacing w:before="120" w:after="60"/>
        <w:jc w:val="center"/>
      </w:pPr>
      <w:r>
        <w:drawing>
          <wp:inline distT="0" distB="0" distL="0" distR="0">
            <wp:extent cx="611505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5429250"/>
                    </a:xfrm>
                    <a:prstGeom prst="rect">
                      <a:avLst/>
                    </a:prstGeom>
                  </pic:spPr>
                </pic:pic>
              </a:graphicData>
            </a:graphic>
          </wp:inline>
        </w:drawing>
      </w:r>
    </w:p>
    <w:p>
      <w:pPr>
        <w:spacing w:after="220"/>
        <w:jc w:val="center"/>
      </w:pPr>
      <w:r>
        <w:rPr>
          <w:i/>
          <w:iCs/>
          <w:color w:val="5B6573"/>
          <w:sz w:val="18"/>
          <w:szCs w:val="18"/>
        </w:rPr>
        <w:t xml:space="preserve">Filtrer sur une application.</w:t>
      </w:r>
    </w:p>
    <w:p>
      <w:pPr>
        <w:spacing w:after="140" w:line="300"/>
      </w:pPr>
      <w:r>
        <w:t xml:space="preserve">Deux affichages : la </w:t>
      </w:r>
      <w:r>
        <w:rPr>
          <w:b/>
          <w:bCs/>
        </w:rPr>
        <w:t xml:space="preserve">liste</w:t>
      </w:r>
      <w:r>
        <w:t xml:space="preserve">, triable en cliquant sur les en-têtes (colonnes redimensionnables), et l’</w:t>
      </w:r>
      <w:r>
        <w:rPr>
          <w:b/>
          <w:bCs/>
        </w:rPr>
        <w:t xml:space="preserve">arbre</w:t>
      </w:r>
      <w:r>
        <w:t xml:space="preserve"> App › Type › Objet.</w:t>
      </w:r>
    </w:p>
    <w:p>
      <w:pPr>
        <w:keepNext/>
        <w:spacing w:before="120" w:after="60"/>
        <w:jc w:val="center"/>
      </w:pPr>
      <w:r>
        <w:drawing>
          <wp:inline distT="0" distB="0" distL="0" distR="0">
            <wp:extent cx="6115050" cy="671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6715125"/>
                    </a:xfrm>
                    <a:prstGeom prst="rect">
                      <a:avLst/>
                    </a:prstGeom>
                  </pic:spPr>
                </pic:pic>
              </a:graphicData>
            </a:graphic>
          </wp:inline>
        </w:drawing>
      </w:r>
    </w:p>
    <w:p>
      <w:pPr>
        <w:spacing w:after="220"/>
        <w:jc w:val="center"/>
      </w:pPr>
      <w:r>
        <w:rPr>
          <w:i/>
          <w:iCs/>
          <w:color w:val="5B6573"/>
          <w:sz w:val="18"/>
          <w:szCs w:val="18"/>
        </w:rPr>
        <w:t xml:space="preserve">La liste des objets de l’application Demo Fleet Management.</w:t>
      </w:r>
    </w:p>
    <w:p>
      <w:pPr>
        <w:keepNext/>
        <w:spacing w:before="120" w:after="60"/>
        <w:jc w:val="center"/>
      </w:pPr>
      <w:r>
        <w:drawing>
          <wp:inline distT="0" distB="0" distL="0" distR="0">
            <wp:extent cx="6115050" cy="671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6715125"/>
                    </a:xfrm>
                    <a:prstGeom prst="rect">
                      <a:avLst/>
                    </a:prstGeom>
                  </pic:spPr>
                </pic:pic>
              </a:graphicData>
            </a:graphic>
          </wp:inline>
        </w:drawing>
      </w:r>
    </w:p>
    <w:p>
      <w:pPr>
        <w:spacing w:after="220"/>
        <w:jc w:val="center"/>
      </w:pPr>
      <w:r>
        <w:rPr>
          <w:i/>
          <w:iCs/>
          <w:color w:val="5B6573"/>
          <w:sz w:val="18"/>
          <w:szCs w:val="18"/>
        </w:rPr>
        <w:t xml:space="preserve">La même sélection en arbre.</w:t>
      </w:r>
    </w:p>
    <w:p>
      <w:pPr>
        <w:spacing w:after="140" w:line="300"/>
      </w:pPr>
      <w:r>
        <w:t xml:space="preserve">Double-clic ou </w:t>
      </w:r>
      <w:r>
        <w:rPr>
          <w:rFonts w:ascii="Cascadia Mono" w:cs="Cascadia Mono" w:eastAsia="Cascadia Mono" w:hAnsi="Cascadia Mono"/>
          <w:b/>
          <w:bCs/>
          <w:color w:val="1F2933"/>
          <w:sz w:val="18"/>
          <w:szCs w:val="18"/>
          <w:shd w:fill="E3E7ED" w:color="auto" w:val="clear"/>
        </w:rPr>
        <w:t xml:space="preserve"> Entrée </w:t>
      </w:r>
      <w:r>
        <w:t xml:space="preserve"> ouvre le code de l’objet. Le </w:t>
      </w:r>
      <w:r>
        <w:rPr>
          <w:b/>
          <w:bCs/>
        </w:rPr>
        <w:t xml:space="preserve">clic droit</w:t>
      </w:r>
      <w:r>
        <w:t xml:space="preserve"> propose aussi : Trouver les utilisations (</w:t>
      </w:r>
      <w:r>
        <w:rPr>
          <w:rFonts w:ascii="Cascadia Mono" w:cs="Cascadia Mono" w:eastAsia="Cascadia Mono" w:hAnsi="Cascadia Mono"/>
          <w:b/>
          <w:bCs/>
          <w:color w:val="1F2933"/>
          <w:sz w:val="18"/>
          <w:szCs w:val="18"/>
          <w:shd w:fill="E3E7ED" w:color="auto" w:val="clear"/>
        </w:rPr>
        <w:t xml:space="preserve"> Maj+F12 </w:t>
      </w:r>
      <w:r>
        <w:t xml:space="preserve">), </w:t>
      </w:r>
      <w:r>
        <w:rPr>
          <w:b/>
          <w:bCs/>
        </w:rPr>
        <w:t xml:space="preserve">Diagramme</w:t>
      </w:r>
      <w:r>
        <w:t xml:space="preserve"> de l’objet (ses relations, dans une fenêtre à part) et, pour une table ou une page, la </w:t>
      </w:r>
      <w:r>
        <w:rPr>
          <w:b/>
          <w:bCs/>
        </w:rPr>
        <w:t xml:space="preserve">Vue aplatie</w:t>
      </w:r>
      <w:r>
        <w:t xml:space="preserve"> (l’objet et toutes ses extensions réunis), et </w:t>
      </w:r>
      <w:r>
        <w:rPr>
          <w:b/>
          <w:bCs/>
        </w:rPr>
        <w:t xml:space="preserve">Ajouter au ticket</w:t>
      </w:r>
      <w:r>
        <w:t xml:space="preserve">.</w:t>
      </w:r>
    </w:p>
    <w:p>
      <w:pPr>
        <w:pStyle w:val="Heading1"/>
        <w:pageBreakBefore/>
      </w:pPr>
      <w:bookmarkStart w:name="recherche" w:id="1"/>
      <w:r>
        <w:t xml:space="preserve">7. La recherche rapide</w:t>
      </w:r>
      <w:bookmarkEnd w:id="1"/>
    </w:p>
    <w:p>
      <w:pPr>
        <w:spacing w:after="140" w:line="300"/>
      </w:pPr>
      <w:r>
        <w:rPr>
          <w:rFonts w:ascii="Cascadia Mono" w:cs="Cascadia Mono" w:eastAsia="Cascadia Mono" w:hAnsi="Cascadia Mono"/>
          <w:b/>
          <w:bCs/>
          <w:color w:val="1F2933"/>
          <w:sz w:val="18"/>
          <w:szCs w:val="18"/>
          <w:shd w:fill="E3E7ED" w:color="auto" w:val="clear"/>
        </w:rPr>
        <w:t xml:space="preserve"> Ctrl+P </w:t>
      </w:r>
      <w:r>
        <w:t xml:space="preserve">, ou le champ au centre de la barre, ouvre la recherche rapide. Elle trouve un objet, un membre (champ, procédure, événement…) ou un Label par son nom, son ID ou un texte affiché dans Business Central :</w:t>
      </w:r>
    </w:p>
    <w:p>
      <w:pPr>
        <w:pStyle w:val="ListParagraph"/>
        <w:numPr>
          <w:ilvl w:val="0"/>
          <w:numId w:val="2"/>
        </w:numPr>
        <w:spacing w:after="60" w:line="290"/>
      </w:pPr>
      <w:r>
        <w:rPr>
          <w:rFonts w:ascii="Cascadia Mono" w:cs="Cascadia Mono" w:eastAsia="Cascadia Mono" w:hAnsi="Cascadia Mono"/>
          <w:color w:val="1F2933"/>
          <w:sz w:val="19"/>
          <w:szCs w:val="19"/>
          <w:shd w:fill="EEF1F5" w:color="auto" w:val="clear"/>
        </w:rPr>
        <w:t xml:space="preserve">Customer</w:t>
      </w:r>
      <w:r>
        <w:t xml:space="preserve">, </w:t>
      </w:r>
      <w:r>
        <w:rPr>
          <w:rFonts w:ascii="Cascadia Mono" w:cs="Cascadia Mono" w:eastAsia="Cascadia Mono" w:hAnsi="Cascadia Mono"/>
          <w:color w:val="1F2933"/>
          <w:sz w:val="19"/>
          <w:szCs w:val="19"/>
          <w:shd w:fill="EEF1F5" w:color="auto" w:val="clear"/>
        </w:rPr>
        <w:t xml:space="preserve">fleet</w:t>
      </w:r>
      <w:r>
        <w:t xml:space="preserve"> : recherche approximative dans les noms et les textes ;</w:t>
      </w:r>
    </w:p>
    <w:p>
      <w:pPr>
        <w:pStyle w:val="ListParagraph"/>
        <w:numPr>
          <w:ilvl w:val="0"/>
          <w:numId w:val="2"/>
        </w:numPr>
        <w:spacing w:after="60" w:line="290"/>
      </w:pPr>
      <w:r>
        <w:rPr>
          <w:rFonts w:ascii="Cascadia Mono" w:cs="Cascadia Mono" w:eastAsia="Cascadia Mono" w:hAnsi="Cascadia Mono"/>
          <w:color w:val="1F2933"/>
          <w:sz w:val="19"/>
          <w:szCs w:val="19"/>
          <w:shd w:fill="EEF1F5" w:color="auto" w:val="clear"/>
        </w:rPr>
        <w:t xml:space="preserve">t18</w:t>
      </w:r>
      <w:r>
        <w:t xml:space="preserve">, </w:t>
      </w:r>
      <w:r>
        <w:rPr>
          <w:rFonts w:ascii="Cascadia Mono" w:cs="Cascadia Mono" w:eastAsia="Cascadia Mono" w:hAnsi="Cascadia Mono"/>
          <w:color w:val="1F2933"/>
          <w:sz w:val="19"/>
          <w:szCs w:val="19"/>
          <w:shd w:fill="EEF1F5" w:color="auto" w:val="clear"/>
        </w:rPr>
        <w:t xml:space="preserve">p21</w:t>
      </w:r>
      <w:r>
        <w:t xml:space="preserve">, </w:t>
      </w:r>
      <w:r>
        <w:rPr>
          <w:rFonts w:ascii="Cascadia Mono" w:cs="Cascadia Mono" w:eastAsia="Cascadia Mono" w:hAnsi="Cascadia Mono"/>
          <w:color w:val="1F2933"/>
          <w:sz w:val="19"/>
          <w:szCs w:val="19"/>
          <w:shd w:fill="EEF1F5" w:color="auto" w:val="clear"/>
        </w:rPr>
        <w:t xml:space="preserve">cu80</w:t>
      </w:r>
      <w:r>
        <w:t xml:space="preserve"> : un objet par son type et son ID ;</w:t>
      </w:r>
    </w:p>
    <w:p>
      <w:pPr>
        <w:pStyle w:val="ListParagraph"/>
        <w:numPr>
          <w:ilvl w:val="0"/>
          <w:numId w:val="2"/>
        </w:numPr>
        <w:spacing w:after="60" w:line="290"/>
      </w:pPr>
      <w:r>
        <w:rPr>
          <w:rFonts w:ascii="Cascadia Mono" w:cs="Cascadia Mono" w:eastAsia="Cascadia Mono" w:hAnsi="Cascadia Mono"/>
          <w:color w:val="1F2933"/>
          <w:sz w:val="19"/>
          <w:szCs w:val="19"/>
          <w:shd w:fill="EEF1F5" w:color="auto" w:val="clear"/>
        </w:rPr>
        <w:t xml:space="preserve">Customer."No."</w:t>
      </w:r>
      <w:r>
        <w:t xml:space="preserve">, </w:t>
      </w:r>
      <w:r>
        <w:rPr>
          <w:rFonts w:ascii="Cascadia Mono" w:cs="Cascadia Mono" w:eastAsia="Cascadia Mono" w:hAnsi="Cascadia Mono"/>
          <w:color w:val="1F2933"/>
          <w:sz w:val="19"/>
          <w:szCs w:val="19"/>
          <w:shd w:fill="EEF1F5" w:color="auto" w:val="clear"/>
        </w:rPr>
        <w:t xml:space="preserve">"Sales-Post".Run</w:t>
      </w:r>
      <w:r>
        <w:t xml:space="preserve"> : un membre d’un objet ;</w:t>
      </w:r>
    </w:p>
    <w:p>
      <w:pPr>
        <w:pStyle w:val="ListParagraph"/>
        <w:numPr>
          <w:ilvl w:val="0"/>
          <w:numId w:val="2"/>
        </w:numPr>
        <w:spacing w:after="60" w:line="290"/>
      </w:pPr>
      <w:r>
        <w:rPr>
          <w:rFonts w:ascii="Cascadia Mono" w:cs="Cascadia Mono" w:eastAsia="Cascadia Mono" w:hAnsi="Cascadia Mono"/>
          <w:color w:val="1F2933"/>
          <w:sz w:val="19"/>
          <w:szCs w:val="19"/>
          <w:shd w:fill="EEF1F5" w:color="auto" w:val="clear"/>
        </w:rPr>
        <w:t xml:space="preserve">Fiche client</w:t>
      </w:r>
      <w:r>
        <w:t xml:space="preserve">, </w:t>
      </w:r>
      <w:r>
        <w:rPr>
          <w:rFonts w:ascii="Cascadia Mono" w:cs="Cascadia Mono" w:eastAsia="Cascadia Mono" w:hAnsi="Cascadia Mono"/>
          <w:color w:val="1F2933"/>
          <w:sz w:val="19"/>
          <w:szCs w:val="19"/>
          <w:shd w:fill="EEF1F5" w:color="auto" w:val="clear"/>
        </w:rPr>
        <w:t xml:space="preserve">Facture</w:t>
      </w:r>
      <w:r>
        <w:t xml:space="preserve">, </w:t>
      </w:r>
      <w:r>
        <w:rPr>
          <w:rFonts w:ascii="Cascadia Mono" w:cs="Cascadia Mono" w:eastAsia="Cascadia Mono" w:hAnsi="Cascadia Mono"/>
          <w:color w:val="1F2933"/>
          <w:sz w:val="19"/>
          <w:szCs w:val="19"/>
          <w:shd w:fill="EEF1F5" w:color="auto" w:val="clear"/>
        </w:rPr>
        <w:t xml:space="preserve">Le client 10000 n’existe pas.</w:t>
      </w:r>
      <w:r>
        <w:t xml:space="preserve"> : un libellé d’écran ou un message, en anglais ou dans une des </w:t>
      </w:r>
      <w:r>
        <w:rPr>
          <w:b/>
          <w:bCs/>
        </w:rPr>
        <w:t xml:space="preserve">langues de traduction</w:t>
      </w:r>
      <w:r>
        <w:t xml:space="preserve"> (voir les Réglages) ;</w:t>
      </w:r>
    </w:p>
    <w:p>
      <w:pPr>
        <w:pStyle w:val="ListParagraph"/>
        <w:numPr>
          <w:ilvl w:val="0"/>
          <w:numId w:val="2"/>
        </w:numPr>
        <w:spacing w:after="60" w:line="290"/>
      </w:pPr>
      <w:r>
        <w:t xml:space="preserve">une </w:t>
      </w:r>
      <w:r>
        <w:rPr>
          <w:b/>
          <w:bCs/>
        </w:rPr>
        <w:t xml:space="preserve">URL de Business Central</w:t>
      </w:r>
      <w:r>
        <w:t xml:space="preserve"> (</w:t>
      </w:r>
      <w:r>
        <w:rPr>
          <w:rFonts w:ascii="Cascadia Mono" w:cs="Cascadia Mono" w:eastAsia="Cascadia Mono" w:hAnsi="Cascadia Mono"/>
          <w:color w:val="1F2933"/>
          <w:sz w:val="19"/>
          <w:szCs w:val="19"/>
          <w:shd w:fill="EEF1F5" w:color="auto" w:val="clear"/>
        </w:rPr>
        <w:t xml:space="preserve">https://businesscentral.dynamics.com/…?company=…&amp;page=21</w:t>
      </w:r>
      <w:r>
        <w:t xml:space="preserve">) : la page de cet ID. Collée dans la recherche (ou n’importe où dans la fenêtre, hors d’un champ de saisie), elle ouvre directement la page si une seule app la déclare ; sinon la liste propose de choisir. Une URL sans </w:t>
      </w:r>
      <w:r>
        <w:rPr>
          <w:rFonts w:ascii="Cascadia Mono" w:cs="Cascadia Mono" w:eastAsia="Cascadia Mono" w:hAnsi="Cascadia Mono"/>
          <w:color w:val="1F2933"/>
          <w:sz w:val="19"/>
          <w:szCs w:val="19"/>
          <w:shd w:fill="EEF1F5" w:color="auto" w:val="clear"/>
        </w:rPr>
        <w:t xml:space="preserve">page=</w:t>
      </w:r>
      <w:r>
        <w:t xml:space="preserve">, ou dont la page n’est pas dans le corpus, le dit.</w:t>
      </w:r>
    </w:p>
    <w:p>
      <w:pPr>
        <w:spacing w:after="140" w:line="300"/>
      </w:pPr>
      <w:r>
        <w:t xml:space="preserve">Les textes cherchés sont la </w:t>
      </w:r>
      <w:r>
        <w:rPr>
          <w:rFonts w:ascii="Cascadia Mono" w:cs="Cascadia Mono" w:eastAsia="Cascadia Mono" w:hAnsi="Cascadia Mono"/>
          <w:color w:val="1F2933"/>
          <w:sz w:val="19"/>
          <w:szCs w:val="19"/>
          <w:shd w:fill="EEF1F5" w:color="auto" w:val="clear"/>
        </w:rPr>
        <w:t xml:space="preserve">Caption</w:t>
      </w:r>
      <w:r>
        <w:t xml:space="preserve">, le </w:t>
      </w:r>
      <w:r>
        <w:rPr>
          <w:rFonts w:ascii="Cascadia Mono" w:cs="Cascadia Mono" w:eastAsia="Cascadia Mono" w:hAnsi="Cascadia Mono"/>
          <w:color w:val="1F2933"/>
          <w:sz w:val="19"/>
          <w:szCs w:val="19"/>
          <w:shd w:fill="EEF1F5" w:color="auto" w:val="clear"/>
        </w:rPr>
        <w:t xml:space="preserve">ToolTip</w:t>
      </w:r>
      <w:r>
        <w:t xml:space="preserve">, chaque valeur d’un </w:t>
      </w:r>
      <w:r>
        <w:rPr>
          <w:rFonts w:ascii="Cascadia Mono" w:cs="Cascadia Mono" w:eastAsia="Cascadia Mono" w:hAnsi="Cascadia Mono"/>
          <w:color w:val="1F2933"/>
          <w:sz w:val="19"/>
          <w:szCs w:val="19"/>
          <w:shd w:fill="EEF1F5" w:color="auto" w:val="clear"/>
        </w:rPr>
        <w:t xml:space="preserve">OptionCaption</w:t>
      </w:r>
      <w:r>
        <w:t xml:space="preserve"> (« Facture » trouve le champ dont une option est </w:t>
      </w:r>
      <w:r>
        <w:rPr>
          <w:rFonts w:ascii="Cascadia Mono" w:cs="Cascadia Mono" w:eastAsia="Cascadia Mono" w:hAnsi="Cascadia Mono"/>
          <w:color w:val="1F2933"/>
          <w:sz w:val="19"/>
          <w:szCs w:val="19"/>
          <w:shd w:fill="EEF1F5" w:color="auto" w:val="clear"/>
        </w:rPr>
        <w:t xml:space="preserve">Invoice</w:t>
      </w:r>
      <w:r>
        <w:t xml:space="preserve">) et le texte des Labels (messages d’erreur, de confirmation…). Un message collé avec ses valeurs retrouve son Label : un paramètre </w:t>
      </w:r>
      <w:r>
        <w:rPr>
          <w:rFonts w:ascii="Cascadia Mono" w:cs="Cascadia Mono" w:eastAsia="Cascadia Mono" w:hAnsi="Cascadia Mono"/>
          <w:color w:val="1F2933"/>
          <w:sz w:val="19"/>
          <w:szCs w:val="19"/>
          <w:shd w:fill="EEF1F5" w:color="auto" w:val="clear"/>
        </w:rPr>
        <w:t xml:space="preserve">%1</w:t>
      </w:r>
      <w:r>
        <w:t xml:space="preserve"> ou </w:t>
      </w:r>
      <w:r>
        <w:rPr>
          <w:rFonts w:ascii="Cascadia Mono" w:cs="Cascadia Mono" w:eastAsia="Cascadia Mono" w:hAnsi="Cascadia Mono"/>
          <w:color w:val="1F2933"/>
          <w:sz w:val="19"/>
          <w:szCs w:val="19"/>
          <w:shd w:fill="EEF1F5" w:color="auto" w:val="clear"/>
        </w:rPr>
        <w:t xml:space="preserve">#1###</w:t>
      </w:r>
      <w:r>
        <w:t xml:space="preserve"> du texte correspond à n’importe quelle valeur. Le résultat montre le texte trouvé, sa propriété et sa langue (ou « texte d’origine »). Un Label s’ouvre à la ligne de sa déclaration ; dans un objet reconstruit (package sans sources), l’objet s’ouvre en haut.</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La recherche rapide : chaque résultat porte la pastille de son type.</w:t>
      </w:r>
    </w:p>
    <w:tbl>
      <w:tblPr>
        <w:tblW w:type="dxa" w:w="9638"/>
        <w:tblBorders>
          <w:top w:val="single" w:color="D9DEE5" w:sz="4"/>
          <w:left w:val="single" w:color="D9DEE5" w:sz="4"/>
          <w:bottom w:val="single" w:color="D9DEE5" w:sz="4"/>
          <w:right w:val="single" w:color="D9DEE5" w:sz="4"/>
          <w:insideH w:val="single" w:color="D9DEE5" w:sz="4"/>
          <w:insideV w:val="single" w:color="D9DEE5" w:sz="4"/>
        </w:tblBorders>
      </w:tblPr>
      <w:tblGrid>
        <w:gridCol w:w="3000"/>
        <w:gridCol w:w="6638"/>
      </w:tblGrid>
      <w:tr>
        <w:trPr>
          <w:tblHeader/>
        </w:trPr>
        <w:tc>
          <w:tcPr>
            <w:tcW w:type="dxa" w:w="3000"/>
            <w:shd w:fill="DBE8FB" w:color="auto" w:val="clear"/>
            <w:tcMar>
              <w:top w:type="dxa" w:w="60"/>
              <w:left w:type="dxa" w:w="100"/>
              <w:bottom w:type="dxa" w:w="60"/>
              <w:right w:type="dxa" w:w="100"/>
            </w:tcMar>
          </w:tcPr>
          <w:p>
            <w:pPr>
              <w:spacing w:after="0"/>
            </w:pPr>
            <w:r>
              <w:rPr>
                <w:b/>
                <w:bCs/>
              </w:rPr>
              <w:t xml:space="preserve">Touche</w:t>
            </w:r>
          </w:p>
        </w:tc>
        <w:tc>
          <w:tcPr>
            <w:tcW w:type="dxa" w:w="6638"/>
            <w:shd w:fill="DBE8FB" w:color="auto" w:val="clear"/>
            <w:tcMar>
              <w:top w:type="dxa" w:w="60"/>
              <w:left w:type="dxa" w:w="100"/>
              <w:bottom w:type="dxa" w:w="60"/>
              <w:right w:type="dxa" w:w="100"/>
            </w:tcMar>
          </w:tcPr>
          <w:p>
            <w:pPr>
              <w:spacing w:after="0"/>
            </w:pPr>
            <w:r>
              <w:rPr>
                <w:b/>
                <w:bCs/>
              </w:rPr>
              <w:t xml:space="preserve">Action sur le résultat choisi</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Entrée </w:t>
            </w:r>
          </w:p>
        </w:tc>
        <w:tc>
          <w:tcPr>
            <w:tcW w:type="dxa" w:w="6638"/>
            <w:tcMar>
              <w:top w:type="dxa" w:w="60"/>
              <w:left w:type="dxa" w:w="100"/>
              <w:bottom w:type="dxa" w:w="60"/>
              <w:right w:type="dxa" w:w="100"/>
            </w:tcMar>
          </w:tcPr>
          <w:p>
            <w:pPr>
              <w:spacing w:after="0"/>
            </w:pPr>
            <w:r>
              <w:t xml:space="preserve">Ouvrir le code, à la ligne du membre.</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Maj+Entrée </w:t>
            </w:r>
          </w:p>
        </w:tc>
        <w:tc>
          <w:tcPr>
            <w:tcW w:type="dxa" w:w="6638"/>
            <w:tcMar>
              <w:top w:type="dxa" w:w="60"/>
              <w:left w:type="dxa" w:w="100"/>
              <w:bottom w:type="dxa" w:w="60"/>
              <w:right w:type="dxa" w:w="100"/>
            </w:tcMar>
          </w:tcPr>
          <w:p>
            <w:pPr>
              <w:spacing w:after="0"/>
            </w:pPr>
            <w:r>
              <w:t xml:space="preserve">Trouver les utilisations.</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Alt+Entrée </w:t>
            </w:r>
          </w:p>
        </w:tc>
        <w:tc>
          <w:tcPr>
            <w:tcW w:type="dxa" w:w="6638"/>
            <w:tcMar>
              <w:top w:type="dxa" w:w="60"/>
              <w:left w:type="dxa" w:w="100"/>
              <w:bottom w:type="dxa" w:w="60"/>
              <w:right w:type="dxa" w:w="100"/>
            </w:tcMar>
          </w:tcPr>
          <w:p>
            <w:pPr>
              <w:spacing w:after="0"/>
            </w:pPr>
            <w:r>
              <w:t xml:space="preserve">Opérations de base (table).</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Maj+Alt+Entrée </w:t>
            </w:r>
          </w:p>
        </w:tc>
        <w:tc>
          <w:tcPr>
            <w:tcW w:type="dxa" w:w="6638"/>
            <w:tcMar>
              <w:top w:type="dxa" w:w="60"/>
              <w:left w:type="dxa" w:w="100"/>
              <w:bottom w:type="dxa" w:w="60"/>
              <w:right w:type="dxa" w:w="100"/>
            </w:tcMar>
          </w:tcPr>
          <w:p>
            <w:pPr>
              <w:spacing w:after="0"/>
            </w:pPr>
            <w:r>
              <w:t xml:space="preserve">Hiérarchie d’appels (procédure).</w:t>
            </w:r>
          </w:p>
        </w:tc>
      </w:tr>
    </w:tbl>
    <w:p>
      <w:pPr>
        <w:spacing w:after="120"/>
      </w:pPr>
    </w:p>
    <w:p>
      <w:pPr>
        <w:pStyle w:val="Heading1"/>
        <w:pageBreakBefore/>
      </w:pPr>
      <w:bookmarkStart w:name="code" w:id="1"/>
      <w:r>
        <w:t xml:space="preserve">8. Lire le code</w:t>
      </w:r>
      <w:bookmarkEnd w:id="1"/>
    </w:p>
    <w:p>
      <w:pPr>
        <w:spacing w:after="140" w:line="300"/>
      </w:pPr>
      <w:r>
        <w:t xml:space="preserve">Chaque objet ouvert a son onglet. L’éditeur est en lecture seule, avec la coloration AL. À droite, le </w:t>
      </w:r>
      <w:r>
        <w:rPr>
          <w:b/>
          <w:bCs/>
        </w:rPr>
        <w:t xml:space="preserve">plan</w:t>
      </w:r>
      <w:r>
        <w:t xml:space="preserve"> de l’objet (champs, clés, procédures, triggers, événements) se filtre et suit le curseur.</w:t>
      </w:r>
    </w:p>
    <w:p>
      <w:pPr>
        <w:spacing w:after="140" w:line="300"/>
      </w:pPr>
      <w:r>
        <w:t xml:space="preserve">L’</w:t>
      </w:r>
      <w:r>
        <w:rPr>
          <w:b/>
          <w:bCs/>
        </w:rPr>
        <w:t xml:space="preserve">en-tête de l’objet</w:t>
      </w:r>
      <w:r>
        <w:t xml:space="preserve">, au-dessus du code, tient sur une ligne : le chemin du fichier source (tronqué au début, complet au survol), les actions sur l’objet, puis la recherche de membres.</w:t>
      </w:r>
    </w:p>
    <w:p>
      <w:pPr>
        <w:pStyle w:val="ListParagraph"/>
        <w:numPr>
          <w:ilvl w:val="0"/>
          <w:numId w:val="2"/>
        </w:numPr>
        <w:spacing w:after="60" w:line="290"/>
      </w:pPr>
      <w:r>
        <w:rPr>
          <w:b/>
          <w:bCs/>
        </w:rPr>
        <w:t xml:space="preserve">Utilisations</w:t>
      </w:r>
      <w:r>
        <w:t xml:space="preserve"> (</w:t>
      </w:r>
      <w:r>
        <w:rPr>
          <w:rFonts w:ascii="Cascadia Mono" w:cs="Cascadia Mono" w:eastAsia="Cascadia Mono" w:hAnsi="Cascadia Mono"/>
          <w:b/>
          <w:bCs/>
          <w:color w:val="1F2933"/>
          <w:sz w:val="18"/>
          <w:szCs w:val="18"/>
          <w:shd w:fill="E3E7ED" w:color="auto" w:val="clear"/>
        </w:rPr>
        <w:t xml:space="preserve"> Maj+F12 </w:t>
      </w:r>
      <w:r>
        <w:t xml:space="preserve">), </w:t>
      </w:r>
      <w:r>
        <w:rPr>
          <w:b/>
          <w:bCs/>
        </w:rPr>
        <w:t xml:space="preserve">Opérations</w:t>
      </w:r>
      <w:r>
        <w:t xml:space="preserve"> (opérations de base, pour une table), </w:t>
      </w:r>
      <w:r>
        <w:rPr>
          <w:b/>
          <w:bCs/>
        </w:rPr>
        <w:t xml:space="preserve">Vue aplatie</w:t>
      </w:r>
      <w:r>
        <w:t xml:space="preserve"> (pour un objet qui s’étend), </w:t>
      </w:r>
      <w:r>
        <w:rPr>
          <w:b/>
          <w:bCs/>
        </w:rPr>
        <w:t xml:space="preserve">Portée</w:t>
      </w:r>
      <w:r>
        <w:t xml:space="preserve"> (bandeau d’aperçu de portée) et </w:t>
      </w:r>
      <w:r>
        <w:rPr>
          <w:b/>
          <w:bCs/>
        </w:rPr>
        <w:t xml:space="preserve">VS Code</w:t>
      </w:r>
      <w:r>
        <w:t xml:space="preserve"> (ouvrir le fichier à la ligne du curseur, pour un objet d’un projet sur disque).</w:t>
      </w:r>
    </w:p>
    <w:p>
      <w:pPr>
        <w:pStyle w:val="ListParagraph"/>
        <w:numPr>
          <w:ilvl w:val="0"/>
          <w:numId w:val="2"/>
        </w:numPr>
        <w:spacing w:after="60" w:line="290"/>
      </w:pPr>
      <w:r>
        <w:t xml:space="preserve">Quand la place manque, les actions passent en icônes seules, avec leur nom au survol ; celles qui ne tiennent toujours pas vont dans le menu </w:t>
      </w:r>
      <w:r>
        <w:rPr>
          <w:b/>
          <w:bCs/>
        </w:rPr>
        <w:t xml:space="preserve">…</w:t>
      </w:r>
      <w:r>
        <w:t xml:space="preserve"> (Autres actions).</w:t>
      </w:r>
    </w:p>
    <w:p>
      <w:pPr>
        <w:pStyle w:val="ListParagraph"/>
        <w:numPr>
          <w:ilvl w:val="0"/>
          <w:numId w:val="2"/>
        </w:numPr>
        <w:spacing w:after="60" w:line="290"/>
      </w:pPr>
      <w:r>
        <w:rPr>
          <w:b/>
          <w:bCs/>
        </w:rPr>
        <w:t xml:space="preserve">Aller au membre…</w:t>
      </w:r>
      <w:r>
        <w:t xml:space="preserve"> (</w:t>
      </w:r>
      <w:r>
        <w:rPr>
          <w:rFonts w:ascii="Cascadia Mono" w:cs="Cascadia Mono" w:eastAsia="Cascadia Mono" w:hAnsi="Cascadia Mono"/>
          <w:b/>
          <w:bCs/>
          <w:color w:val="1F2933"/>
          <w:sz w:val="18"/>
          <w:szCs w:val="18"/>
          <w:shd w:fill="E3E7ED" w:color="auto" w:val="clear"/>
        </w:rPr>
        <w:t xml:space="preserve"> Ctrl+F </w:t>
      </w:r>
      <w:r>
        <w:t xml:space="preserve">) est l’unique recherche de membres : la saisie propose les membres de l’objet par leur nom (les flèches les parcourent, même sans saisie), puis, en dernier choix, la recherche du texte dans le code ; </w:t>
      </w:r>
      <w:r>
        <w:rPr>
          <w:rFonts w:ascii="Cascadia Mono" w:cs="Cascadia Mono" w:eastAsia="Cascadia Mono" w:hAnsi="Cascadia Mono"/>
          <w:b/>
          <w:bCs/>
          <w:color w:val="1F2933"/>
          <w:sz w:val="18"/>
          <w:szCs w:val="18"/>
          <w:shd w:fill="E3E7ED" w:color="auto" w:val="clear"/>
        </w:rPr>
        <w:t xml:space="preserve"> Entrée </w:t>
      </w:r>
      <w:r>
        <w:t xml:space="preserve"> et </w:t>
      </w:r>
      <w:r>
        <w:rPr>
          <w:rFonts w:ascii="Cascadia Mono" w:cs="Cascadia Mono" w:eastAsia="Cascadia Mono" w:hAnsi="Cascadia Mono"/>
          <w:b/>
          <w:bCs/>
          <w:color w:val="1F2933"/>
          <w:sz w:val="18"/>
          <w:szCs w:val="18"/>
          <w:shd w:fill="E3E7ED" w:color="auto" w:val="clear"/>
        </w:rPr>
        <w:t xml:space="preserve"> Maj+Entrée </w:t>
      </w:r>
      <w:r>
        <w:t xml:space="preserve"> passent ensuite d’une occurrence à l’autre. Le filtre du plan reste propre au plan.</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Le codeunit Fleet Rental Mgt. : en-tête de l’objet, bandeau de portée et plan.</w:t>
      </w:r>
    </w:p>
    <w:p>
      <w:pPr>
        <w:keepNext/>
        <w:spacing w:before="120" w:after="60"/>
        <w:jc w:val="center"/>
      </w:pPr>
      <w:r>
        <w:drawing>
          <wp:inline distT="0" distB="0" distL="0" distR="0">
            <wp:extent cx="61150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2543175"/>
                    </a:xfrm>
                    <a:prstGeom prst="rect">
                      <a:avLst/>
                    </a:prstGeom>
                  </pic:spPr>
                </pic:pic>
              </a:graphicData>
            </a:graphic>
          </wp:inline>
        </w:drawing>
      </w:r>
    </w:p>
    <w:p>
      <w:pPr>
        <w:spacing w:after="220"/>
        <w:jc w:val="center"/>
      </w:pPr>
      <w:r>
        <w:rPr>
          <w:i/>
          <w:iCs/>
          <w:color w:val="5B6573"/>
          <w:sz w:val="18"/>
          <w:szCs w:val="18"/>
        </w:rPr>
        <w:t xml:space="preserve">Aller au membre… (Ctrl+F) : les membres dont le nom contient « Rent », puis la recherche dans le texte.</w:t>
      </w:r>
    </w:p>
    <w:p>
      <w:pPr>
        <w:spacing w:after="140" w:line="300"/>
      </w:pPr>
      <w:r>
        <w:t xml:space="preserve">Quand le curseur est dans une procédure, le </w:t>
      </w:r>
      <w:r>
        <w:rPr>
          <w:b/>
          <w:bCs/>
        </w:rPr>
        <w:t xml:space="preserve">bandeau de portée</w:t>
      </w:r>
      <w:r>
        <w:t xml:space="preserve"> (action </w:t>
      </w:r>
      <w:r>
        <w:rPr>
          <w:b/>
          <w:bCs/>
        </w:rPr>
        <w:t xml:space="preserve">Portée</w:t>
      </w:r>
      <w:r>
        <w:t xml:space="preserve">) résume ce qu’elle atteint : commit, points d’entrée, tables écrites et lues, événements. Chaque élément ouvre le détail.</w:t>
      </w:r>
    </w:p>
    <w:p>
      <w:pPr>
        <w:spacing w:after="140" w:line="300"/>
      </w:pPr>
      <w:r>
        <w:rPr>
          <w:rFonts w:ascii="Cascadia Mono" w:cs="Cascadia Mono" w:eastAsia="Cascadia Mono" w:hAnsi="Cascadia Mono"/>
          <w:b/>
          <w:bCs/>
          <w:color w:val="1F2933"/>
          <w:sz w:val="18"/>
          <w:szCs w:val="18"/>
          <w:shd w:fill="E3E7ED" w:color="auto" w:val="clear"/>
        </w:rPr>
        <w:t xml:space="preserve"> F12 </w:t>
      </w:r>
      <w:r>
        <w:t xml:space="preserve"> ou </w:t>
      </w:r>
      <w:r>
        <w:rPr>
          <w:rFonts w:ascii="Cascadia Mono" w:cs="Cascadia Mono" w:eastAsia="Cascadia Mono" w:hAnsi="Cascadia Mono"/>
          <w:b/>
          <w:bCs/>
          <w:color w:val="1F2933"/>
          <w:sz w:val="18"/>
          <w:szCs w:val="18"/>
          <w:shd w:fill="E3E7ED" w:color="auto" w:val="clear"/>
        </w:rPr>
        <w:t xml:space="preserve"> Ctrl </w:t>
      </w:r>
      <w:r>
        <w:t xml:space="preserve">+clic va à la définition. Le </w:t>
      </w:r>
      <w:r>
        <w:rPr>
          <w:b/>
          <w:bCs/>
        </w:rPr>
        <w:t xml:space="preserve">clic droit</w:t>
      </w:r>
      <w:r>
        <w:t xml:space="preserve"> dans le code propose toutes les recherches sur le membre sous le curseur :</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Le menu contextuel de l’éditeur.</w:t>
      </w:r>
    </w:p>
    <w:tbl>
      <w:tblPr>
        <w:tblW w:type="dxa" w:w="9638"/>
        <w:tblBorders>
          <w:top w:val="single" w:color="D9DEE5" w:sz="4"/>
          <w:left w:val="single" w:color="D9DEE5" w:sz="4"/>
          <w:bottom w:val="single" w:color="D9DEE5" w:sz="4"/>
          <w:right w:val="single" w:color="D9DEE5" w:sz="4"/>
          <w:insideH w:val="single" w:color="D9DEE5" w:sz="4"/>
          <w:insideV w:val="single" w:color="D9DEE5" w:sz="4"/>
        </w:tblBorders>
      </w:tblPr>
      <w:tblGrid>
        <w:gridCol w:w="3000"/>
        <w:gridCol w:w="1900"/>
        <w:gridCol w:w="4738"/>
      </w:tblGrid>
      <w:tr>
        <w:trPr>
          <w:tblHeader/>
        </w:trPr>
        <w:tc>
          <w:tcPr>
            <w:tcW w:type="dxa" w:w="3000"/>
            <w:shd w:fill="DBE8FB" w:color="auto" w:val="clear"/>
            <w:tcMar>
              <w:top w:type="dxa" w:w="60"/>
              <w:left w:type="dxa" w:w="100"/>
              <w:bottom w:type="dxa" w:w="60"/>
              <w:right w:type="dxa" w:w="100"/>
            </w:tcMar>
          </w:tcPr>
          <w:p>
            <w:pPr>
              <w:spacing w:after="0"/>
            </w:pPr>
            <w:r>
              <w:rPr>
                <w:b/>
                <w:bCs/>
              </w:rPr>
              <w:t xml:space="preserve">Commande</w:t>
            </w:r>
          </w:p>
        </w:tc>
        <w:tc>
          <w:tcPr>
            <w:tcW w:type="dxa" w:w="1900"/>
            <w:shd w:fill="DBE8FB" w:color="auto" w:val="clear"/>
            <w:tcMar>
              <w:top w:type="dxa" w:w="60"/>
              <w:left w:type="dxa" w:w="100"/>
              <w:bottom w:type="dxa" w:w="60"/>
              <w:right w:type="dxa" w:w="100"/>
            </w:tcMar>
          </w:tcPr>
          <w:p>
            <w:pPr>
              <w:spacing w:after="0"/>
            </w:pPr>
            <w:r>
              <w:rPr>
                <w:b/>
                <w:bCs/>
              </w:rPr>
              <w:t xml:space="preserve">Raccourci</w:t>
            </w:r>
          </w:p>
        </w:tc>
        <w:tc>
          <w:tcPr>
            <w:tcW w:type="dxa" w:w="4738"/>
            <w:shd w:fill="DBE8FB" w:color="auto" w:val="clear"/>
            <w:tcMar>
              <w:top w:type="dxa" w:w="60"/>
              <w:left w:type="dxa" w:w="100"/>
              <w:bottom w:type="dxa" w:w="60"/>
              <w:right w:type="dxa" w:w="100"/>
            </w:tcMar>
          </w:tcPr>
          <w:p>
            <w:pPr>
              <w:spacing w:after="0"/>
            </w:pPr>
            <w:r>
              <w:rPr>
                <w:b/>
                <w:bCs/>
              </w:rPr>
              <w:t xml:space="preserve">Résultat</w:t>
            </w:r>
          </w:p>
        </w:tc>
      </w:tr>
      <w:tr>
        <w:tc>
          <w:tcPr>
            <w:tcW w:type="dxa" w:w="3000"/>
            <w:tcMar>
              <w:top w:type="dxa" w:w="60"/>
              <w:left w:type="dxa" w:w="100"/>
              <w:bottom w:type="dxa" w:w="60"/>
              <w:right w:type="dxa" w:w="100"/>
            </w:tcMar>
          </w:tcPr>
          <w:p>
            <w:pPr>
              <w:spacing w:after="0"/>
            </w:pPr>
            <w:r>
              <w:t xml:space="preserve">Aller à la définition</w:t>
            </w:r>
          </w:p>
        </w:tc>
        <w:tc>
          <w:tcPr>
            <w:tcW w:type="dxa" w:w="19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F12 </w:t>
            </w:r>
          </w:p>
        </w:tc>
        <w:tc>
          <w:tcPr>
            <w:tcW w:type="dxa" w:w="4738"/>
            <w:tcMar>
              <w:top w:type="dxa" w:w="60"/>
              <w:left w:type="dxa" w:w="100"/>
              <w:bottom w:type="dxa" w:w="60"/>
              <w:right w:type="dxa" w:w="100"/>
            </w:tcMar>
          </w:tcPr>
          <w:p>
            <w:pPr>
              <w:spacing w:after="0"/>
            </w:pPr>
            <w:r>
              <w:t xml:space="preserve">Ouvre l’objet, le champ ou la procédure.</w:t>
            </w:r>
          </w:p>
        </w:tc>
      </w:tr>
      <w:tr>
        <w:tc>
          <w:tcPr>
            <w:tcW w:type="dxa" w:w="3000"/>
            <w:tcMar>
              <w:top w:type="dxa" w:w="60"/>
              <w:left w:type="dxa" w:w="100"/>
              <w:bottom w:type="dxa" w:w="60"/>
              <w:right w:type="dxa" w:w="100"/>
            </w:tcMar>
          </w:tcPr>
          <w:p>
            <w:pPr>
              <w:spacing w:after="0"/>
            </w:pPr>
            <w:r>
              <w:t xml:space="preserve">Trouver les utilisations</w:t>
            </w:r>
          </w:p>
        </w:tc>
        <w:tc>
          <w:tcPr>
            <w:tcW w:type="dxa" w:w="19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Maj+F12 </w:t>
            </w:r>
          </w:p>
        </w:tc>
        <w:tc>
          <w:tcPr>
            <w:tcW w:type="dxa" w:w="4738"/>
            <w:tcMar>
              <w:top w:type="dxa" w:w="60"/>
              <w:left w:type="dxa" w:w="100"/>
              <w:bottom w:type="dxa" w:w="60"/>
              <w:right w:type="dxa" w:w="100"/>
            </w:tcMar>
          </w:tcPr>
          <w:p>
            <w:pPr>
              <w:spacing w:after="0"/>
            </w:pPr>
            <w:r>
              <w:t xml:space="preserve">Panneau des utilisations.</w:t>
            </w:r>
          </w:p>
        </w:tc>
      </w:tr>
      <w:tr>
        <w:tc>
          <w:tcPr>
            <w:tcW w:type="dxa" w:w="3000"/>
            <w:tcMar>
              <w:top w:type="dxa" w:w="60"/>
              <w:left w:type="dxa" w:w="100"/>
              <w:bottom w:type="dxa" w:w="60"/>
              <w:right w:type="dxa" w:w="100"/>
            </w:tcMar>
          </w:tcPr>
          <w:p>
            <w:pPr>
              <w:spacing w:after="0"/>
            </w:pPr>
            <w:r>
              <w:t xml:space="preserve">Où est-il écrit ?</w:t>
            </w:r>
          </w:p>
        </w:tc>
        <w:tc>
          <w:tcPr>
            <w:tcW w:type="dxa" w:w="19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Maj+Alt+F12 </w:t>
            </w:r>
          </w:p>
        </w:tc>
        <w:tc>
          <w:tcPr>
            <w:tcW w:type="dxa" w:w="4738"/>
            <w:tcMar>
              <w:top w:type="dxa" w:w="60"/>
              <w:left w:type="dxa" w:w="100"/>
              <w:bottom w:type="dxa" w:w="60"/>
              <w:right w:type="dxa" w:w="100"/>
            </w:tcMar>
          </w:tcPr>
          <w:p>
            <w:pPr>
              <w:spacing w:after="0"/>
            </w:pPr>
            <w:r>
              <w:t xml:space="preserve">Les affectations et écritures d’un champ.</w:t>
            </w:r>
          </w:p>
        </w:tc>
      </w:tr>
      <w:tr>
        <w:tc>
          <w:tcPr>
            <w:tcW w:type="dxa" w:w="3000"/>
            <w:tcMar>
              <w:top w:type="dxa" w:w="60"/>
              <w:left w:type="dxa" w:w="100"/>
              <w:bottom w:type="dxa" w:w="60"/>
              <w:right w:type="dxa" w:w="100"/>
            </w:tcMar>
          </w:tcPr>
          <w:p>
            <w:pPr>
              <w:spacing w:after="0"/>
            </w:pPr>
            <w:r>
              <w:t xml:space="preserve">Hiérarchie d’appels</w:t>
            </w:r>
          </w:p>
        </w:tc>
        <w:tc>
          <w:tcPr>
            <w:tcW w:type="dxa" w:w="19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Maj+Alt+H </w:t>
            </w:r>
          </w:p>
        </w:tc>
        <w:tc>
          <w:tcPr>
            <w:tcW w:type="dxa" w:w="4738"/>
            <w:tcMar>
              <w:top w:type="dxa" w:w="60"/>
              <w:left w:type="dxa" w:w="100"/>
              <w:bottom w:type="dxa" w:w="60"/>
              <w:right w:type="dxa" w:w="100"/>
            </w:tcMar>
          </w:tcPr>
          <w:p>
            <w:pPr>
              <w:spacing w:after="0"/>
            </w:pPr>
            <w:r>
              <w:t xml:space="preserve">Appelants et appelés de la procédure.</w:t>
            </w:r>
          </w:p>
        </w:tc>
      </w:tr>
      <w:tr>
        <w:tc>
          <w:tcPr>
            <w:tcW w:type="dxa" w:w="3000"/>
            <w:tcMar>
              <w:top w:type="dxa" w:w="60"/>
              <w:left w:type="dxa" w:w="100"/>
              <w:bottom w:type="dxa" w:w="60"/>
              <w:right w:type="dxa" w:w="100"/>
            </w:tcMar>
          </w:tcPr>
          <w:p>
            <w:pPr>
              <w:spacing w:after="0"/>
            </w:pPr>
            <w:r>
              <w:t xml:space="preserve">Portée</w:t>
            </w:r>
          </w:p>
        </w:tc>
        <w:tc>
          <w:tcPr>
            <w:tcW w:type="dxa" w:w="1900"/>
            <w:tcMar>
              <w:top w:type="dxa" w:w="60"/>
              <w:left w:type="dxa" w:w="100"/>
              <w:bottom w:type="dxa" w:w="60"/>
              <w:right w:type="dxa" w:w="100"/>
            </w:tcMar>
          </w:tcPr>
          <w:p>
            <w:pPr>
              <w:spacing w:after="0"/>
            </w:pPr>
          </w:p>
        </w:tc>
        <w:tc>
          <w:tcPr>
            <w:tcW w:type="dxa" w:w="4738"/>
            <w:tcMar>
              <w:top w:type="dxa" w:w="60"/>
              <w:left w:type="dxa" w:w="100"/>
              <w:bottom w:type="dxa" w:w="60"/>
              <w:right w:type="dxa" w:w="100"/>
            </w:tcMar>
          </w:tcPr>
          <w:p>
            <w:pPr>
              <w:spacing w:after="0"/>
            </w:pPr>
            <w:r>
              <w:t xml:space="preserve">Tout ce que le membre atteint.</w:t>
            </w:r>
          </w:p>
        </w:tc>
      </w:tr>
      <w:tr>
        <w:tc>
          <w:tcPr>
            <w:tcW w:type="dxa" w:w="3000"/>
            <w:tcMar>
              <w:top w:type="dxa" w:w="60"/>
              <w:left w:type="dxa" w:w="100"/>
              <w:bottom w:type="dxa" w:w="60"/>
              <w:right w:type="dxa" w:w="100"/>
            </w:tcMar>
          </w:tcPr>
          <w:p>
            <w:pPr>
              <w:spacing w:after="0"/>
            </w:pPr>
            <w:r>
              <w:t xml:space="preserve">Ajouter au jeu de permissions</w:t>
            </w:r>
          </w:p>
        </w:tc>
        <w:tc>
          <w:tcPr>
            <w:tcW w:type="dxa" w:w="1900"/>
            <w:tcMar>
              <w:top w:type="dxa" w:w="60"/>
              <w:left w:type="dxa" w:w="100"/>
              <w:bottom w:type="dxa" w:w="60"/>
              <w:right w:type="dxa" w:w="100"/>
            </w:tcMar>
          </w:tcPr>
          <w:p>
            <w:pPr>
              <w:spacing w:after="0"/>
            </w:pPr>
          </w:p>
        </w:tc>
        <w:tc>
          <w:tcPr>
            <w:tcW w:type="dxa" w:w="4738"/>
            <w:tcMar>
              <w:top w:type="dxa" w:w="60"/>
              <w:left w:type="dxa" w:w="100"/>
              <w:bottom w:type="dxa" w:w="60"/>
              <w:right w:type="dxa" w:w="100"/>
            </w:tcMar>
          </w:tcPr>
          <w:p>
            <w:pPr>
              <w:spacing w:after="0"/>
            </w:pPr>
            <w:r>
              <w:t xml:space="preserve">Ajoute le membre au panier de permissions.</w:t>
            </w:r>
          </w:p>
        </w:tc>
      </w:tr>
      <w:tr>
        <w:tc>
          <w:tcPr>
            <w:tcW w:type="dxa" w:w="3000"/>
            <w:tcMar>
              <w:top w:type="dxa" w:w="60"/>
              <w:left w:type="dxa" w:w="100"/>
              <w:bottom w:type="dxa" w:w="60"/>
              <w:right w:type="dxa" w:w="100"/>
            </w:tcMar>
          </w:tcPr>
          <w:p>
            <w:pPr>
              <w:spacing w:after="0"/>
            </w:pPr>
            <w:r>
              <w:t xml:space="preserve">Ajouter au ticket</w:t>
            </w:r>
          </w:p>
        </w:tc>
        <w:tc>
          <w:tcPr>
            <w:tcW w:type="dxa" w:w="1900"/>
            <w:tcMar>
              <w:top w:type="dxa" w:w="60"/>
              <w:left w:type="dxa" w:w="100"/>
              <w:bottom w:type="dxa" w:w="60"/>
              <w:right w:type="dxa" w:w="100"/>
            </w:tcMar>
          </w:tcPr>
          <w:p>
            <w:pPr>
              <w:spacing w:after="0"/>
            </w:pPr>
          </w:p>
        </w:tc>
        <w:tc>
          <w:tcPr>
            <w:tcW w:type="dxa" w:w="4738"/>
            <w:tcMar>
              <w:top w:type="dxa" w:w="60"/>
              <w:left w:type="dxa" w:w="100"/>
              <w:bottom w:type="dxa" w:w="60"/>
              <w:right w:type="dxa" w:w="100"/>
            </w:tcMar>
          </w:tcPr>
          <w:p>
            <w:pPr>
              <w:spacing w:after="0"/>
            </w:pPr>
            <w:r>
              <w:t xml:space="preserve">Ajoute le champ, l’action ou l’objet sous le curseur au brouillon de ticket actif.</w:t>
            </w:r>
          </w:p>
        </w:tc>
      </w:tr>
    </w:tbl>
    <w:p>
      <w:pPr>
        <w:spacing w:after="120"/>
      </w:pPr>
    </w:p>
    <w:p>
      <w:pPr>
        <w:spacing w:after="140" w:line="300"/>
      </w:pPr>
      <w:r>
        <w:rPr>
          <w:b/>
          <w:bCs/>
        </w:rPr>
        <w:t xml:space="preserve">Survoler</w:t>
      </w:r>
      <w:r>
        <w:t xml:space="preserve"> le code affiche ses textes traduisibles, avec leurs traductions dans les </w:t>
      </w:r>
      <w:r>
        <w:rPr>
          <w:b/>
          <w:bCs/>
        </w:rPr>
        <w:t xml:space="preserve">langues de traduction</w:t>
      </w:r>
      <w:r>
        <w:t xml:space="preserve"> des Réglages (dans l’ordre du réglage) :</w:t>
      </w:r>
    </w:p>
    <w:p>
      <w:pPr>
        <w:pStyle w:val="ListParagraph"/>
        <w:numPr>
          <w:ilvl w:val="0"/>
          <w:numId w:val="2"/>
        </w:numPr>
        <w:spacing w:after="60" w:line="290"/>
      </w:pPr>
      <w:r>
        <w:t xml:space="preserve">le texte d’un </w:t>
      </w:r>
      <w:r>
        <w:rPr>
          <w:rFonts w:ascii="Cascadia Mono" w:cs="Cascadia Mono" w:eastAsia="Cascadia Mono" w:hAnsi="Cascadia Mono"/>
          <w:color w:val="1F2933"/>
          <w:sz w:val="19"/>
          <w:szCs w:val="19"/>
          <w:shd w:fill="EEF1F5" w:color="auto" w:val="clear"/>
        </w:rPr>
        <w:t xml:space="preserve">Caption</w:t>
      </w:r>
      <w:r>
        <w:t xml:space="preserve">, d’un </w:t>
      </w:r>
      <w:r>
        <w:rPr>
          <w:rFonts w:ascii="Cascadia Mono" w:cs="Cascadia Mono" w:eastAsia="Cascadia Mono" w:hAnsi="Cascadia Mono"/>
          <w:color w:val="1F2933"/>
          <w:sz w:val="19"/>
          <w:szCs w:val="19"/>
          <w:shd w:fill="EEF1F5" w:color="auto" w:val="clear"/>
        </w:rPr>
        <w:t xml:space="preserve">ToolTip</w:t>
      </w:r>
      <w:r>
        <w:t xml:space="preserve">, d’un </w:t>
      </w:r>
      <w:r>
        <w:rPr>
          <w:rFonts w:ascii="Cascadia Mono" w:cs="Cascadia Mono" w:eastAsia="Cascadia Mono" w:hAnsi="Cascadia Mono"/>
          <w:color w:val="1F2933"/>
          <w:sz w:val="19"/>
          <w:szCs w:val="19"/>
          <w:shd w:fill="EEF1F5" w:color="auto" w:val="clear"/>
        </w:rPr>
        <w:t xml:space="preserve">OptionCaption</w:t>
      </w:r>
      <w:r>
        <w:t xml:space="preserve"> ou d’un Label : ce texte et ses traductions ;</w:t>
      </w:r>
    </w:p>
    <w:p>
      <w:pPr>
        <w:pStyle w:val="ListParagraph"/>
        <w:numPr>
          <w:ilvl w:val="0"/>
          <w:numId w:val="2"/>
        </w:numPr>
        <w:spacing w:after="60" w:line="290"/>
      </w:pPr>
      <w:r>
        <w:t xml:space="preserve">un objet, un champ ou une variable d’enregistrement (</w:t>
      </w:r>
      <w:r>
        <w:rPr>
          <w:rFonts w:ascii="Cascadia Mono" w:cs="Cascadia Mono" w:eastAsia="Cascadia Mono" w:hAnsi="Cascadia Mono"/>
          <w:color w:val="1F2933"/>
          <w:sz w:val="19"/>
          <w:szCs w:val="19"/>
          <w:shd w:fill="EEF1F5" w:color="auto" w:val="clear"/>
        </w:rPr>
        <w:t xml:space="preserve">Customer."No."</w:t>
      </w:r>
      <w:r>
        <w:t xml:space="preserve">, </w:t>
      </w:r>
      <w:r>
        <w:rPr>
          <w:rFonts w:ascii="Cascadia Mono" w:cs="Cascadia Mono" w:eastAsia="Cascadia Mono" w:hAnsi="Cascadia Mono"/>
          <w:color w:val="1F2933"/>
          <w:sz w:val="19"/>
          <w:szCs w:val="19"/>
          <w:shd w:fill="EEF1F5" w:color="auto" w:val="clear"/>
        </w:rPr>
        <w:t xml:space="preserve">Page::"Customer Card"</w:t>
      </w:r>
      <w:r>
        <w:t xml:space="preserve">, </w:t>
      </w:r>
      <w:r>
        <w:rPr>
          <w:rFonts w:ascii="Cascadia Mono" w:cs="Cascadia Mono" w:eastAsia="Cascadia Mono" w:hAnsi="Cascadia Mono"/>
          <w:color w:val="1F2933"/>
          <w:sz w:val="19"/>
          <w:szCs w:val="19"/>
          <w:shd w:fill="EEF1F5" w:color="auto" w:val="clear"/>
        </w:rPr>
        <w:t xml:space="preserve">Cust</w:t>
      </w:r>
      <w:r>
        <w:t xml:space="preserve">) : sa déclaration (</w:t>
      </w:r>
      <w:r>
        <w:rPr>
          <w:rFonts w:ascii="Cascadia Mono" w:cs="Cascadia Mono" w:eastAsia="Cascadia Mono" w:hAnsi="Cascadia Mono"/>
          <w:color w:val="1F2933"/>
          <w:sz w:val="19"/>
          <w:szCs w:val="19"/>
          <w:shd w:fill="EEF1F5" w:color="auto" w:val="clear"/>
        </w:rPr>
        <w:t xml:space="preserve">field 1 "No." : Code[20]</w:t>
      </w:r>
      <w:r>
        <w:t xml:space="preserve">), puis sa Caption et son ToolTip ;</w:t>
      </w:r>
    </w:p>
    <w:p>
      <w:pPr>
        <w:pStyle w:val="ListParagraph"/>
        <w:numPr>
          <w:ilvl w:val="0"/>
          <w:numId w:val="2"/>
        </w:numPr>
        <w:spacing w:after="60" w:line="290"/>
      </w:pPr>
      <w:r>
        <w:t xml:space="preserve">une valeur d’enum ou d’option (</w:t>
      </w:r>
      <w:r>
        <w:rPr>
          <w:rFonts w:ascii="Cascadia Mono" w:cs="Cascadia Mono" w:eastAsia="Cascadia Mono" w:hAnsi="Cascadia Mono"/>
          <w:color w:val="1F2933"/>
          <w:sz w:val="19"/>
          <w:szCs w:val="19"/>
          <w:shd w:fill="EEF1F5" w:color="auto" w:val="clear"/>
        </w:rPr>
        <w:t xml:space="preserve">"Sales Document Type"::Invoice</w:t>
      </w:r>
      <w:r>
        <w:t xml:space="preserve">, </w:t>
      </w:r>
      <w:r>
        <w:rPr>
          <w:rFonts w:ascii="Cascadia Mono" w:cs="Cascadia Mono" w:eastAsia="Cascadia Mono" w:hAnsi="Cascadia Mono"/>
          <w:color w:val="1F2933"/>
          <w:sz w:val="19"/>
          <w:szCs w:val="19"/>
          <w:shd w:fill="EEF1F5" w:color="auto" w:val="clear"/>
        </w:rPr>
        <w:t xml:space="preserve">Rec."Document Type"::Invoice</w:t>
      </w:r>
      <w:r>
        <w:t xml:space="preserve">) : </w:t>
      </w:r>
      <w:r>
        <w:rPr>
          <w:rFonts w:ascii="Cascadia Mono" w:cs="Cascadia Mono" w:eastAsia="Cascadia Mono" w:hAnsi="Cascadia Mono"/>
          <w:color w:val="1F2933"/>
          <w:sz w:val="19"/>
          <w:szCs w:val="19"/>
          <w:shd w:fill="EEF1F5" w:color="auto" w:val="clear"/>
        </w:rPr>
        <w:t xml:space="preserve">value(n; Invoice)</w:t>
      </w:r>
      <w:r>
        <w:t xml:space="preserve">, puis sa Caption (pour une option, la valeur d’</w:t>
      </w:r>
      <w:r>
        <w:rPr>
          <w:rFonts w:ascii="Cascadia Mono" w:cs="Cascadia Mono" w:eastAsia="Cascadia Mono" w:hAnsi="Cascadia Mono"/>
          <w:color w:val="1F2933"/>
          <w:sz w:val="19"/>
          <w:szCs w:val="19"/>
          <w:shd w:fill="EEF1F5" w:color="auto" w:val="clear"/>
        </w:rPr>
        <w:t xml:space="preserve">OptionCaption</w:t>
      </w:r>
      <w:r>
        <w:t xml:space="preserve"> au même rang) ;</w:t>
      </w:r>
    </w:p>
    <w:p>
      <w:pPr>
        <w:pStyle w:val="ListParagraph"/>
        <w:numPr>
          <w:ilvl w:val="0"/>
          <w:numId w:val="2"/>
        </w:numPr>
        <w:spacing w:after="60" w:line="290"/>
      </w:pPr>
      <w:r>
        <w:t xml:space="preserve">une variable Label (</w:t>
      </w:r>
      <w:r>
        <w:rPr>
          <w:rFonts w:ascii="Cascadia Mono" w:cs="Cascadia Mono" w:eastAsia="Cascadia Mono" w:hAnsi="Cascadia Mono"/>
          <w:color w:val="1F2933"/>
          <w:sz w:val="19"/>
          <w:szCs w:val="19"/>
          <w:shd w:fill="EEF1F5" w:color="auto" w:val="clear"/>
        </w:rPr>
        <w:t xml:space="preserve">ErrMsg</w:t>
      </w:r>
      <w:r>
        <w:t xml:space="preserve"> dans </w:t>
      </w:r>
      <w:r>
        <w:rPr>
          <w:rFonts w:ascii="Cascadia Mono" w:cs="Cascadia Mono" w:eastAsia="Cascadia Mono" w:hAnsi="Cascadia Mono"/>
          <w:color w:val="1F2933"/>
          <w:sz w:val="19"/>
          <w:szCs w:val="19"/>
          <w:shd w:fill="EEF1F5" w:color="auto" w:val="clear"/>
        </w:rPr>
        <w:t xml:space="preserve">Error(ErrMsg, …)</w:t>
      </w:r>
      <w:r>
        <w:t xml:space="preserve">) : son texte et ses traductions.</w:t>
      </w:r>
    </w:p>
    <w:p>
      <w:pPr>
        <w:spacing w:after="140" w:line="300"/>
      </w:pPr>
      <w:r>
        <w:t xml:space="preserve">Un objet ou un champ sans </w:t>
      </w:r>
      <w:r>
        <w:rPr>
          <w:rFonts w:ascii="Cascadia Mono" w:cs="Cascadia Mono" w:eastAsia="Cascadia Mono" w:hAnsi="Cascadia Mono"/>
          <w:color w:val="1F2933"/>
          <w:sz w:val="19"/>
          <w:szCs w:val="19"/>
          <w:shd w:fill="EEF1F5" w:color="auto" w:val="clear"/>
        </w:rPr>
        <w:t xml:space="preserve">Caption</w:t>
      </w:r>
      <w:r>
        <w:t xml:space="preserve"> affiche son nom, marqué </w:t>
      </w:r>
      <w:r>
        <w:rPr>
          <w:b/>
          <w:bCs/>
        </w:rPr>
        <w:t xml:space="preserve">implicite</w:t>
      </w:r>
      <w:r>
        <w:t xml:space="preserve"> (c’est ce que montre Business Central). Une langue sans traduction est marquée </w:t>
      </w:r>
      <w:r>
        <w:rPr>
          <w:b/>
          <w:bCs/>
        </w:rPr>
        <w:t xml:space="preserve">— non traduit</w:t>
      </w:r>
      <w:r>
        <w:t xml:space="preserve">. Tant que l’indexation n’est pas terminée, le survol se limite au texte du code.</w:t>
      </w:r>
    </w:p>
    <w:p>
      <w:pPr>
        <w:spacing w:after="140" w:line="300"/>
      </w:pPr>
      <w:r>
        <w:rPr>
          <w:b/>
          <w:bCs/>
        </w:rPr>
        <w:t xml:space="preserve">VS Code</w:t>
      </w:r>
      <w:r>
        <w:t xml:space="preserve"> ouvre le fichier à la même ligne quand l’objet vient d’un projet sur disque ; en cas d’échec, une notification en bas à droite dit pourquoi.</w:t>
      </w:r>
    </w:p>
    <w:p>
      <w:pPr>
        <w:pStyle w:val="Heading1"/>
        <w:pageBreakBefore/>
      </w:pPr>
      <w:bookmarkStart w:name="vue-fonctionnelle" w:id="1"/>
      <w:r>
        <w:t xml:space="preserve">9. La Vue fonctionnelle</w:t>
      </w:r>
      <w:bookmarkEnd w:id="1"/>
    </w:p>
    <w:p>
      <w:pPr>
        <w:spacing w:after="140" w:line="300"/>
      </w:pPr>
      <w:r>
        <w:t xml:space="preserve">La </w:t>
      </w:r>
      <w:r>
        <w:rPr>
          <w:b/>
          <w:bCs/>
        </w:rPr>
        <w:t xml:space="preserve">Vue fonctionnelle</w:t>
      </w:r>
      <w:r>
        <w:t xml:space="preserve"> présente ALmaze aux consultants fonctionnels, qui partent de ce qu’ils voient dans Business Central : les écrans et leurs libellés en français. Elle s’active par le bouton </w:t>
      </w:r>
      <w:r>
        <w:rPr>
          <w:b/>
          <w:bCs/>
        </w:rPr>
        <w:t xml:space="preserve">Vue fonctionnelle</w:t>
      </w:r>
      <w:r>
        <w:t xml:space="preserve"> de la barre d’outils, </w:t>
      </w:r>
      <w:r>
        <w:rPr>
          <w:rFonts w:ascii="Cascadia Mono" w:cs="Cascadia Mono" w:eastAsia="Cascadia Mono" w:hAnsi="Cascadia Mono"/>
          <w:b/>
          <w:bCs/>
          <w:color w:val="1F2933"/>
          <w:sz w:val="18"/>
          <w:szCs w:val="18"/>
          <w:shd w:fill="E3E7ED" w:color="auto" w:val="clear"/>
        </w:rPr>
        <w:t xml:space="preserve"> Ctrl+Alt+V </w:t>
      </w:r>
      <w:r>
        <w:t xml:space="preserve"> ou les Paramètres (onglet Apparence), et reste active au redémarrage. Un développeur bascule librement pour voir ce que voit le consultant.</w:t>
      </w:r>
    </w:p>
    <w:p>
      <w:pPr>
        <w:spacing w:after="140" w:line="300"/>
      </w:pPr>
      <w:r>
        <w:t xml:space="preserve">En Vue fonctionnelle, une page (ou une extension de page) s’ouvre sur son </w:t>
      </w:r>
      <w:r>
        <w:rPr>
          <w:b/>
          <w:bCs/>
        </w:rPr>
        <w:t xml:space="preserve">écran</w:t>
      </w:r>
      <w:r>
        <w:t xml:space="preserve"> plutôt que sur son code :</w:t>
      </w:r>
    </w:p>
    <w:p>
      <w:pPr>
        <w:pStyle w:val="ListParagraph"/>
        <w:numPr>
          <w:ilvl w:val="0"/>
          <w:numId w:val="2"/>
        </w:numPr>
        <w:spacing w:after="60" w:line="290"/>
      </w:pPr>
      <w:r>
        <w:t xml:space="preserve">son titre est sa caption française, avec son ID, son app et la table qu’il affiche ;</w:t>
      </w:r>
    </w:p>
    <w:p>
      <w:pPr>
        <w:pStyle w:val="ListParagraph"/>
        <w:numPr>
          <w:ilvl w:val="0"/>
          <w:numId w:val="2"/>
        </w:numPr>
        <w:spacing w:after="60" w:line="290"/>
      </w:pPr>
      <w:r>
        <w:t xml:space="preserve">ses </w:t>
      </w:r>
      <w:r>
        <w:rPr>
          <w:b/>
          <w:bCs/>
        </w:rPr>
        <w:t xml:space="preserve">champs</w:t>
      </w:r>
      <w:r>
        <w:t xml:space="preserve">, groupés comme à l’écran, puis ses </w:t>
      </w:r>
      <w:r>
        <w:rPr>
          <w:b/>
          <w:bCs/>
        </w:rPr>
        <w:t xml:space="preserve">actions</w:t>
      </w:r>
      <w:r>
        <w:t xml:space="preserve">, chacun sous sa caption : la traduction </w:t>
      </w:r>
      <w:r>
        <w:rPr>
          <w:rFonts w:ascii="Cascadia Mono" w:cs="Cascadia Mono" w:eastAsia="Cascadia Mono" w:hAnsi="Cascadia Mono"/>
          <w:color w:val="1F2933"/>
          <w:sz w:val="19"/>
          <w:szCs w:val="19"/>
          <w:shd w:fill="EEF1F5" w:color="auto" w:val="clear"/>
        </w:rPr>
        <w:t xml:space="preserve">fr-FR</w:t>
      </w:r>
      <w:r>
        <w:t xml:space="preserve">, sinon la caption anglaise (en italique), sinon celle du champ de table affiché, sinon son nom. Les éléments ajoutés par une extension portent le nom de leur app ; l’infobulle donne le nom AL et le champ de table ;</w:t>
      </w:r>
    </w:p>
    <w:p>
      <w:pPr>
        <w:pStyle w:val="ListParagraph"/>
        <w:numPr>
          <w:ilvl w:val="0"/>
          <w:numId w:val="2"/>
        </w:numPr>
        <w:spacing w:after="60" w:line="290"/>
      </w:pPr>
      <w:r>
        <w:t xml:space="preserve">un champ de filtre retrouve un élément par sa caption, son nom AL ou celui de son champ.</w:t>
      </w:r>
    </w:p>
    <w:p>
      <w:pPr>
        <w:spacing w:after="140" w:line="300"/>
      </w:pPr>
      <w:r>
        <w:t xml:space="preserve">Choisir un champ ou une action affiche ses </w:t>
      </w:r>
      <w:r>
        <w:rPr>
          <w:b/>
          <w:bCs/>
        </w:rPr>
        <w:t xml:space="preserve">déclencheurs</w:t>
      </w:r>
      <w:r>
        <w:t xml:space="preserve"> et son </w:t>
      </w:r>
      <w:r>
        <w:rPr>
          <w:b/>
          <w:bCs/>
        </w:rPr>
        <w:t xml:space="preserve">paramétrage lu</w:t>
      </w:r>
      <w:r>
        <w:t xml:space="preserve"> :</w:t>
      </w:r>
    </w:p>
    <w:p>
      <w:pPr>
        <w:pStyle w:val="ListParagraph"/>
        <w:numPr>
          <w:ilvl w:val="0"/>
          <w:numId w:val="2"/>
        </w:numPr>
        <w:spacing w:after="60" w:line="290"/>
      </w:pPr>
      <w:r>
        <w:t xml:space="preserve">déclencheurs de l’écran (</w:t>
      </w:r>
      <w:r>
        <w:rPr>
          <w:rFonts w:ascii="Cascadia Mono" w:cs="Cascadia Mono" w:eastAsia="Cascadia Mono" w:hAnsi="Cascadia Mono"/>
          <w:color w:val="1F2933"/>
          <w:sz w:val="19"/>
          <w:szCs w:val="19"/>
          <w:shd w:fill="EEF1F5" w:color="auto" w:val="clear"/>
        </w:rPr>
        <w:t xml:space="preserve">OnValidate</w:t>
      </w:r>
      <w:r>
        <w:t xml:space="preserve">, </w:t>
      </w:r>
      <w:r>
        <w:rPr>
          <w:rFonts w:ascii="Cascadia Mono" w:cs="Cascadia Mono" w:eastAsia="Cascadia Mono" w:hAnsi="Cascadia Mono"/>
          <w:color w:val="1F2933"/>
          <w:sz w:val="19"/>
          <w:szCs w:val="19"/>
          <w:shd w:fill="EEF1F5" w:color="auto" w:val="clear"/>
        </w:rPr>
        <w:t xml:space="preserve">OnAction</w:t>
      </w:r>
      <w:r>
        <w:t xml:space="preserve">… de la page et de ses extensions), déclencheurs de validation de la table (</w:t>
      </w:r>
      <w:r>
        <w:rPr>
          <w:rFonts w:ascii="Cascadia Mono" w:cs="Cascadia Mono" w:eastAsia="Cascadia Mono" w:hAnsi="Cascadia Mono"/>
          <w:color w:val="1F2933"/>
          <w:sz w:val="19"/>
          <w:szCs w:val="19"/>
          <w:shd w:fill="EEF1F5" w:color="auto" w:val="clear"/>
        </w:rPr>
        <w:t xml:space="preserve">OnValidate</w:t>
      </w:r>
      <w:r>
        <w:t xml:space="preserve">, </w:t>
      </w:r>
      <w:r>
        <w:rPr>
          <w:rFonts w:ascii="Cascadia Mono" w:cs="Cascadia Mono" w:eastAsia="Cascadia Mono" w:hAnsi="Cascadia Mono"/>
          <w:color w:val="1F2933"/>
          <w:sz w:val="19"/>
          <w:szCs w:val="19"/>
          <w:shd w:fill="EEF1F5" w:color="auto" w:val="clear"/>
        </w:rPr>
        <w:t xml:space="preserve">OnBeforeValidate</w:t>
      </w:r>
      <w:r>
        <w:t xml:space="preserve">, </w:t>
      </w:r>
      <w:r>
        <w:rPr>
          <w:rFonts w:ascii="Cascadia Mono" w:cs="Cascadia Mono" w:eastAsia="Cascadia Mono" w:hAnsi="Cascadia Mono"/>
          <w:color w:val="1F2933"/>
          <w:sz w:val="19"/>
          <w:szCs w:val="19"/>
          <w:shd w:fill="EEF1F5" w:color="auto" w:val="clear"/>
        </w:rPr>
        <w:t xml:space="preserve">OnAfterValidate</w:t>
      </w:r>
      <w:r>
        <w:t xml:space="preserve"> des extensions de table) et abonnés aux événements de validation du champ ; </w:t>
      </w:r>
      <w:r>
        <w:rPr>
          <w:b/>
          <w:bCs/>
        </w:rPr>
        <w:t xml:space="preserve">Voir le code</w:t>
      </w:r>
      <w:r>
        <w:t xml:space="preserve"> ouvre chacun, code affiché ;</w:t>
      </w:r>
    </w:p>
    <w:p>
      <w:pPr>
        <w:pStyle w:val="ListParagraph"/>
        <w:numPr>
          <w:ilvl w:val="0"/>
          <w:numId w:val="2"/>
        </w:numPr>
        <w:spacing w:after="60" w:line="290"/>
      </w:pPr>
      <w:r>
        <w:t xml:space="preserve">les tables de paramétrage lues par tous ces déclencheurs et leurs appelés, avec les champs de paramétrage lus et les pages qui les affichent (une page de paramétrage s’ouvre sur son écran), puis les autres tables lues.</w:t>
      </w:r>
    </w:p>
    <w:p>
      <w:pPr>
        <w:spacing w:after="140" w:line="300"/>
      </w:pPr>
      <w:r>
        <w:rPr>
          <w:b/>
          <w:bCs/>
        </w:rPr>
        <w:t xml:space="preserve">Paramétrage lu de l’écran</w:t>
      </w:r>
      <w:r>
        <w:t xml:space="preserve"> montre ce que lit l’ouverture de l’écran (ses déclencheurs automatiques, ceux de ses extensions et ses sous-écrans). </w:t>
      </w:r>
      <w:r>
        <w:rPr>
          <w:b/>
          <w:bCs/>
        </w:rPr>
        <w:t xml:space="preserve">Afficher le code</w:t>
      </w:r>
      <w:r>
        <w:t xml:space="preserve"> affiche le code de l’onglet ; </w:t>
      </w:r>
      <w:r>
        <w:rPr>
          <w:b/>
          <w:bCs/>
        </w:rPr>
        <w:t xml:space="preserve">Masquer le code</w:t>
      </w:r>
      <w:r>
        <w:t xml:space="preserve"> revient à l’écran. Sur l’écran, un champ lié à la table montre son ID et son nom technique ; les sous-écrans sont listés sous </w:t>
      </w:r>
      <w:r>
        <w:rPr>
          <w:b/>
          <w:bCs/>
        </w:rPr>
        <w:t xml:space="preserve">Onglets</w:t>
      </w:r>
      <w:r>
        <w:t xml:space="preserve"> et les parties de la zone FactBox sous </w:t>
      </w:r>
      <w:r>
        <w:rPr>
          <w:b/>
          <w:bCs/>
        </w:rPr>
        <w:t xml:space="preserve">FactBox</w:t>
      </w:r>
      <w:r>
        <w:t xml:space="preserve">. Les autres objets (tables, états, codeunits…) n’ont pas d’écran : ils s’ouvrent sur leur structure compacte — champs (ID, nom, type), valeurs d’enum, dataitems et colonnes, variables globales (nom, type) ; un clic sur une ligne affiche le code à cette ligne.</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La Fiche client en Vue fonctionnelle : le champ N°, ses déclencheurs et le paramétrage qu’ils lisent.</w:t>
      </w:r>
    </w:p>
    <w:p>
      <w:pPr>
        <w:spacing w:after="140" w:line="300"/>
      </w:pPr>
      <w:r>
        <w:t xml:space="preserve">Dans la recherche rapide, les natures suivent le vocabulaire d’écran : </w:t>
      </w:r>
      <w:r>
        <w:rPr>
          <w:b/>
          <w:bCs/>
        </w:rPr>
        <w:t xml:space="preserve">Écran</w:t>
      </w:r>
      <w:r>
        <w:t xml:space="preserve"> pour une page, </w:t>
      </w:r>
      <w:r>
        <w:rPr>
          <w:b/>
          <w:bCs/>
        </w:rPr>
        <w:t xml:space="preserve">Champ</w:t>
      </w:r>
      <w:r>
        <w:t xml:space="preserve"> pour un contrôle, </w:t>
      </w:r>
      <w:r>
        <w:rPr>
          <w:b/>
          <w:bCs/>
        </w:rPr>
        <w:t xml:space="preserve">Déclencheur</w:t>
      </w:r>
      <w:r>
        <w:t xml:space="preserve"> pour un trigger. Depuis « Fiche client » ou l’URL d’une page copiée dans Business Central, on ouvre ainsi l’écran et ses champs, sans voir de code.</w:t>
      </w:r>
    </w:p>
    <w:p>
      <w:pPr>
        <w:pStyle w:val="Heading1"/>
        <w:pageBreakBefore/>
      </w:pPr>
      <w:bookmarkStart w:name="utilisations" w:id="1"/>
      <w:r>
        <w:t xml:space="preserve">10. Trouver les utilisations</w:t>
      </w:r>
      <w:bookmarkEnd w:id="1"/>
    </w:p>
    <w:p>
      <w:pPr>
        <w:spacing w:after="140" w:line="300"/>
      </w:pPr>
      <w:r>
        <w:t xml:space="preserve">Le panneau des utilisations s’ouvre en bas de la fenêtre. Son en-tête, commun à tous les panneaux du bas, donne le titre (« Utilisations de » et la cible), le nombre de résultats, </w:t>
      </w:r>
      <w:r>
        <w:rPr>
          <w:b/>
          <w:bCs/>
        </w:rPr>
        <w:t xml:space="preserve">Exporter…</w:t>
      </w:r>
      <w:r>
        <w:t xml:space="preserve">, </w:t>
      </w:r>
      <w:r>
        <w:rPr>
          <w:b/>
          <w:bCs/>
        </w:rPr>
        <w:t xml:space="preserve">Détacher</w:t>
      </w:r>
      <w:r>
        <w:t xml:space="preserve"> et </w:t>
      </w:r>
      <w:r>
        <w:rPr>
          <w:b/>
          <w:bCs/>
        </w:rPr>
        <w:t xml:space="preserve">Fermer</w:t>
      </w:r>
      <w:r>
        <w:t xml:space="preserve">. Les résultats sont groupés par application puis par objet ; chaque ligne donne le numéro de ligne, le genre d’utilisation, le membre qui la contient et l’extrait de code. Un clic ouvre le code à cet endroit.</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Les utilisations de la table Fleet Vehicle. L’en-tête de l’objet, faute de place, montre ses actions en icônes.</w:t>
      </w:r>
    </w:p>
    <w:p>
      <w:pPr>
        <w:spacing w:after="140" w:line="300"/>
      </w:pPr>
      <w:r>
        <w:rPr>
          <w:b/>
          <w:bCs/>
        </w:rPr>
        <w:t xml:space="preserve">Où ce message est-il levé ?</w:t>
      </w:r>
      <w:r>
        <w:t xml:space="preserve"> Collez le message d’erreur dans la recherche rapide (</w:t>
      </w:r>
      <w:r>
        <w:rPr>
          <w:rFonts w:ascii="Cascadia Mono" w:cs="Cascadia Mono" w:eastAsia="Cascadia Mono" w:hAnsi="Cascadia Mono"/>
          <w:b/>
          <w:bCs/>
          <w:color w:val="1F2933"/>
          <w:sz w:val="18"/>
          <w:szCs w:val="18"/>
          <w:shd w:fill="E3E7ED" w:color="auto" w:val="clear"/>
        </w:rPr>
        <w:t xml:space="preserve"> Ctrl+P </w:t>
      </w:r>
      <w:r>
        <w:t xml:space="preserve">) : elle trouve son Label ; </w:t>
      </w:r>
      <w:r>
        <w:rPr>
          <w:rFonts w:ascii="Cascadia Mono" w:cs="Cascadia Mono" w:eastAsia="Cascadia Mono" w:hAnsi="Cascadia Mono"/>
          <w:b/>
          <w:bCs/>
          <w:color w:val="1F2933"/>
          <w:sz w:val="18"/>
          <w:szCs w:val="18"/>
          <w:shd w:fill="E3E7ED" w:color="auto" w:val="clear"/>
        </w:rPr>
        <w:t xml:space="preserve"> Maj+Entrée </w:t>
      </w:r>
      <w:r>
        <w:t xml:space="preserve"> liste chaque endroit où le Label est utilisé (</w:t>
      </w:r>
      <w:r>
        <w:rPr>
          <w:rFonts w:ascii="Cascadia Mono" w:cs="Cascadia Mono" w:eastAsia="Cascadia Mono" w:hAnsi="Cascadia Mono"/>
          <w:color w:val="1F2933"/>
          <w:sz w:val="19"/>
          <w:szCs w:val="19"/>
          <w:shd w:fill="EEF1F5" w:color="auto" w:val="clear"/>
        </w:rPr>
        <w:t xml:space="preserve">Error</w:t>
      </w:r>
      <w:r>
        <w:t xml:space="preserve">, </w:t>
      </w:r>
      <w:r>
        <w:rPr>
          <w:rFonts w:ascii="Cascadia Mono" w:cs="Cascadia Mono" w:eastAsia="Cascadia Mono" w:hAnsi="Cascadia Mono"/>
          <w:color w:val="1F2933"/>
          <w:sz w:val="19"/>
          <w:szCs w:val="19"/>
          <w:shd w:fill="EEF1F5" w:color="auto" w:val="clear"/>
        </w:rPr>
        <w:t xml:space="preserve">Confirm</w:t>
      </w:r>
      <w:r>
        <w:t xml:space="preserve">, </w:t>
      </w:r>
      <w:r>
        <w:rPr>
          <w:rFonts w:ascii="Cascadia Mono" w:cs="Cascadia Mono" w:eastAsia="Cascadia Mono" w:hAnsi="Cascadia Mono"/>
          <w:color w:val="1F2933"/>
          <w:sz w:val="19"/>
          <w:szCs w:val="19"/>
          <w:shd w:fill="EEF1F5" w:color="auto" w:val="clear"/>
        </w:rPr>
        <w:t xml:space="preserve">Message</w:t>
      </w:r>
      <w:r>
        <w:t xml:space="preserve">, </w:t>
      </w:r>
      <w:r>
        <w:rPr>
          <w:rFonts w:ascii="Cascadia Mono" w:cs="Cascadia Mono" w:eastAsia="Cascadia Mono" w:hAnsi="Cascadia Mono"/>
          <w:color w:val="1F2933"/>
          <w:sz w:val="19"/>
          <w:szCs w:val="19"/>
          <w:shd w:fill="EEF1F5" w:color="auto" w:val="clear"/>
        </w:rPr>
        <w:t xml:space="preserve">StrSubstNo</w:t>
      </w:r>
      <w:r>
        <w:t xml:space="preserve">, affectation…). </w:t>
      </w:r>
      <w:r>
        <w:rPr>
          <w:rFonts w:ascii="Cascadia Mono" w:cs="Cascadia Mono" w:eastAsia="Cascadia Mono" w:hAnsi="Cascadia Mono"/>
          <w:b/>
          <w:bCs/>
          <w:color w:val="1F2933"/>
          <w:sz w:val="18"/>
          <w:szCs w:val="18"/>
          <w:shd w:fill="E3E7ED" w:color="auto" w:val="clear"/>
        </w:rPr>
        <w:t xml:space="preserve"> Maj+F12 </w:t>
      </w:r>
      <w:r>
        <w:t xml:space="preserve"> sur la déclaration d’un Label, ou sur son nom dans le code, fait de même. Un Label local et un Label global de même nom ne sont jamais confondus. Un Label d’un package sans sources n’a pas d’utilisations connues.</w:t>
      </w:r>
    </w:p>
    <w:p>
      <w:pPr>
        <w:pStyle w:val="ListParagraph"/>
        <w:numPr>
          <w:ilvl w:val="0"/>
          <w:numId w:val="2"/>
        </w:numPr>
        <w:spacing w:after="60" w:line="290"/>
      </w:pPr>
      <w:r>
        <w:t xml:space="preserve">Barre de filtres, sous l’en-tête : les genres d’utilisation (déclaration de variable, propriété, permission…), puis </w:t>
      </w:r>
      <w:r>
        <w:rPr>
          <w:b/>
          <w:bCs/>
        </w:rPr>
        <w:t xml:space="preserve">Inclure :</w:t>
      </w:r>
      <w:r>
        <w:t xml:space="preserve"> et les cas particuliers (via interface, non résolues, conditionnelles, écritures par copie). Chaque case donne son nombre de résultats entre parenthèses.</w:t>
      </w:r>
    </w:p>
    <w:p>
      <w:pPr>
        <w:pStyle w:val="ListParagraph"/>
        <w:numPr>
          <w:ilvl w:val="0"/>
          <w:numId w:val="2"/>
        </w:numPr>
        <w:spacing w:after="60" w:line="290"/>
      </w:pPr>
      <w:r>
        <w:t xml:space="preserve">Liste de droite : </w:t>
      </w:r>
      <w:r>
        <w:rPr>
          <w:b/>
          <w:bCs/>
        </w:rPr>
        <w:t xml:space="preserve">Toutes les apps</w:t>
      </w:r>
      <w:r>
        <w:t xml:space="preserve"> (par défaut), </w:t>
      </w:r>
      <w:r>
        <w:rPr>
          <w:b/>
          <w:bCs/>
        </w:rPr>
        <w:t xml:space="preserve">Apps du corpus</w:t>
      </w:r>
      <w:r>
        <w:t xml:space="preserve"> ou une seule app.</w:t>
      </w:r>
    </w:p>
    <w:p>
      <w:pPr>
        <w:pStyle w:val="ListParagraph"/>
        <w:numPr>
          <w:ilvl w:val="0"/>
          <w:numId w:val="2"/>
        </w:numPr>
        <w:spacing w:after="60" w:line="290"/>
      </w:pPr>
      <w:r>
        <w:rPr>
          <w:b/>
          <w:bCs/>
        </w:rPr>
        <w:t xml:space="preserve">Exporter…</w:t>
      </w:r>
      <w:r>
        <w:t xml:space="preserve"> enregistre les résultats affichés en CSV.</w:t>
      </w:r>
    </w:p>
    <w:p>
      <w:pPr>
        <w:pStyle w:val="Heading1"/>
        <w:pageBreakBefore/>
      </w:pPr>
      <w:bookmarkStart w:name="operations" w:id="1"/>
      <w:r>
        <w:t xml:space="preserve">11. Opérations de base sur une table</w:t>
      </w:r>
      <w:bookmarkEnd w:id="1"/>
    </w:p>
    <w:p>
      <w:pPr>
        <w:spacing w:after="140" w:line="300"/>
      </w:pPr>
      <w:r>
        <w:t xml:space="preserve">Sur une table ou une extension de table, </w:t>
      </w:r>
      <w:r>
        <w:rPr>
          <w:b/>
          <w:bCs/>
        </w:rPr>
        <w:t xml:space="preserve">Opérations de base</w:t>
      </w:r>
      <w:r>
        <w:t xml:space="preserve"> liste tous les Insert, Modify, Delete, Rename et Validate qui la touchent, avec leur persistance (persistante, temporaire, indéterminée) et la valeur de RunTrigger : action </w:t>
      </w:r>
      <w:r>
        <w:rPr>
          <w:b/>
          <w:bCs/>
        </w:rPr>
        <w:t xml:space="preserve">Opérations</w:t>
      </w:r>
      <w:r>
        <w:t xml:space="preserve"> de l’en-tête de l’objet, ou </w:t>
      </w:r>
      <w:r>
        <w:rPr>
          <w:rFonts w:ascii="Cascadia Mono" w:cs="Cascadia Mono" w:eastAsia="Cascadia Mono" w:hAnsi="Cascadia Mono"/>
          <w:b/>
          <w:bCs/>
          <w:color w:val="1F2933"/>
          <w:sz w:val="18"/>
          <w:szCs w:val="18"/>
          <w:shd w:fill="E3E7ED" w:color="auto" w:val="clear"/>
        </w:rPr>
        <w:t xml:space="preserve"> Alt+Entrée </w:t>
      </w:r>
      <w:r>
        <w:t xml:space="preserve"> dans la recherche rapide. Les cases de la barre de filtres retiennent une persistance, une opération ou une valeur de RunTrigger. La bascule </w:t>
      </w:r>
      <w:r>
        <w:rPr>
          <w:b/>
          <w:bCs/>
        </w:rPr>
        <w:t xml:space="preserve">Appels</w:t>
      </w:r>
      <w:r>
        <w:t xml:space="preserve"> / </w:t>
      </w:r>
      <w:r>
        <w:rPr>
          <w:b/>
          <w:bCs/>
        </w:rPr>
        <w:t xml:space="preserve">Réactions</w:t>
      </w:r>
      <w:r>
        <w:t xml:space="preserve"> de l’en-tête du panneau passe aux triggers et aux abonnés qui s’exécutent en conséquence.</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Les opérations sur la table Fleet Vehicle, vue Appels.</w:t>
      </w:r>
    </w:p>
    <w:p>
      <w:pPr>
        <w:pStyle w:val="Heading1"/>
        <w:pageBreakBefore/>
      </w:pPr>
      <w:bookmarkStart w:name="hierarchie" w:id="1"/>
      <w:r>
        <w:t xml:space="preserve">12. Hiérarchie d’appels</w:t>
      </w:r>
      <w:bookmarkEnd w:id="1"/>
    </w:p>
    <w:p>
      <w:pPr>
        <w:spacing w:after="140" w:line="300"/>
      </w:pPr>
      <w:r>
        <w:rPr>
          <w:rFonts w:ascii="Cascadia Mono" w:cs="Cascadia Mono" w:eastAsia="Cascadia Mono" w:hAnsi="Cascadia Mono"/>
          <w:b/>
          <w:bCs/>
          <w:color w:val="1F2933"/>
          <w:sz w:val="18"/>
          <w:szCs w:val="18"/>
          <w:shd w:fill="E3E7ED" w:color="auto" w:val="clear"/>
        </w:rPr>
        <w:t xml:space="preserve"> Maj+Alt+H </w:t>
      </w:r>
      <w:r>
        <w:t xml:space="preserve"> sur une procédure ouvre sa hiérarchie d’appels. </w:t>
      </w:r>
      <w:r>
        <w:rPr>
          <w:b/>
          <w:bCs/>
        </w:rPr>
        <w:t xml:space="preserve">Appelants</w:t>
      </w:r>
      <w:r>
        <w:t xml:space="preserve"> remonte vers ceux qui l’appellent, jusqu’aux points d’entrée (actions de page, triggers…) ; </w:t>
      </w:r>
      <w:r>
        <w:rPr>
          <w:b/>
          <w:bCs/>
        </w:rPr>
        <w:t xml:space="preserve">Appelés</w:t>
      </w:r>
      <w:r>
        <w:t xml:space="preserve"> descend dans ce qu’elle appelle. Chaque niveau se déplie à la demande.</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RentVehicle est appelée par l’action Rent de la page Fleet Vehicle List.</w:t>
      </w:r>
    </w:p>
    <w:p>
      <w:pPr>
        <w:pStyle w:val="Heading1"/>
        <w:pageBreakBefore/>
      </w:pPr>
      <w:bookmarkStart w:name="portee" w:id="1"/>
      <w:r>
        <w:t xml:space="preserve">13. La portée d’un membre</w:t>
      </w:r>
      <w:bookmarkEnd w:id="1"/>
    </w:p>
    <w:p>
      <w:pPr>
        <w:spacing w:after="140" w:line="300"/>
      </w:pPr>
      <w:r>
        <w:t xml:space="preserve">La </w:t>
      </w:r>
      <w:r>
        <w:rPr>
          <w:b/>
          <w:bCs/>
        </w:rPr>
        <w:t xml:space="preserve">portée</w:t>
      </w:r>
      <w:r>
        <w:t xml:space="preserve"> répond à « jusqu’où va ce membre ? ». Elle suit les appels, les triggers et les abonnés aux événements, et classe ce qui est atteint en sections :</w:t>
      </w:r>
    </w:p>
    <w:p>
      <w:pPr>
        <w:pStyle w:val="ListParagraph"/>
        <w:numPr>
          <w:ilvl w:val="0"/>
          <w:numId w:val="2"/>
        </w:numPr>
        <w:spacing w:after="60" w:line="290"/>
      </w:pPr>
      <w:r>
        <w:rPr>
          <w:b/>
          <w:bCs/>
        </w:rPr>
        <w:t xml:space="preserve">Points d’entrée</w:t>
      </w:r>
      <w:r>
        <w:t xml:space="preserve"> : d’où l’utilisateur peut déclencher ce code ;</w:t>
      </w:r>
    </w:p>
    <w:p>
      <w:pPr>
        <w:pStyle w:val="ListParagraph"/>
        <w:numPr>
          <w:ilvl w:val="0"/>
          <w:numId w:val="2"/>
        </w:numPr>
        <w:spacing w:after="60" w:line="290"/>
      </w:pPr>
      <w:r>
        <w:rPr>
          <w:b/>
          <w:bCs/>
        </w:rPr>
        <w:t xml:space="preserve">Commits</w:t>
      </w:r>
      <w:r>
        <w:t xml:space="preserve"> : les Commit atteints, avec le chemin ;</w:t>
      </w:r>
    </w:p>
    <w:p>
      <w:pPr>
        <w:pStyle w:val="ListParagraph"/>
        <w:numPr>
          <w:ilvl w:val="0"/>
          <w:numId w:val="2"/>
        </w:numPr>
        <w:spacing w:after="60" w:line="290"/>
      </w:pPr>
      <w:r>
        <w:rPr>
          <w:b/>
          <w:bCs/>
        </w:rPr>
        <w:t xml:space="preserve">Écritures</w:t>
      </w:r>
      <w:r>
        <w:t xml:space="preserve"> et </w:t>
      </w:r>
      <w:r>
        <w:rPr>
          <w:b/>
          <w:bCs/>
        </w:rPr>
        <w:t xml:space="preserve">Lectures</w:t>
      </w:r>
      <w:r>
        <w:t xml:space="preserve"> : les tables touchées, leur persistance et le nombre d’étapes ;</w:t>
      </w:r>
    </w:p>
    <w:p>
      <w:pPr>
        <w:pStyle w:val="ListParagraph"/>
        <w:numPr>
          <w:ilvl w:val="0"/>
          <w:numId w:val="2"/>
        </w:numPr>
        <w:spacing w:after="60" w:line="290"/>
      </w:pPr>
      <w:r>
        <w:rPr>
          <w:b/>
          <w:bCs/>
        </w:rPr>
        <w:t xml:space="preserve">Paramétrage lu</w:t>
      </w:r>
      <w:r>
        <w:t xml:space="preserve"> : « où se paramètre ce comportement ? », les tables de paramétrage lues (Setup à enregistrement unique), avec leurs champs lus et la page qui les affiche, puis les autres tables lues ;</w:t>
      </w:r>
    </w:p>
    <w:p>
      <w:pPr>
        <w:pStyle w:val="ListParagraph"/>
        <w:numPr>
          <w:ilvl w:val="0"/>
          <w:numId w:val="2"/>
        </w:numPr>
        <w:spacing w:after="60" w:line="290"/>
      </w:pPr>
      <w:r>
        <w:rPr>
          <w:b/>
          <w:bCs/>
        </w:rPr>
        <w:t xml:space="preserve">Événements</w:t>
      </w:r>
      <w:r>
        <w:t xml:space="preserve"> : les événements levés et leurs abonnés ;</w:t>
      </w:r>
    </w:p>
    <w:p>
      <w:pPr>
        <w:pStyle w:val="ListParagraph"/>
        <w:numPr>
          <w:ilvl w:val="0"/>
          <w:numId w:val="2"/>
        </w:numPr>
        <w:spacing w:after="60" w:line="290"/>
      </w:pPr>
      <w:r>
        <w:rPr>
          <w:b/>
          <w:bCs/>
        </w:rPr>
        <w:t xml:space="preserve">Permissions</w:t>
      </w:r>
      <w:r>
        <w:t xml:space="preserve"> : le jeu de permissions requis et ses angles morts.</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La portée de RentVehicle, en liste.</w:t>
      </w:r>
    </w:p>
    <w:p>
      <w:pPr>
        <w:spacing w:after="140" w:line="300"/>
      </w:pPr>
      <w:r>
        <w:t xml:space="preserve">La bascule </w:t>
      </w:r>
      <w:r>
        <w:rPr>
          <w:b/>
          <w:bCs/>
        </w:rPr>
        <w:t xml:space="preserve">Liste</w:t>
      </w:r>
      <w:r>
        <w:t xml:space="preserve"> / </w:t>
      </w:r>
      <w:r>
        <w:rPr>
          <w:b/>
          <w:bCs/>
        </w:rPr>
        <w:t xml:space="preserve">Diagramme</w:t>
      </w:r>
      <w:r>
        <w:t xml:space="preserve"> de l’en-tête change d’affichage. Le </w:t>
      </w:r>
      <w:r>
        <w:rPr>
          <w:b/>
          <w:bCs/>
        </w:rPr>
        <w:t xml:space="preserve">Diagramme</w:t>
      </w:r>
      <w:r>
        <w:t xml:space="preserve"> dessine le membre et tout ce qu’il atteint, en couches par nombre d’étapes ; les pastilles du haut (Points d’entrée, Commits, Écritures, Lectures, Événements) affichent ou masquent chaque section. À l’ouverture, le diagramme reste lisible : il s’affiche en entier si le texte des nœuds garde une taille suffisante, sinon il se centre sur le membre, et </w:t>
      </w:r>
      <w:r>
        <w:rPr>
          <w:b/>
          <w:bCs/>
        </w:rPr>
        <w:t xml:space="preserve">Ajuster</w:t>
      </w:r>
      <w:r>
        <w:t xml:space="preserve"> donne la vue d’ensemble. Les libellés des liens (« appel », « opération »…) apparaissent au survol d’un lien ou d’un nœud. La fenêtre </w:t>
      </w:r>
      <w:r>
        <w:rPr>
          <w:b/>
          <w:bCs/>
        </w:rPr>
        <w:t xml:space="preserve">Diagramme</w:t>
      </w:r>
      <w:r>
        <w:t xml:space="preserve"> d’un objet suit les mêmes règles.</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La même portée en diagramme, avec le bouton Ajuster.</w:t>
      </w:r>
    </w:p>
    <w:p>
      <w:pPr>
        <w:pStyle w:val="Heading1"/>
        <w:pageBreakBefore/>
      </w:pPr>
      <w:bookmarkStart w:name="evenements" w:id="1"/>
      <w:r>
        <w:t xml:space="preserve">14. Les événements du corpus</w:t>
      </w:r>
      <w:bookmarkEnd w:id="1"/>
    </w:p>
    <w:p>
      <w:pPr>
        <w:spacing w:after="140" w:line="300"/>
      </w:pPr>
      <w:r>
        <w:t xml:space="preserve">L’icône </w:t>
      </w:r>
      <w:r>
        <w:rPr>
          <w:b/>
          <w:bCs/>
        </w:rPr>
        <w:t xml:space="preserve">Événements</w:t>
      </w:r>
      <w:r>
        <w:t xml:space="preserve"> de la barre ouvre la liste de tous les événements du corpus : </w:t>
      </w:r>
      <w:r>
        <w:rPr>
          <w:b/>
          <w:bCs/>
        </w:rPr>
        <w:t xml:space="preserve">Levé par</w:t>
      </w:r>
      <w:r>
        <w:t xml:space="preserve"> (l’objet qui publie l’événement, et son app), nom de l’événement, nombre de levées et d’abonnés, type. Les champs </w:t>
      </w:r>
      <w:r>
        <w:rPr>
          <w:b/>
          <w:bCs/>
        </w:rPr>
        <w:t xml:space="preserve">Événement</w:t>
      </w:r>
      <w:r>
        <w:t xml:space="preserve"> et </w:t>
      </w:r>
      <w:r>
        <w:rPr>
          <w:b/>
          <w:bCs/>
        </w:rPr>
        <w:t xml:space="preserve">Objet</w:t>
      </w:r>
      <w:r>
        <w:t xml:space="preserve"> acceptent des motifs (</w:t>
      </w:r>
      <w:r>
        <w:rPr>
          <w:rFonts w:ascii="Cascadia Mono" w:cs="Cascadia Mono" w:eastAsia="Cascadia Mono" w:hAnsi="Cascadia Mono"/>
          <w:color w:val="1F2933"/>
          <w:sz w:val="19"/>
          <w:szCs w:val="19"/>
          <w:shd w:fill="EEF1F5" w:color="auto" w:val="clear"/>
        </w:rPr>
        <w:t xml:space="preserve">OnBefore*Post*</w:t>
      </w:r>
      <w:r>
        <w:t xml:space="preserve">, </w:t>
      </w:r>
      <w:r>
        <w:rPr>
          <w:rFonts w:ascii="Cascadia Mono" w:cs="Cascadia Mono" w:eastAsia="Cascadia Mono" w:hAnsi="Cascadia Mono"/>
          <w:color w:val="1F2933"/>
          <w:sz w:val="19"/>
          <w:szCs w:val="19"/>
          <w:shd w:fill="EEF1F5" w:color="auto" w:val="clear"/>
        </w:rPr>
        <w:t xml:space="preserve">*Vehicle*</w:t>
      </w:r>
      <w:r>
        <w:t xml:space="preserve">) ; la liste de droite limite aux apps du corpus ou à une app, et chaque colonne se trie d’un clic sur son en-tête. Un clic sur un événement montre où il est levé et qui y est abonné.</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Les événements dont le nom contient « Vehicle » : 2 sur 24 059.</w:t>
      </w:r>
    </w:p>
    <w:p>
      <w:pPr>
        <w:pStyle w:val="Heading1"/>
        <w:pageBreakBefore/>
      </w:pPr>
      <w:bookmarkStart w:name="permissions" w:id="1"/>
      <w:r>
        <w:t xml:space="preserve">15. Le jeu de permissions</w:t>
      </w:r>
      <w:bookmarkEnd w:id="1"/>
    </w:p>
    <w:p>
      <w:pPr>
        <w:spacing w:after="140" w:line="300"/>
      </w:pPr>
      <w:r>
        <w:t xml:space="preserve">Pour construire le jeu de permissions d’une fonctionnalité, ajouter ses membres au panier : </w:t>
      </w:r>
      <w:r>
        <w:rPr>
          <w:b/>
          <w:bCs/>
        </w:rPr>
        <w:t xml:space="preserve">Ajouter au jeu de permissions</w:t>
      </w:r>
      <w:r>
        <w:t xml:space="preserve"> dans le menu contextuel du code ou dans la portée. Le panneau </w:t>
      </w:r>
      <w:r>
        <w:rPr>
          <w:b/>
          <w:bCs/>
        </w:rPr>
        <w:t xml:space="preserve">Jeu de permissions</w:t>
      </w:r>
      <w:r>
        <w:t xml:space="preserve"> calcule les droits requis (R, I, M, D, X) objet par objet, avec leur justification et le chemin le plus court, et liste les </w:t>
      </w:r>
      <w:r>
        <w:rPr>
          <w:b/>
          <w:bCs/>
        </w:rPr>
        <w:t xml:space="preserve">angles morts</w:t>
      </w:r>
      <w:r>
        <w:t xml:space="preserve"> à vérifier (persistance indéterminée, abonnés globaux…).</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Les permissions requises par RentVehicle.</w:t>
      </w:r>
    </w:p>
    <w:p>
      <w:pPr>
        <w:spacing w:after="140" w:line="300"/>
      </w:pPr>
      <w:r>
        <w:t xml:space="preserve">L’icône </w:t>
      </w:r>
      <w:r>
        <w:rPr>
          <w:b/>
          <w:bCs/>
        </w:rPr>
        <w:t xml:space="preserve">Exporter</w:t>
      </w:r>
      <w:r>
        <w:t xml:space="preserve"> de la barre ouvre le panneau ; son bouton </w:t>
      </w:r>
      <w:r>
        <w:rPr>
          <w:b/>
          <w:bCs/>
        </w:rPr>
        <w:t xml:space="preserve">Exporter…</w:t>
      </w:r>
      <w:r>
        <w:t xml:space="preserve"> ouvre le dialogue d’export : un fichier XML importable dans Business Central (dans la langue de la session BC qui importe, avec l’ID et le nom du jeu), ou un objet AL </w:t>
      </w:r>
      <w:r>
        <w:rPr>
          <w:rFonts w:ascii="Cascadia Mono" w:cs="Cascadia Mono" w:eastAsia="Cascadia Mono" w:hAnsi="Cascadia Mono"/>
          <w:color w:val="1F2933"/>
          <w:sz w:val="19"/>
          <w:szCs w:val="19"/>
          <w:shd w:fill="EEF1F5" w:color="auto" w:val="clear"/>
        </w:rPr>
        <w:t xml:space="preserve">permissionset</w:t>
      </w:r>
      <w:r>
        <w:t xml:space="preserve">. Un objet présent plusieurs fois (le même objet dans deux apps, ou ajouté par les permissions du profil d’un Role Center) ne donne qu’une entrée, avec l’union de ses droits : l’import dans BC et la compilation AL acceptent le fichier.</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Le dialogue d’export du jeu de permissions.</w:t>
      </w:r>
    </w:p>
    <w:p>
      <w:pPr>
        <w:spacing w:after="140" w:line="300"/>
      </w:pPr>
      <w:r>
        <w:t xml:space="preserve">Le panier est conservé avec le corpus : il se retrouve à la réouverture du dossier, du </w:t>
      </w:r>
      <w:r>
        <w:rPr>
          <w:rFonts w:ascii="Cascadia Mono" w:cs="Cascadia Mono" w:eastAsia="Cascadia Mono" w:hAnsi="Cascadia Mono"/>
          <w:color w:val="1F2933"/>
          <w:sz w:val="19"/>
          <w:szCs w:val="19"/>
          <w:shd w:fill="EEF1F5" w:color="auto" w:val="clear"/>
        </w:rPr>
        <w:t xml:space="preserve">.code-workspace</w:t>
      </w:r>
      <w:r>
        <w:t xml:space="preserve"> ou du dépôt (même à une autre branche), y compris après avoir quitté ALmaze. Une racine qui n’existe plus dans le corpus rechargé reste dans le panier, marquée </w:t>
      </w:r>
      <w:r>
        <w:rPr>
          <w:b/>
          <w:bCs/>
        </w:rPr>
        <w:t xml:space="preserve">introuvable</w:t>
      </w:r>
      <w:r>
        <w:t xml:space="preserve">.</w:t>
      </w:r>
    </w:p>
    <w:p>
      <w:pPr>
        <w:pStyle w:val="Heading1"/>
        <w:pageBreakBefore/>
      </w:pPr>
      <w:bookmarkStart w:name="tickets" w:id="1"/>
      <w:r>
        <w:t xml:space="preserve">16. Rédiger un ticket</w:t>
      </w:r>
      <w:bookmarkEnd w:id="1"/>
    </w:p>
    <w:p>
      <w:pPr>
        <w:spacing w:after="140" w:line="300"/>
      </w:pPr>
      <w:r>
        <w:t xml:space="preserve">Un </w:t>
      </w:r>
      <w:r>
        <w:rPr>
          <w:b/>
          <w:bCs/>
        </w:rPr>
        <w:t xml:space="preserve">brouillon de ticket</w:t>
      </w:r>
      <w:r>
        <w:t xml:space="preserve"> rassemble, en naviguant, les éléments concernés par une demande : </w:t>
      </w:r>
      <w:r>
        <w:rPr>
          <w:b/>
          <w:bCs/>
        </w:rPr>
        <w:t xml:space="preserve">Ajouter au ticket</w:t>
      </w:r>
      <w:r>
        <w:t xml:space="preserve"> dans le menu contextuel du code (le champ, l’action ou l’objet sous le curseur) ou de l’explorateur (l’objet), ou </w:t>
      </w:r>
      <w:r>
        <w:rPr>
          <w:b/>
          <w:bCs/>
        </w:rPr>
        <w:t xml:space="preserve">+ Ticket</w:t>
      </w:r>
      <w:r>
        <w:t xml:space="preserve"> dans la portée. Le panneau </w:t>
      </w:r>
      <w:r>
        <w:rPr>
          <w:b/>
          <w:bCs/>
        </w:rPr>
        <w:t xml:space="preserve">Ticket</w:t>
      </w:r>
      <w:r>
        <w:t xml:space="preserve"> (icône de la barre) donne son titre, son contexte et le comportement attendu, avec à droite les éléments concernés ; un corpus peut avoir plusieurs brouillons, l’ajout se fait dans celui affiché. L’en-tête du panneau porte </w:t>
      </w:r>
      <w:r>
        <w:rPr>
          <w:b/>
          <w:bCs/>
        </w:rPr>
        <w:t xml:space="preserve">Nouveau</w:t>
      </w:r>
      <w:r>
        <w:t xml:space="preserve">, </w:t>
      </w:r>
      <w:r>
        <w:rPr>
          <w:b/>
          <w:bCs/>
        </w:rPr>
        <w:t xml:space="preserve">Importer…</w:t>
      </w:r>
      <w:r>
        <w:t xml:space="preserve">, </w:t>
      </w:r>
      <w:r>
        <w:rPr>
          <w:b/>
          <w:bCs/>
        </w:rPr>
        <w:t xml:space="preserve">Exporter…</w:t>
      </w:r>
      <w:r>
        <w:t xml:space="preserve">, </w:t>
      </w:r>
      <w:r>
        <w:rPr>
          <w:b/>
          <w:bCs/>
        </w:rPr>
        <w:t xml:space="preserve">Supprimer</w:t>
      </w:r>
      <w:r>
        <w:t xml:space="preserve"> et </w:t>
      </w:r>
      <w:r>
        <w:rPr>
          <w:b/>
          <w:bCs/>
        </w:rPr>
        <w:t xml:space="preserve">Publier…</w:t>
      </w:r>
      <w:r>
        <w:t xml:space="preserve">.</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Un brouillon de ticket, ici rédigé depuis l’éditeur de Role Center.</w:t>
      </w:r>
    </w:p>
    <w:p>
      <w:pPr>
        <w:spacing w:after="140" w:line="300"/>
      </w:pPr>
      <w:r>
        <w:t xml:space="preserve">Les brouillons sont conservés avec le corpus, comme le panier de permissions : on peut quitter ALmaze et reprendre plus tard. Un élément qui n’existe plus dans le corpus rechargé reste, marqué </w:t>
      </w:r>
      <w:r>
        <w:rPr>
          <w:b/>
          <w:bCs/>
        </w:rPr>
        <w:t xml:space="preserve">introuvable</w:t>
      </w:r>
      <w:r>
        <w:t xml:space="preserve">. </w:t>
      </w:r>
      <w:r>
        <w:rPr>
          <w:b/>
          <w:bCs/>
        </w:rPr>
        <w:t xml:space="preserve">Exporter…</w:t>
      </w:r>
      <w:r>
        <w:t xml:space="preserve"> enregistre le brouillon dans un fichier </w:t>
      </w:r>
      <w:r>
        <w:rPr>
          <w:rFonts w:ascii="Cascadia Mono" w:cs="Cascadia Mono" w:eastAsia="Cascadia Mono" w:hAnsi="Cascadia Mono"/>
          <w:color w:val="1F2933"/>
          <w:sz w:val="19"/>
          <w:szCs w:val="19"/>
          <w:shd w:fill="EEF1F5" w:color="auto" w:val="clear"/>
        </w:rPr>
        <w:t xml:space="preserve">.ticket.json</w:t>
      </w:r>
      <w:r>
        <w:t xml:space="preserve"> qu’un collègue ouvre par </w:t>
      </w:r>
      <w:r>
        <w:rPr>
          <w:b/>
          <w:bCs/>
        </w:rPr>
        <w:t xml:space="preserve">Importer…</w:t>
      </w:r>
      <w:r>
        <w:t xml:space="preserve">.</w:t>
      </w:r>
    </w:p>
    <w:p>
      <w:pPr>
        <w:spacing w:after="140" w:line="300"/>
      </w:pPr>
      <w:r>
        <w:rPr>
          <w:b/>
          <w:bCs/>
        </w:rPr>
        <w:t xml:space="preserve">Publier…</w:t>
      </w:r>
      <w:r>
        <w:t xml:space="preserve"> crée l’issue sur GitHub. ALmaze propose le dépôt d’où vient l’application des éléments, et le dernier choix fait pour ce dépôt : projet, </w:t>
      </w:r>
      <w:r>
        <w:rPr>
          <w:b/>
          <w:bCs/>
        </w:rPr>
        <w:t xml:space="preserve">Status</w:t>
      </w:r>
      <w:r>
        <w:t xml:space="preserve"> initial et labels, tous modifiables. Le corps suit le gabarit d’issue du dépôt (</w:t>
      </w:r>
      <w:r>
        <w:rPr>
          <w:rFonts w:ascii="Cascadia Mono" w:cs="Cascadia Mono" w:eastAsia="Cascadia Mono" w:hAnsi="Cascadia Mono"/>
          <w:color w:val="1F2933"/>
          <w:sz w:val="19"/>
          <w:szCs w:val="19"/>
          <w:shd w:fill="EEF1F5" w:color="auto" w:val="clear"/>
        </w:rPr>
        <w:t xml:space="preserve">.github/ISSUE_TEMPLATE</w:t>
      </w:r>
      <w:r>
        <w:t xml:space="preserve">, en Markdown ; les formulaires </w:t>
      </w:r>
      <w:r>
        <w:rPr>
          <w:rFonts w:ascii="Cascadia Mono" w:cs="Cascadia Mono" w:eastAsia="Cascadia Mono" w:hAnsi="Cascadia Mono"/>
          <w:color w:val="1F2933"/>
          <w:sz w:val="19"/>
          <w:szCs w:val="19"/>
          <w:shd w:fill="EEF1F5" w:color="auto" w:val="clear"/>
        </w:rPr>
        <w:t xml:space="preserve">.yml</w:t>
      </w:r>
      <w:r>
        <w:t xml:space="preserve"> sont ignorés), sinon celui d’ALmaze : Contexte, Comportement attendu, Éléments concernés.</w:t>
      </w:r>
    </w:p>
    <w:p>
      <w:pPr>
        <w:pStyle w:val="ListParagraph"/>
        <w:numPr>
          <w:ilvl w:val="0"/>
          <w:numId w:val="2"/>
        </w:numPr>
        <w:spacing w:after="60" w:line="290"/>
      </w:pPr>
      <w:r>
        <w:t xml:space="preserve">Chaque élément concerné est décrit par sa caption (en français d’abord), son type, son ID, son nom AL et son application.</w:t>
      </w:r>
    </w:p>
    <w:p>
      <w:pPr>
        <w:pStyle w:val="ListParagraph"/>
        <w:numPr>
          <w:ilvl w:val="0"/>
          <w:numId w:val="2"/>
        </w:numPr>
        <w:spacing w:after="60" w:line="290"/>
      </w:pPr>
      <w:r>
        <w:t xml:space="preserve">Un bloc dépliable donne ses extensions d’objet, ses déclencheurs et, pour un corpus ouvert depuis un dépôt GitHub, un lien vers ses lignes de code au commit chargé.</w:t>
      </w:r>
    </w:p>
    <w:p>
      <w:pPr>
        <w:pStyle w:val="ListParagraph"/>
        <w:numPr>
          <w:ilvl w:val="0"/>
          <w:numId w:val="2"/>
        </w:numPr>
        <w:spacing w:after="60" w:line="290"/>
      </w:pPr>
      <w:r>
        <w:t xml:space="preserve">Une fois publié, le brouillon reste lié au ticket : </w:t>
      </w:r>
      <w:r>
        <w:rPr>
          <w:b/>
          <w:bCs/>
        </w:rPr>
        <w:t xml:space="preserve">Republier…</w:t>
      </w:r>
      <w:r>
        <w:t xml:space="preserve"> y ajoute un commentaire au lieu d’en créer un autre.</w:t>
      </w:r>
    </w:p>
    <w:p>
      <w:pPr>
        <w:pBdr>
          <w:left w:val="single" w:color="0F6CBD" w:sz="18" w:space="8"/>
        </w:pBdr>
        <w:shd w:fill="E8F0FE" w:color="auto" w:val="clear"/>
        <w:spacing w:before="80" w:after="160" w:line="290"/>
        <w:ind w:left="200"/>
      </w:pPr>
      <w:r>
        <w:t xml:space="preserve">Publier dans un projet demande le droit </w:t>
      </w:r>
      <w:r>
        <w:rPr>
          <w:b/>
          <w:bCs/>
        </w:rPr>
        <w:t xml:space="preserve">project</w:t>
      </w:r>
      <w:r>
        <w:t xml:space="preserve"> sur GitHub. Si la connexion date d’avant les tickets, ALmaze propose de se reconnecter une fois.</w:t>
      </w:r>
    </w:p>
    <w:p>
      <w:pPr>
        <w:pStyle w:val="Heading1"/>
        <w:pageBreakBefore/>
      </w:pPr>
      <w:bookmarkStart w:name="role-center" w:id="1"/>
      <w:r>
        <w:t xml:space="preserve">17. Composer un Role Center</w:t>
      </w:r>
      <w:bookmarkEnd w:id="1"/>
    </w:p>
    <w:p>
      <w:pPr>
        <w:spacing w:after="140" w:line="300"/>
      </w:pPr>
      <w:r>
        <w:t xml:space="preserve">L’éditeur de Role Center (icône </w:t>
      </w:r>
      <w:r>
        <w:rPr>
          <w:b/>
          <w:bCs/>
        </w:rPr>
        <w:t xml:space="preserve">Role Center</w:t>
      </w:r>
      <w:r>
        <w:t xml:space="preserve"> de la barre, dans un grand dialogue) compose un </w:t>
      </w:r>
      <w:r>
        <w:rPr>
          <w:b/>
          <w:bCs/>
        </w:rPr>
        <w:t xml:space="preserve">brouillon de Role Center</w:t>
      </w:r>
      <w:r>
        <w:t xml:space="preserve"> à partir de l’existant. Son </w:t>
      </w:r>
      <w:r>
        <w:rPr>
          <w:b/>
          <w:bCs/>
        </w:rPr>
        <w:t xml:space="preserve">point de départ</w:t>
      </w:r>
      <w:r>
        <w:t xml:space="preserve"> est l’</w:t>
      </w:r>
      <w:r>
        <w:rPr>
          <w:b/>
          <w:bCs/>
        </w:rPr>
        <w:t xml:space="preserve">extension</w:t>
      </w:r>
      <w:r>
        <w:t xml:space="preserve"> d’un Role Center du corpus (par défaut), sa </w:t>
      </w:r>
      <w:r>
        <w:rPr>
          <w:b/>
          <w:bCs/>
        </w:rPr>
        <w:t xml:space="preserve">copie</w:t>
      </w:r>
      <w:r>
        <w:t xml:space="preserve"> ou une page </w:t>
      </w:r>
      <w:r>
        <w:rPr>
          <w:b/>
          <w:bCs/>
        </w:rPr>
        <w:t xml:space="preserve">vierge</w:t>
      </w:r>
      <w:r>
        <w:t xml:space="preserve">. À gauche, l’</w:t>
      </w:r>
      <w:r>
        <w:rPr>
          <w:b/>
          <w:bCs/>
        </w:rPr>
        <w:t xml:space="preserve">app cible</w:t>
      </w:r>
      <w:r>
        <w:t xml:space="preserve"> (par défaut l’app dont le nom contient *Design*, sinon celle choisie, retenue pour le corpus) fixe l’ID et les noms, marqués </w:t>
      </w:r>
      <w:r>
        <w:rPr>
          <w:b/>
          <w:bCs/>
        </w:rPr>
        <w:t xml:space="preserve">proposé</w:t>
      </w:r>
      <w:r>
        <w:t xml:space="preserve"> tant qu’on ne les modifie pas : premier ID libre de ses </w:t>
      </w:r>
      <w:r>
        <w:rPr>
          <w:rFonts w:ascii="Cascadia Mono" w:cs="Cascadia Mono" w:eastAsia="Cascadia Mono" w:hAnsi="Cascadia Mono"/>
          <w:color w:val="1F2933"/>
          <w:sz w:val="19"/>
          <w:szCs w:val="19"/>
          <w:shd w:fill="EEF1F5" w:color="auto" w:val="clear"/>
        </w:rPr>
        <w:t xml:space="preserve">idRanges</w:t>
      </w:r>
      <w:r>
        <w:t xml:space="preserve">, affixe de son </w:t>
      </w:r>
      <w:r>
        <w:rPr>
          <w:rFonts w:ascii="Cascadia Mono" w:cs="Cascadia Mono" w:eastAsia="Cascadia Mono" w:hAnsi="Cascadia Mono"/>
          <w:color w:val="1F2933"/>
          <w:sz w:val="19"/>
          <w:szCs w:val="19"/>
          <w:shd w:fill="EEF1F5" w:color="auto" w:val="clear"/>
        </w:rPr>
        <w:t xml:space="preserve">AppSourceCop.json</w:t>
      </w:r>
      <w:r>
        <w:t xml:space="preserve">.</w:t>
      </w:r>
    </w:p>
    <w:p>
      <w:pPr>
        <w:spacing w:after="140" w:line="300"/>
      </w:pPr>
      <w:r>
        <w:t xml:space="preserve">En haut, les boutons </w:t>
      </w:r>
      <w:r>
        <w:rPr>
          <w:b/>
          <w:bCs/>
        </w:rPr>
        <w:t xml:space="preserve">Nouveau</w:t>
      </w:r>
      <w:r>
        <w:t xml:space="preserve">, </w:t>
      </w:r>
      <w:r>
        <w:rPr>
          <w:b/>
          <w:bCs/>
        </w:rPr>
        <w:t xml:space="preserve">Importer…</w:t>
      </w:r>
      <w:r>
        <w:t xml:space="preserve">, </w:t>
      </w:r>
      <w:r>
        <w:rPr>
          <w:b/>
          <w:bCs/>
        </w:rPr>
        <w:t xml:space="preserve">Exporter…</w:t>
      </w:r>
      <w:r>
        <w:t xml:space="preserve"> et </w:t>
      </w:r>
      <w:r>
        <w:rPr>
          <w:b/>
          <w:bCs/>
        </w:rPr>
        <w:t xml:space="preserve">Supprimer</w:t>
      </w:r>
      <w:r>
        <w:t xml:space="preserve"> gèrent les brouillons (infobulle au survol). La colonne des </w:t>
      </w:r>
      <w:r>
        <w:rPr>
          <w:b/>
          <w:bCs/>
        </w:rPr>
        <w:t xml:space="preserve">Informations</w:t>
      </w:r>
      <w:r>
        <w:t xml:space="preserve"> se replie en une bande fine (chevron en tête de colonne) pour laisser la place au designer ; le panneau de droite (catalogue ou propriétés) s’élargit en glissant la poignée qui le sépare du designer, jusqu’à la moitié de la fenêtre (double-clic : largeur par défaut). L’éditeur retient les deux réglages d’une session à l’autre.</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L’éditeur de Role Center : les informations à gauche, le designer au centre, le catalogue de la Barre de navigation à droite (Fleet Vehicles vient d’y être ajouté).</w:t>
      </w:r>
    </w:p>
    <w:p>
      <w:pPr>
        <w:spacing w:after="140" w:line="300"/>
      </w:pPr>
      <w:r>
        <w:t xml:space="preserve">Au centre, le </w:t>
      </w:r>
      <w:r>
        <w:rPr>
          <w:b/>
          <w:bCs/>
        </w:rPr>
        <w:t xml:space="preserve">designer</w:t>
      </w:r>
      <w:r>
        <w:t xml:space="preserve"> montre le Role Center comme le client web de BC, zones à leur place, de haut en bas : le </w:t>
      </w:r>
      <w:r>
        <w:rPr>
          <w:b/>
          <w:bCs/>
        </w:rPr>
        <w:t xml:space="preserve">Menu de navigation</w:t>
      </w:r>
      <w:r>
        <w:t xml:space="preserve"> (menus côte à côte ; un clic déplie leurs liens), la </w:t>
      </w:r>
      <w:r>
        <w:rPr>
          <w:b/>
          <w:bCs/>
        </w:rPr>
        <w:t xml:space="preserve">Barre de navigation</w:t>
      </w:r>
      <w:r>
        <w:t xml:space="preserve">, puis le </w:t>
      </w:r>
      <w:r>
        <w:rPr>
          <w:b/>
          <w:bCs/>
        </w:rPr>
        <w:t xml:space="preserve">headline</w:t>
      </w:r>
      <w:r>
        <w:t xml:space="preserve"> à gauche de la barre d’actions </w:t>
      </w:r>
      <w:r>
        <w:rPr>
          <w:b/>
          <w:bCs/>
        </w:rPr>
        <w:t xml:space="preserve">Nouveau</w:t>
      </w:r>
      <w:r>
        <w:t xml:space="preserve">, </w:t>
      </w:r>
      <w:r>
        <w:rPr>
          <w:b/>
          <w:bCs/>
        </w:rPr>
        <w:t xml:space="preserve">Actions</w:t>
      </w:r>
      <w:r>
        <w:t xml:space="preserve"> et </w:t>
      </w:r>
      <w:r>
        <w:rPr>
          <w:b/>
          <w:bCs/>
        </w:rPr>
        <w:t xml:space="preserve">Rapports</w:t>
      </w:r>
      <w:r>
        <w:t xml:space="preserve"> quand la première part du Contenu est un headline (sinon la barre d’actions prend toute la largeur), enfin le </w:t>
      </w:r>
      <w:r>
        <w:rPr>
          <w:b/>
          <w:bCs/>
        </w:rPr>
        <w:t xml:space="preserve">Contenu</w:t>
      </w:r>
      <w:r>
        <w:t xml:space="preserve">, regroupé en </w:t>
      </w:r>
      <w:r>
        <w:rPr>
          <w:b/>
          <w:bCs/>
        </w:rPr>
        <w:t xml:space="preserve">Activités</w:t>
      </w:r>
      <w:r>
        <w:t xml:space="preserve"> (les parts qui contiennent des cues, cues larges d’abord) puis </w:t>
      </w:r>
      <w:r>
        <w:rPr>
          <w:b/>
          <w:bCs/>
        </w:rPr>
        <w:t xml:space="preserve">Assistance</w:t>
      </w:r>
      <w:r>
        <w:t xml:space="preserve"> (les autres parts), chacune dans l’ordre du code.</w:t>
      </w:r>
    </w:p>
    <w:p>
      <w:pPr>
        <w:pStyle w:val="ListParagraph"/>
        <w:numPr>
          <w:ilvl w:val="0"/>
          <w:numId w:val="2"/>
        </w:numPr>
        <w:spacing w:after="60" w:line="290"/>
      </w:pPr>
      <w:r>
        <w:t xml:space="preserve">Les liens et les actions montrent leur </w:t>
      </w:r>
      <w:r>
        <w:rPr>
          <w:b/>
          <w:bCs/>
        </w:rPr>
        <w:t xml:space="preserve">caption française réelle</w:t>
      </w:r>
      <w:r>
        <w:t xml:space="preserve">. Les parts, dont ALmaze n’a pas les données, sont des </w:t>
      </w:r>
      <w:r>
        <w:rPr>
          <w:b/>
          <w:bCs/>
        </w:rPr>
        <w:t xml:space="preserve">squelettes</w:t>
      </w:r>
      <w:r>
        <w:t xml:space="preserve"> de la forme de leur type : deux lignes pour un headline, des tuiles pour les cues (avec la caption française de chaque cue quand la page la donne), des lignes de tableau pour une </w:t>
      </w:r>
      <w:r>
        <w:rPr>
          <w:rFonts w:ascii="Cascadia Mono" w:cs="Cascadia Mono" w:eastAsia="Cascadia Mono" w:hAnsi="Cascadia Mono"/>
          <w:color w:val="1F2933"/>
          <w:sz w:val="19"/>
          <w:szCs w:val="19"/>
          <w:shd w:fill="EEF1F5" w:color="auto" w:val="clear"/>
        </w:rPr>
        <w:t xml:space="preserve">ListPart</w:t>
      </w:r>
      <w:r>
        <w:t xml:space="preserve">, des lignes champ/valeur pour une </w:t>
      </w:r>
      <w:r>
        <w:rPr>
          <w:rFonts w:ascii="Cascadia Mono" w:cs="Cascadia Mono" w:eastAsia="Cascadia Mono" w:hAnsi="Cascadia Mono"/>
          <w:color w:val="1F2933"/>
          <w:sz w:val="19"/>
          <w:szCs w:val="19"/>
          <w:shd w:fill="EEF1F5" w:color="auto" w:val="clear"/>
        </w:rPr>
        <w:t xml:space="preserve">CardPart</w:t>
      </w:r>
      <w:r>
        <w:t xml:space="preserve">, un rectangle pour un graphique ou un add-in. L’animation s’arrête si le système demande de réduire les animations.</w:t>
      </w:r>
    </w:p>
    <w:p>
      <w:pPr>
        <w:pStyle w:val="ListParagraph"/>
        <w:numPr>
          <w:ilvl w:val="0"/>
          <w:numId w:val="2"/>
        </w:numPr>
        <w:spacing w:after="60" w:line="290"/>
      </w:pPr>
      <w:r>
        <w:t xml:space="preserve">On </w:t>
      </w:r>
      <w:r>
        <w:rPr>
          <w:b/>
          <w:bCs/>
        </w:rPr>
        <w:t xml:space="preserve">glisse</w:t>
      </w:r>
      <w:r>
        <w:t xml:space="preserve"> un objet du </w:t>
      </w:r>
      <w:r>
        <w:rPr>
          <w:b/>
          <w:bCs/>
        </w:rPr>
        <w:t xml:space="preserve">catalogue</w:t>
      </w:r>
      <w:r>
        <w:t xml:space="preserve"> vers une zone : seules les zones qui l’acceptent s’illuminent, et il se place avant l’élément survolé (un headline va en tête du Contenu). On réordonne un ajout en le glissant dans sa zone ou son groupe. </w:t>
      </w:r>
      <w:r>
        <w:rPr>
          <w:b/>
          <w:bCs/>
        </w:rPr>
        <w:t xml:space="preserve">+</w:t>
      </w:r>
      <w:r>
        <w:t xml:space="preserve"> ouvre le catalogue de la zone (seuls les candidats valides, cherchés par caption française, avec le nombre de Role Centers qui les utilisent déjà) ; un clic sur une entrée l’ajoute aussi.</w:t>
      </w:r>
    </w:p>
    <w:p>
      <w:pPr>
        <w:pStyle w:val="ListParagraph"/>
        <w:numPr>
          <w:ilvl w:val="0"/>
          <w:numId w:val="2"/>
        </w:numPr>
        <w:spacing w:after="60" w:line="290"/>
      </w:pPr>
      <w:r>
        <w:t xml:space="preserve">Un </w:t>
      </w:r>
      <w:r>
        <w:rPr>
          <w:b/>
          <w:bCs/>
        </w:rPr>
        <w:t xml:space="preserve">clic</w:t>
      </w:r>
      <w:r>
        <w:t xml:space="preserve"> sur un élément ouvre ses </w:t>
      </w:r>
      <w:r>
        <w:rPr>
          <w:b/>
          <w:bCs/>
        </w:rPr>
        <w:t xml:space="preserve">propriétés</w:t>
      </w:r>
      <w:r>
        <w:t xml:space="preserve"> à droite : captions FR et EN (modifiables pour une action ou un groupe ajoutés), objet cible et son app, avertissements, </w:t>
      </w:r>
      <w:r>
        <w:rPr>
          <w:b/>
          <w:bCs/>
        </w:rPr>
        <w:t xml:space="preserve">Monter</w:t>
      </w:r>
      <w:r>
        <w:t xml:space="preserve">/</w:t>
      </w:r>
      <w:r>
        <w:rPr>
          <w:b/>
          <w:bCs/>
        </w:rPr>
        <w:t xml:space="preserve">Descendre</w:t>
      </w:r>
      <w:r>
        <w:t xml:space="preserve">, </w:t>
      </w:r>
      <w:r>
        <w:rPr>
          <w:b/>
          <w:bCs/>
        </w:rPr>
        <w:t xml:space="preserve">Retirer</w:t>
      </w:r>
      <w:r>
        <w:t xml:space="preserve"> ou </w:t>
      </w:r>
      <w:r>
        <w:rPr>
          <w:b/>
          <w:bCs/>
        </w:rPr>
        <w:t xml:space="preserve">Rétablir</w:t>
      </w:r>
      <w:r>
        <w:t xml:space="preserve"> (un élément existant), </w:t>
      </w:r>
      <w:r>
        <w:rPr>
          <w:b/>
          <w:bCs/>
        </w:rPr>
        <w:t xml:space="preserve">Supprimer l’ajout</w:t>
      </w:r>
      <w:r>
        <w:t xml:space="preserve"> (un élément ajouté). Dans une extension, un élément existant ne se déplace pas : retiré, il reste </w:t>
      </w:r>
      <w:r>
        <w:rPr>
          <w:b/>
          <w:bCs/>
        </w:rPr>
        <w:t xml:space="preserve">grisé et barré « masqué »</w:t>
      </w:r>
      <w:r>
        <w:t xml:space="preserve"> (</w:t>
      </w:r>
      <w:r>
        <w:rPr>
          <w:rFonts w:ascii="Cascadia Mono" w:cs="Cascadia Mono" w:eastAsia="Cascadia Mono" w:hAnsi="Cascadia Mono"/>
          <w:color w:val="1F2933"/>
          <w:sz w:val="19"/>
          <w:szCs w:val="19"/>
          <w:shd w:fill="EEF1F5" w:color="auto" w:val="clear"/>
        </w:rPr>
        <w:t xml:space="preserve">Visible = false</w:t>
      </w:r>
      <w:r>
        <w:t xml:space="preserve">) et se rétablit.</w:t>
      </w:r>
    </w:p>
    <w:p>
      <w:pPr>
        <w:pStyle w:val="ListParagraph"/>
        <w:numPr>
          <w:ilvl w:val="0"/>
          <w:numId w:val="2"/>
        </w:numPr>
        <w:spacing w:after="60" w:line="290"/>
      </w:pPr>
      <w:r>
        <w:t xml:space="preserve">Une zone vide est un cadre en pointillés </w:t>
      </w:r>
      <w:r>
        <w:rPr>
          <w:b/>
          <w:bCs/>
        </w:rPr>
        <w:t xml:space="preserve">Déposer ici</w:t>
      </w:r>
      <w:r>
        <w:t xml:space="preserve"> : on y dépose un élément glissé, ou on clique dessus pour ouvrir le catalogue filtré sur cette zone (la zone Rapports ne propose que des rapports). </w:t>
      </w:r>
      <w:r>
        <w:rPr>
          <w:b/>
          <w:bCs/>
        </w:rPr>
        <w:t xml:space="preserve">à développer</w:t>
      </w:r>
      <w:r>
        <w:t xml:space="preserve"> décrit en texte libre un élément qui n’existe pas encore (une nouvelle part, par exemple) : un squelette en pointillés étiqueté </w:t>
      </w:r>
      <w:r>
        <w:rPr>
          <w:b/>
          <w:bCs/>
        </w:rPr>
        <w:t xml:space="preserve">à développer</w:t>
      </w:r>
      <w:r>
        <w:t xml:space="preserve">, qui devient une ligne du ticket, pas du code. Un nouveau cue se décrit plutôt en </w:t>
      </w:r>
      <w:r>
        <w:rPr>
          <w:b/>
          <w:bCs/>
        </w:rPr>
        <w:t xml:space="preserve">cue à développer</w:t>
      </w:r>
      <w:r>
        <w:t xml:space="preserve"> (ci-dessous). Une pastille signale un élément </w:t>
      </w:r>
      <w:r>
        <w:rPr>
          <w:b/>
          <w:bCs/>
        </w:rPr>
        <w:t xml:space="preserve">introuvable</w:t>
      </w:r>
      <w:r>
        <w:t xml:space="preserve"> (</w:t>
      </w:r>
      <w:r>
        <w:rPr>
          <w:b/>
          <w:bCs/>
        </w:rPr>
        <w:t xml:space="preserve">!</w:t>
      </w:r>
      <w:r>
        <w:t xml:space="preserve">) ou un avertissement (</w:t>
      </w:r>
      <w:r>
        <w:rPr>
          <w:b/>
          <w:bCs/>
        </w:rPr>
        <w:t xml:space="preserve">⚠</w:t>
      </w:r>
      <w:r>
        <w:t xml:space="preserve">), détail au survol.</w:t>
      </w:r>
    </w:p>
    <w:p>
      <w:pPr>
        <w:pStyle w:val="ListParagraph"/>
        <w:numPr>
          <w:ilvl w:val="0"/>
          <w:numId w:val="2"/>
        </w:numPr>
        <w:spacing w:after="60" w:line="290"/>
      </w:pPr>
      <w:r>
        <w:t xml:space="preserve">La </w:t>
      </w:r>
      <w:r>
        <w:rPr>
          <w:b/>
          <w:bCs/>
        </w:rPr>
        <w:t xml:space="preserve">Vue liste</w:t>
      </w:r>
      <w:r>
        <w:t xml:space="preserve"> (bascule au-dessus du designer) présente les mêmes zones en arbre, au clavier : </w:t>
      </w:r>
      <w:r>
        <w:rPr>
          <w:b/>
          <w:bCs/>
        </w:rPr>
        <w:t xml:space="preserve">+ Ajouter</w:t>
      </w:r>
      <w:r>
        <w:t xml:space="preserve">, flèches, </w:t>
      </w:r>
      <w:r>
        <w:rPr>
          <w:b/>
          <w:bCs/>
        </w:rPr>
        <w:t xml:space="preserve">×</w:t>
      </w:r>
      <w:r>
        <w:t xml:space="preserve">, </w:t>
      </w:r>
      <w:r>
        <w:rPr>
          <w:b/>
          <w:bCs/>
        </w:rPr>
        <w:t xml:space="preserve">+ À développer</w:t>
      </w:r>
      <w:r>
        <w:t xml:space="preserve">. C’est le même brouillon : ce qui change dans l’une se voit dans l’autre.</w:t>
      </w:r>
    </w:p>
    <w:p>
      <w:pPr>
        <w:pStyle w:val="ListParagraph"/>
        <w:numPr>
          <w:ilvl w:val="0"/>
          <w:numId w:val="2"/>
        </w:numPr>
        <w:spacing w:after="60" w:line="290"/>
      </w:pPr>
      <w:r>
        <w:t xml:space="preserve">En bas, les </w:t>
      </w:r>
      <w:r>
        <w:rPr>
          <w:b/>
          <w:bCs/>
        </w:rPr>
        <w:t xml:space="preserve">avertissements</w:t>
      </w:r>
      <w:r>
        <w:t xml:space="preserve"> (headline, PageType, ID, ApplicationArea, profils qui partagent le Role Center étendu, éléments introuvables) n’empêchent rien.</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Le Contenu du Business Manager Role Center en squelettes, Informations repliées, et les propriétés de l’élément ajouté.</w:t>
      </w:r>
    </w:p>
    <w:p>
      <w:pPr>
        <w:spacing w:after="140" w:line="300"/>
      </w:pPr>
      <w:r>
        <w:t xml:space="preserve">Un </w:t>
      </w:r>
      <w:r>
        <w:rPr>
          <w:b/>
          <w:bCs/>
        </w:rPr>
        <w:t xml:space="preserve">cue à développer</w:t>
      </w:r>
      <w:r>
        <w:t xml:space="preserve"> décrit un cue qui n’existe pas encore, sans connaître les noms AL. </w:t>
      </w:r>
      <w:r>
        <w:rPr>
          <w:b/>
          <w:bCs/>
        </w:rPr>
        <w:t xml:space="preserve">+ cue</w:t>
      </w:r>
      <w:r>
        <w:t xml:space="preserve"> sur une part Activités (ou </w:t>
      </w:r>
      <w:r>
        <w:rPr>
          <w:b/>
          <w:bCs/>
        </w:rPr>
        <w:t xml:space="preserve">+ part de cues</w:t>
      </w:r>
      <w:r>
        <w:t xml:space="preserve"> dans le Contenu, </w:t>
      </w:r>
      <w:r>
        <w:rPr>
          <w:b/>
          <w:bCs/>
        </w:rPr>
        <w:t xml:space="preserve">Cue à développer</w:t>
      </w:r>
      <w:r>
        <w:t xml:space="preserve"> dans la Vue liste) l’ajoute et ouvre son formulaire à droite :</w:t>
      </w:r>
    </w:p>
    <w:p>
      <w:pPr>
        <w:pStyle w:val="ListParagraph"/>
        <w:numPr>
          <w:ilvl w:val="0"/>
          <w:numId w:val="2"/>
        </w:numPr>
        <w:spacing w:after="60" w:line="290"/>
      </w:pPr>
      <w:r>
        <w:t xml:space="preserve">en tête, les </w:t>
      </w:r>
      <w:r>
        <w:rPr>
          <w:b/>
          <w:bCs/>
        </w:rPr>
        <w:t xml:space="preserve">cues existants</w:t>
      </w:r>
      <w:r>
        <w:t xml:space="preserve"> du corpus qui ressemblent à la demande (même table d’abord, puis caption), décrits en français : « Nombre de *Commandes vente* où *Statut* = Lancé ». </w:t>
      </w:r>
      <w:r>
        <w:rPr>
          <w:b/>
          <w:bCs/>
        </w:rPr>
        <w:t xml:space="preserve">Placer sa part</w:t>
      </w:r>
      <w:r>
        <w:t xml:space="preserve"> ajoute la part entière au Contenu ; </w:t>
      </w:r>
      <w:r>
        <w:rPr>
          <w:b/>
          <w:bCs/>
        </w:rPr>
        <w:t xml:space="preserve">Reprendre dans ma part</w:t>
      </w:r>
      <w:r>
        <w:t xml:space="preserve"> préremplit le cue (valeur, table, filtres, page, largeur), à ajuster. La liste se remplit au fil de la lecture des parts du corpus ;</w:t>
      </w:r>
    </w:p>
    <w:p>
      <w:pPr>
        <w:pStyle w:val="ListParagraph"/>
        <w:numPr>
          <w:ilvl w:val="0"/>
          <w:numId w:val="2"/>
        </w:numPr>
        <w:spacing w:after="60" w:line="290"/>
      </w:pPr>
      <w:r>
        <w:t xml:space="preserve">la </w:t>
      </w:r>
      <w:r>
        <w:rPr>
          <w:b/>
          <w:bCs/>
        </w:rPr>
        <w:t xml:space="preserve">caption</w:t>
      </w:r>
      <w:r>
        <w:t xml:space="preserve">, la </w:t>
      </w:r>
      <w:r>
        <w:rPr>
          <w:b/>
          <w:bCs/>
        </w:rPr>
        <w:t xml:space="preserve">valeur</w:t>
      </w:r>
      <w:r>
        <w:t xml:space="preserve"> (nombre d’enregistrements, somme d’un champ, ou calculée par code, décrite en texte), la </w:t>
      </w:r>
      <w:r>
        <w:rPr>
          <w:b/>
          <w:bCs/>
        </w:rPr>
        <w:t xml:space="preserve">table</w:t>
      </w:r>
      <w:r>
        <w:t xml:space="preserve"> cherchée par sa caption française (ou saisie libre si elle n’existe pas encore) ;</w:t>
      </w:r>
    </w:p>
    <w:p>
      <w:pPr>
        <w:pStyle w:val="ListParagraph"/>
        <w:numPr>
          <w:ilvl w:val="0"/>
          <w:numId w:val="2"/>
        </w:numPr>
        <w:spacing w:after="60" w:line="290"/>
      </w:pPr>
      <w:r>
        <w:t xml:space="preserve">les </w:t>
      </w:r>
      <w:r>
        <w:rPr>
          <w:b/>
          <w:bCs/>
        </w:rPr>
        <w:t xml:space="preserve">filtres</w:t>
      </w:r>
      <w:r>
        <w:t xml:space="preserve">, une condition par champ, combinées par ET : égal à, parmi (valeurs d’enum proposées), de… à…, non vide, ou un jeton relatif (date de travail, avant ou après aujourd’hui, aujourd’hui, utilisateur courant). Un OU entre champs se décrit en « calculé par code » ;</w:t>
      </w:r>
    </w:p>
    <w:p>
      <w:pPr>
        <w:pStyle w:val="ListParagraph"/>
        <w:numPr>
          <w:ilvl w:val="0"/>
          <w:numId w:val="2"/>
        </w:numPr>
        <w:spacing w:after="60" w:line="290"/>
      </w:pPr>
      <w:r>
        <w:t xml:space="preserve">la </w:t>
      </w:r>
      <w:r>
        <w:rPr>
          <w:b/>
          <w:bCs/>
        </w:rPr>
        <w:t xml:space="preserve">page</w:t>
      </w:r>
      <w:r>
        <w:t xml:space="preserve"> ouverte au clic (celle de la table proposée d’abord), le </w:t>
      </w:r>
      <w:r>
        <w:rPr>
          <w:b/>
          <w:bCs/>
        </w:rPr>
        <w:t xml:space="preserve">groupe</w:t>
      </w:r>
      <w:r>
        <w:t xml:space="preserve"> et la </w:t>
      </w:r>
      <w:r>
        <w:rPr>
          <w:b/>
          <w:bCs/>
        </w:rPr>
        <w:t xml:space="preserve">largeur</w:t>
      </w:r>
      <w:r>
        <w:t xml:space="preserve">, les </w:t>
      </w:r>
      <w:r>
        <w:rPr>
          <w:b/>
          <w:bCs/>
        </w:rPr>
        <w:t xml:space="preserve">seuils</w:t>
      </w:r>
      <w:r>
        <w:t xml:space="preserve"> (deux valeurs et un sens), que l’utilisateur peut ajuster ensuite dans *Cue Setup* ; la </w:t>
      </w:r>
      <w:r>
        <w:rPr>
          <w:b/>
          <w:bCs/>
        </w:rPr>
        <w:t xml:space="preserve">part hôte</w:t>
      </w:r>
      <w:r>
        <w:t xml:space="preserve">, placée ou nouvelle.</w:t>
      </w:r>
    </w:p>
    <w:p>
      <w:pPr>
        <w:spacing w:after="140" w:line="300"/>
      </w:pPr>
      <w:r>
        <w:t xml:space="preserve">Le cue est une </w:t>
      </w:r>
      <w:r>
        <w:rPr>
          <w:b/>
          <w:bCs/>
        </w:rPr>
        <w:t xml:space="preserve">tuile</w:t>
      </w:r>
      <w:r>
        <w:t xml:space="preserve"> en pointillés de sa part, valeur « — ». Une pastille signale ce qui reste </w:t>
      </w:r>
      <w:r>
        <w:rPr>
          <w:b/>
          <w:bCs/>
        </w:rPr>
        <w:t xml:space="preserve">à préciser</w:t>
      </w:r>
      <w:r>
        <w:t xml:space="preserve"> (caption, valeur, table, filtres) sans rien bloquer, ou une part hôte retirée. Dans le ticket, la section </w:t>
      </w:r>
      <w:r>
        <w:rPr>
          <w:b/>
          <w:bCs/>
        </w:rPr>
        <w:t xml:space="preserve">Cues à développer</w:t>
      </w:r>
      <w:r>
        <w:t xml:space="preserve"> donne un tableau par part hôte (une nouvelle part est </w:t>
      </w:r>
      <w:r>
        <w:rPr>
          <w:b/>
          <w:bCs/>
        </w:rPr>
        <w:t xml:space="preserve">à créer</w:t>
      </w:r>
      <w:r>
        <w:t xml:space="preserve">), captions françaises et noms AL côte à côte.</w:t>
      </w:r>
    </w:p>
    <w:p>
      <w:pPr>
        <w:spacing w:after="140" w:line="300"/>
      </w:pPr>
      <w:r>
        <w:rPr>
          <w:b/>
          <w:bCs/>
        </w:rPr>
        <w:t xml:space="preserve">Fichiers AL…</w:t>
      </w:r>
      <w:r>
        <w:t xml:space="preserve"> écrit dans le dossier choisi la page RoleCenter (ou l’extension de page), le profil et les unités XLIFF </w:t>
      </w:r>
      <w:r>
        <w:rPr>
          <w:rFonts w:ascii="Cascadia Mono" w:cs="Cascadia Mono" w:eastAsia="Cascadia Mono" w:hAnsi="Cascadia Mono"/>
          <w:color w:val="1F2933"/>
          <w:sz w:val="19"/>
          <w:szCs w:val="19"/>
          <w:shd w:fill="EEF1F5" w:color="auto" w:val="clear"/>
        </w:rPr>
        <w:t xml:space="preserve">fr-FR</w:t>
      </w:r>
      <w:r>
        <w:t xml:space="preserve"> des captions. </w:t>
      </w:r>
      <w:r>
        <w:rPr>
          <w:b/>
          <w:bCs/>
        </w:rPr>
        <w:t xml:space="preserve">Rédiger le ticket</w:t>
      </w:r>
      <w:r>
        <w:t xml:space="preserve"> (le bouton plein, marqué du logo GitHub) crée (puis </w:t>
      </w:r>
      <w:r>
        <w:rPr>
          <w:b/>
          <w:bCs/>
        </w:rPr>
        <w:t xml:space="preserve">Mettre à jour le ticket</w:t>
      </w:r>
      <w:r>
        <w:t xml:space="preserve"> met à jour) un brouillon de ticket lié, avec la composition, les éléments et les cues à développer, les traductions anglaises à fournir et le squelette en blocs de code ; on le publie depuis le panneau Ticket.</w:t>
      </w:r>
    </w:p>
    <w:p>
      <w:pPr>
        <w:spacing w:after="140" w:line="300"/>
      </w:pPr>
      <w:r>
        <w:t xml:space="preserve">L’option </w:t>
      </w:r>
      <w:r>
        <w:rPr>
          <w:b/>
          <w:bCs/>
        </w:rPr>
        <w:t xml:space="preserve">Permissions du profil</w:t>
      </w:r>
      <w:r>
        <w:t xml:space="preserve"> (case en bas, désactivée par défaut) assemble le </w:t>
      </w:r>
      <w:r>
        <w:rPr>
          <w:b/>
          <w:bCs/>
        </w:rPr>
        <w:t xml:space="preserve">jeu de permissions requis</w:t>
      </w:r>
      <w:r>
        <w:t xml:space="preserve"> par le Role Center : chaque page de part, page de navigation et cible d’action (page, report, codeunit) du brouillon est lancée comme </w:t>
      </w:r>
      <w:r>
        <w:rPr>
          <w:b/>
          <w:bCs/>
        </w:rPr>
        <w:t xml:space="preserve">point d’entrée</w:t>
      </w:r>
      <w:r>
        <w:t xml:space="preserve"> (ses triggers automatiques, ses sous-pages et leurs appelés, comme dans la hiérarchie d’appels), avec l’Execute sur ces objets et sur le Role Center. Le résultat est un objet </w:t>
      </w:r>
      <w:r>
        <w:rPr>
          <w:rFonts w:ascii="Cascadia Mono" w:cs="Cascadia Mono" w:eastAsia="Cascadia Mono" w:hAnsi="Cascadia Mono"/>
          <w:color w:val="1F2933"/>
          <w:sz w:val="19"/>
          <w:szCs w:val="19"/>
          <w:shd w:fill="EEF1F5" w:color="auto" w:val="clear"/>
        </w:rPr>
        <w:t xml:space="preserve">permissionset</w:t>
      </w:r>
      <w:r>
        <w:t xml:space="preserve"> nommé d’après le profil, avec un ID proposé dans les </w:t>
      </w:r>
      <w:r>
        <w:rPr>
          <w:rFonts w:ascii="Cascadia Mono" w:cs="Cascadia Mono" w:eastAsia="Cascadia Mono" w:hAnsi="Cascadia Mono"/>
          <w:color w:val="1F2933"/>
          <w:sz w:val="19"/>
          <w:szCs w:val="19"/>
          <w:shd w:fill="EEF1F5" w:color="auto" w:val="clear"/>
        </w:rPr>
        <w:t xml:space="preserve">idRanges</w:t>
      </w:r>
      <w:r>
        <w:t xml:space="preserve"> de l’app cible : il est enregistré avec les autres fichiers AL et joint, en bloc de code, au ticket, avec la liste de ses </w:t>
      </w:r>
      <w:r>
        <w:rPr>
          <w:b/>
          <w:bCs/>
        </w:rPr>
        <w:t xml:space="preserve">angles morts</w:t>
      </w:r>
      <w:r>
        <w:t xml:space="preserve">. Les éléments </w:t>
      </w:r>
      <w:r>
        <w:rPr>
          <w:b/>
          <w:bCs/>
        </w:rPr>
        <w:t xml:space="preserve">à développer</w:t>
      </w:r>
      <w:r>
        <w:t xml:space="preserve"> et les éléments </w:t>
      </w:r>
      <w:r>
        <w:rPr>
          <w:b/>
          <w:bCs/>
        </w:rPr>
        <w:t xml:space="preserve">introuvables</w:t>
      </w:r>
      <w:r>
        <w:t xml:space="preserve"> ne sont pas analysés : ils figurent parmi les angles morts. Les actions des pages lancées ne sont pas parcourues, ce que le ticket rappelle.</w:t>
      </w:r>
    </w:p>
    <w:p>
      <w:pPr>
        <w:pBdr>
          <w:left w:val="single" w:color="0F6CBD" w:sz="18" w:space="8"/>
        </w:pBdr>
        <w:shd w:fill="E8F0FE" w:color="auto" w:val="clear"/>
        <w:spacing w:before="80" w:after="160" w:line="290"/>
        <w:ind w:left="200"/>
      </w:pPr>
      <w:r>
        <w:t xml:space="preserve">Une extension de page modifie le Role Center pour </w:t>
      </w:r>
      <w:r>
        <w:rPr>
          <w:b/>
          <w:bCs/>
        </w:rPr>
        <w:t xml:space="preserve">tous</w:t>
      </w:r>
      <w:r>
        <w:t xml:space="preserve"> les profils qui l’utilisent : l’éditeur les nomme dans un avertissement.</w:t>
      </w:r>
    </w:p>
    <w:p>
      <w:pPr>
        <w:pStyle w:val="Heading1"/>
        <w:pageBreakBefore/>
      </w:pPr>
      <w:bookmarkStart w:name="rapport" w:id="1"/>
      <w:r>
        <w:t xml:space="preserve">18. Le rapport de chargement</w:t>
      </w:r>
      <w:bookmarkEnd w:id="1"/>
    </w:p>
    <w:p>
      <w:pPr>
        <w:spacing w:after="140" w:line="300"/>
      </w:pPr>
      <w:r>
        <w:t xml:space="preserve">L’icône du rapport s’ouvre en trois onglets :</w:t>
      </w:r>
    </w:p>
    <w:p>
      <w:pPr>
        <w:pStyle w:val="ListParagraph"/>
        <w:numPr>
          <w:ilvl w:val="0"/>
          <w:numId w:val="2"/>
        </w:numPr>
        <w:spacing w:after="60" w:line="290"/>
      </w:pPr>
      <w:r>
        <w:rPr>
          <w:b/>
          <w:bCs/>
        </w:rPr>
        <w:t xml:space="preserve">Problèmes</w:t>
      </w:r>
      <w:r>
        <w:t xml:space="preserve"> : dépendances manquantes (avec </w:t>
      </w:r>
      <w:r>
        <w:rPr>
          <w:b/>
          <w:bCs/>
        </w:rPr>
        <w:t xml:space="preserve">Résoudre</w:t>
      </w:r>
      <w:r>
        <w:t xml:space="preserve">, qui les cherche dans les dépôts GitHub puis dans les flux Microsoft), sources mal analysées, packages illisibles ;</w:t>
      </w:r>
    </w:p>
    <w:p>
      <w:pPr>
        <w:pStyle w:val="ListParagraph"/>
        <w:numPr>
          <w:ilvl w:val="0"/>
          <w:numId w:val="2"/>
        </w:numPr>
        <w:spacing w:after="60" w:line="290"/>
      </w:pPr>
      <w:r>
        <w:rPr>
          <w:b/>
          <w:bCs/>
        </w:rPr>
        <w:t xml:space="preserve">Dépendances</w:t>
      </w:r>
      <w:r>
        <w:t xml:space="preserve"> : les dépendances résolues et leur origine ;</w:t>
      </w:r>
    </w:p>
    <w:p>
      <w:pPr>
        <w:pStyle w:val="ListParagraph"/>
        <w:numPr>
          <w:ilvl w:val="0"/>
          <w:numId w:val="2"/>
        </w:numPr>
        <w:spacing w:after="60" w:line="290"/>
      </w:pPr>
      <w:r>
        <w:rPr>
          <w:b/>
          <w:bCs/>
        </w:rPr>
        <w:t xml:space="preserve">Écartés</w:t>
      </w:r>
      <w:r>
        <w:t xml:space="preserve"> : pour information, les packages runtime ignorés et les doublons écartés.</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Le rapport de chargement, onglet Dépendances.</w:t>
      </w:r>
    </w:p>
    <w:p>
      <w:pPr>
        <w:pStyle w:val="Heading1"/>
        <w:pageBreakBefore/>
      </w:pPr>
      <w:bookmarkStart w:name="parametres" w:id="1"/>
      <w:r>
        <w:t xml:space="preserve">19. Les paramètres</w:t>
      </w:r>
      <w:bookmarkEnd w:id="1"/>
    </w:p>
    <w:p>
      <w:pPr>
        <w:spacing w:after="140" w:line="300"/>
      </w:pPr>
      <w:r>
        <w:t xml:space="preserve">La roue dentée ouvre les paramètres, en cinq onglets.</w:t>
      </w:r>
    </w:p>
    <w:p>
      <w:pPr>
        <w:spacing w:after="140" w:line="300"/>
      </w:pPr>
      <w:r>
        <w:rPr>
          <w:b/>
          <w:bCs/>
        </w:rPr>
        <w:t xml:space="preserve">Apparence</w:t>
      </w:r>
      <w:r>
        <w:t xml:space="preserve"> : trois thèmes (Classique, Sombre, Sobre), deux densités (Confortable, Compacte : police, contrôles et lignes plus serrés) et la </w:t>
      </w:r>
      <w:r>
        <w:rPr>
          <w:b/>
          <w:bCs/>
        </w:rPr>
        <w:t xml:space="preserve">Vue fonctionnelle</w:t>
      </w:r>
      <w:r>
        <w:t xml:space="preserve"> (voir ce chapitre).</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Thèmes et densité.</w:t>
      </w:r>
    </w:p>
    <w:p>
      <w:pPr>
        <w:spacing w:after="140" w:line="300"/>
      </w:pPr>
      <w:r>
        <w:rPr>
          <w:b/>
          <w:bCs/>
        </w:rPr>
        <w:t xml:space="preserve">Sources Microsoft</w:t>
      </w:r>
      <w:r>
        <w:t xml:space="preserve"> : les applications Microsoft du corpus et l’état de leurs sources. Sans sources, ALmaze ne cherche pas d’utilisations dans leur code : </w:t>
      </w:r>
      <w:r>
        <w:rPr>
          <w:b/>
          <w:bCs/>
        </w:rPr>
        <w:t xml:space="preserve">Charger les sources</w:t>
      </w:r>
      <w:r>
        <w:t xml:space="preserve"> les télécharge depuis le flux Microsoft, et </w:t>
      </w:r>
      <w:r>
        <w:rPr>
          <w:b/>
          <w:bCs/>
        </w:rPr>
        <w:t xml:space="preserve">toujours</w:t>
      </w:r>
      <w:r>
        <w:t xml:space="preserve"> les télécharge à chaque ouverture.</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Les sources des applications Microsoft.</w:t>
      </w:r>
    </w:p>
    <w:p>
      <w:pPr>
        <w:spacing w:after="140" w:line="300"/>
      </w:pPr>
      <w:r>
        <w:rPr>
          <w:b/>
          <w:bCs/>
        </w:rPr>
        <w:t xml:space="preserve">GitHub</w:t>
      </w:r>
      <w:r>
        <w:t xml:space="preserve"> : le compte connecté, la connexion et la déconnexion.</w:t>
      </w:r>
    </w:p>
    <w:p>
      <w:pPr>
        <w:spacing w:after="140" w:line="300"/>
      </w:pPr>
      <w:r>
        <w:rPr>
          <w:b/>
          <w:bCs/>
        </w:rPr>
        <w:t xml:space="preserve">Corpus</w:t>
      </w:r>
      <w:r>
        <w:t xml:space="preserve"> : </w:t>
      </w:r>
      <w:r>
        <w:rPr>
          <w:b/>
          <w:bCs/>
        </w:rPr>
        <w:t xml:space="preserve">Réindexer tout</w:t>
      </w:r>
      <w:r>
        <w:t xml:space="preserve"> (ignorer l’index enregistré et tout réanalyser), </w:t>
      </w:r>
      <w:r>
        <w:rPr>
          <w:b/>
          <w:bCs/>
        </w:rPr>
        <w:t xml:space="preserve">Langues de traduction</w:t>
      </w:r>
      <w:r>
        <w:t xml:space="preserve"> (les langues, </w:t>
      </w:r>
      <w:r>
        <w:rPr>
          <w:rFonts w:ascii="Cascadia Mono" w:cs="Cascadia Mono" w:eastAsia="Cascadia Mono" w:hAnsi="Cascadia Mono"/>
          <w:color w:val="1F2933"/>
          <w:sz w:val="19"/>
          <w:szCs w:val="19"/>
          <w:shd w:fill="EEF1F5" w:color="auto" w:val="clear"/>
        </w:rPr>
        <w:t xml:space="preserve">fr-FR</w:t>
      </w:r>
      <w:r>
        <w:t xml:space="preserve"> par défaut, dont la recherche rapide trouve les textes traduits ; codes séparés par des virgules, par exemple </w:t>
      </w:r>
      <w:r>
        <w:rPr>
          <w:rFonts w:ascii="Cascadia Mono" w:cs="Cascadia Mono" w:eastAsia="Cascadia Mono" w:hAnsi="Cascadia Mono"/>
          <w:color w:val="1F2933"/>
          <w:sz w:val="19"/>
          <w:szCs w:val="19"/>
          <w:shd w:fill="EEF1F5" w:color="auto" w:val="clear"/>
        </w:rPr>
        <w:t xml:space="preserve">fr-FR, nl-BE</w:t>
      </w:r>
      <w:r>
        <w:t xml:space="preserve"> ; l’index de recherche du corpus ouvert est reconstruit à l’enregistrement) et </w:t>
      </w:r>
      <w:r>
        <w:rPr>
          <w:b/>
          <w:bCs/>
        </w:rPr>
        <w:t xml:space="preserve">Chercher de nouveau les dépendances refusées</w:t>
      </w:r>
      <w:r>
        <w:t xml:space="preserve">.</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L’onglet Corpus.</w:t>
      </w:r>
    </w:p>
    <w:p>
      <w:pPr>
        <w:spacing w:after="140" w:line="300"/>
      </w:pPr>
      <w:r>
        <w:rPr>
          <w:b/>
          <w:bCs/>
        </w:rPr>
        <w:t xml:space="preserve">Mises à jour</w:t>
      </w:r>
      <w:r>
        <w:t xml:space="preserve"> : la version installée, la recherche au lancement et la recherche à la demande.</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L’onglet Mises à jour.</w:t>
      </w:r>
    </w:p>
    <w:p>
      <w:pPr>
        <w:keepNext/>
        <w:spacing w:before="120" w:after="60"/>
        <w:jc w:val="center"/>
      </w:pPr>
      <w:r>
        <w:drawing>
          <wp:inline distT="0" distB="0" distL="0" distR="0">
            <wp:extent cx="61150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15050" cy="3724275"/>
                    </a:xfrm>
                    <a:prstGeom prst="rect">
                      <a:avLst/>
                    </a:prstGeom>
                  </pic:spPr>
                </pic:pic>
              </a:graphicData>
            </a:graphic>
          </wp:inline>
        </w:drawing>
      </w:r>
    </w:p>
    <w:p>
      <w:pPr>
        <w:spacing w:after="220"/>
        <w:jc w:val="center"/>
      </w:pPr>
      <w:r>
        <w:rPr>
          <w:i/>
          <w:iCs/>
          <w:color w:val="5B6573"/>
          <w:sz w:val="18"/>
          <w:szCs w:val="18"/>
        </w:rPr>
        <w:t xml:space="preserve">Le thème Sombre, avec le diagramme de portée.</w:t>
      </w:r>
    </w:p>
    <w:p>
      <w:pPr>
        <w:pStyle w:val="Heading1"/>
        <w:pageBreakBefore/>
      </w:pPr>
      <w:bookmarkStart w:name="fenetres" w:id="1"/>
      <w:r>
        <w:t xml:space="preserve">20. Fenêtres et disposition</w:t>
      </w:r>
      <w:bookmarkEnd w:id="1"/>
    </w:p>
    <w:p>
      <w:pPr>
        <w:pStyle w:val="ListParagraph"/>
        <w:numPr>
          <w:ilvl w:val="0"/>
          <w:numId w:val="2"/>
        </w:numPr>
        <w:spacing w:after="60" w:line="290"/>
      </w:pPr>
      <w:r>
        <w:t xml:space="preserve">Les séparateurs entre l’explorateur, le code et le panneau du bas se déplacent à la souris ; un double-clic rétablit la taille par défaut.</w:t>
      </w:r>
    </w:p>
    <w:p>
      <w:pPr>
        <w:pStyle w:val="ListParagraph"/>
        <w:numPr>
          <w:ilvl w:val="0"/>
          <w:numId w:val="2"/>
        </w:numPr>
        <w:spacing w:after="60" w:line="290"/>
      </w:pPr>
      <w:r>
        <w:t xml:space="preserve">Le bouton </w:t>
      </w:r>
      <w:r>
        <w:rPr>
          <w:b/>
          <w:bCs/>
        </w:rPr>
        <w:t xml:space="preserve">Détacher</w:t>
      </w:r>
      <w:r>
        <w:t xml:space="preserve">, en haut à droite de l’explorateur, du code et de chaque panneau, ouvre la zone dans une fenêtre séparée, par exemple sur un second écran. </w:t>
      </w:r>
      <w:r>
        <w:rPr>
          <w:b/>
          <w:bCs/>
        </w:rPr>
        <w:t xml:space="preserve">Rattacher</w:t>
      </w:r>
      <w:r>
        <w:t xml:space="preserve"> la remet dans la fenêtre principale.</w:t>
      </w:r>
    </w:p>
    <w:p>
      <w:pPr>
        <w:pStyle w:val="ListParagraph"/>
        <w:numPr>
          <w:ilvl w:val="0"/>
          <w:numId w:val="2"/>
        </w:numPr>
        <w:spacing w:after="60" w:line="290"/>
      </w:pPr>
      <w:r>
        <w:t xml:space="preserve">Tous les panneaux du bas (utilisations, opérations de base, hiérarchie, portée, événements, jeu de permissions, ticket) ont le même en-tête : titre et cible, compteur, bascule d’affichage éventuelle, actions (</w:t>
      </w:r>
      <w:r>
        <w:rPr>
          <w:b/>
          <w:bCs/>
        </w:rPr>
        <w:t xml:space="preserve">Exporter…</w:t>
      </w:r>
      <w:r>
        <w:t xml:space="preserve">…), puis </w:t>
      </w:r>
      <w:r>
        <w:rPr>
          <w:b/>
          <w:bCs/>
        </w:rPr>
        <w:t xml:space="preserve">Détacher</w:t>
      </w:r>
      <w:r>
        <w:t xml:space="preserve"> et </w:t>
      </w:r>
      <w:r>
        <w:rPr>
          <w:b/>
          <w:bCs/>
        </w:rPr>
        <w:t xml:space="preserve">Fermer</w:t>
      </w:r>
      <w:r>
        <w:t xml:space="preserve">, toujours à droite. Une barre de filtres le suit : cases </w:t>
      </w:r>
      <w:r>
        <w:rPr>
          <w:b/>
          <w:bCs/>
        </w:rPr>
        <w:t xml:space="preserve">Inclure :</w:t>
      </w:r>
      <w:r>
        <w:t xml:space="preserve"> avec leur compteur, choix des apps à droite.</w:t>
      </w:r>
    </w:p>
    <w:p>
      <w:pPr>
        <w:pStyle w:val="ListParagraph"/>
        <w:numPr>
          <w:ilvl w:val="0"/>
          <w:numId w:val="2"/>
        </w:numPr>
        <w:spacing w:after="60" w:line="290"/>
      </w:pPr>
      <w:r>
        <w:t xml:space="preserve">Quand plusieurs panneaux sont ouverts en bas, leurs onglets s’affichent au-dessus de l’en-tête pour passer de l’un à l’autre. Le panneau Ticket reste dans la fenêtre principale.</w:t>
      </w:r>
    </w:p>
    <w:p>
      <w:pPr>
        <w:pStyle w:val="ListParagraph"/>
        <w:numPr>
          <w:ilvl w:val="0"/>
          <w:numId w:val="2"/>
        </w:numPr>
        <w:spacing w:after="60" w:line="290"/>
      </w:pPr>
      <w:r>
        <w:t xml:space="preserve">Les </w:t>
      </w:r>
      <w:r>
        <w:rPr>
          <w:b/>
          <w:bCs/>
        </w:rPr>
        <w:t xml:space="preserve">dialogues</w:t>
      </w:r>
      <w:r>
        <w:t xml:space="preserve"> (paramètres, rapport de chargement, export, publication d’un ticket, éditeur de Role Center, recherche rapide…) se ferment tous de la même façon : la croix en haut à droite, </w:t>
      </w:r>
      <w:r>
        <w:rPr>
          <w:rFonts w:ascii="Cascadia Mono" w:cs="Cascadia Mono" w:eastAsia="Cascadia Mono" w:hAnsi="Cascadia Mono"/>
          <w:b/>
          <w:bCs/>
          <w:color w:val="1F2933"/>
          <w:sz w:val="18"/>
          <w:szCs w:val="18"/>
          <w:shd w:fill="E3E7ED" w:color="auto" w:val="clear"/>
        </w:rPr>
        <w:t xml:space="preserve"> Échap </w:t>
      </w:r>
      <w:r>
        <w:t xml:space="preserve"> ou un clic à côté (sauf si une saisie serait perdue). Le focus reste dans le dialogue tant qu’il est ouvert (</w:t>
      </w:r>
      <w:r>
        <w:rPr>
          <w:rFonts w:ascii="Cascadia Mono" w:cs="Cascadia Mono" w:eastAsia="Cascadia Mono" w:hAnsi="Cascadia Mono"/>
          <w:b/>
          <w:bCs/>
          <w:color w:val="1F2933"/>
          <w:sz w:val="18"/>
          <w:szCs w:val="18"/>
          <w:shd w:fill="E3E7ED" w:color="auto" w:val="clear"/>
        </w:rPr>
        <w:t xml:space="preserve"> Tab </w:t>
      </w:r>
      <w:r>
        <w:t xml:space="preserve"> y circule), puis revient là où il était. L’action principale est le bouton plein, à droite du pied, après </w:t>
      </w:r>
      <w:r>
        <w:rPr>
          <w:b/>
          <w:bCs/>
        </w:rPr>
        <w:t xml:space="preserve">Annuler</w:t>
      </w:r>
      <w:r>
        <w:t xml:space="preserve">.</w:t>
      </w:r>
    </w:p>
    <w:p>
      <w:pPr>
        <w:pStyle w:val="ListParagraph"/>
        <w:numPr>
          <w:ilvl w:val="0"/>
          <w:numId w:val="2"/>
        </w:numPr>
        <w:spacing w:after="60" w:line="290"/>
      </w:pPr>
      <w:r>
        <w:t xml:space="preserve">Les </w:t>
      </w:r>
      <w:r>
        <w:rPr>
          <w:b/>
          <w:bCs/>
        </w:rPr>
        <w:t xml:space="preserve">notifications</w:t>
      </w:r>
      <w:r>
        <w:t xml:space="preserve"> s’empilent en bas à droite de la fenêtre, sans se chevaucher : avancement du chargement et de l’indexation (puis « Index prêt », qui disparaît seul), échec de l’ouverture dans VS Code, mise à jour disponible. Une notification se ferme par sa croix.</w:t>
      </w:r>
    </w:p>
    <w:p>
      <w:pPr>
        <w:pStyle w:val="Heading1"/>
        <w:pageBreakBefore/>
      </w:pPr>
      <w:bookmarkStart w:name="mcp" w:id="1"/>
      <w:r>
        <w:t xml:space="preserve">21. Pour les assistants IA : le serveur MCP</w:t>
      </w:r>
      <w:bookmarkEnd w:id="1"/>
    </w:p>
    <w:p>
      <w:pPr>
        <w:spacing w:after="140" w:line="300"/>
      </w:pPr>
      <w:r>
        <w:t xml:space="preserve">ALmaze installe aussi </w:t>
      </w:r>
      <w:r>
        <w:rPr>
          <w:rFonts w:ascii="Cascadia Mono" w:cs="Cascadia Mono" w:eastAsia="Cascadia Mono" w:hAnsi="Cascadia Mono"/>
          <w:color w:val="1F2933"/>
          <w:sz w:val="19"/>
          <w:szCs w:val="19"/>
          <w:shd w:fill="EEF1F5" w:color="auto" w:val="clear"/>
        </w:rPr>
        <w:t xml:space="preserve">alob-mcp.exe</w:t>
      </w:r>
      <w:r>
        <w:t xml:space="preserve">, un serveur MCP qui donne aux assistants (Claude Code, GitHub Copilot, Cursor) les mêmes recherches que l’application : objets, sources, utilisations, opérations, événements, appelants, portée, écritures. Il réutilise l’index des corpus déjà ouverts.</w:t>
      </w:r>
    </w:p>
    <w:p>
      <w:pPr>
        <w:spacing w:after="140" w:line="300"/>
      </w:pPr>
      <w:r>
        <w:t xml:space="preserve">Exemple pour Claude Code :</w:t>
      </w:r>
    </w:p>
    <w:p>
      <w:pPr>
        <w:shd w:fill="F3F5F8" w:color="auto" w:val="clear"/>
        <w:spacing w:after="160"/>
      </w:pPr>
      <w:r>
        <w:rPr>
          <w:rFonts w:ascii="Cascadia Mono" w:cs="Cascadia Mono" w:eastAsia="Cascadia Mono" w:hAnsi="Cascadia Mono"/>
          <w:sz w:val="18"/>
          <w:szCs w:val="18"/>
        </w:rPr>
        <w:t xml:space="preserve">claude mcp add alob -- "%LOCALAPPDATA%\ALmaze\alob-mcp.exe" --corpus C:\chemin\du\corpus</w:t>
      </w:r>
    </w:p>
    <w:p>
      <w:pPr>
        <w:pStyle w:val="Heading1"/>
        <w:pageBreakBefore/>
      </w:pPr>
      <w:bookmarkStart w:name="raccourcis" w:id="1"/>
      <w:r>
        <w:t xml:space="preserve">22. Raccourcis clavier</w:t>
      </w:r>
      <w:bookmarkEnd w:id="1"/>
    </w:p>
    <w:tbl>
      <w:tblPr>
        <w:tblW w:type="dxa" w:w="9638"/>
        <w:tblBorders>
          <w:top w:val="single" w:color="D9DEE5" w:sz="4"/>
          <w:left w:val="single" w:color="D9DEE5" w:sz="4"/>
          <w:bottom w:val="single" w:color="D9DEE5" w:sz="4"/>
          <w:right w:val="single" w:color="D9DEE5" w:sz="4"/>
          <w:insideH w:val="single" w:color="D9DEE5" w:sz="4"/>
          <w:insideV w:val="single" w:color="D9DEE5" w:sz="4"/>
        </w:tblBorders>
      </w:tblPr>
      <w:tblGrid>
        <w:gridCol w:w="3000"/>
        <w:gridCol w:w="6638"/>
      </w:tblGrid>
      <w:tr>
        <w:trPr>
          <w:tblHeader/>
        </w:trPr>
        <w:tc>
          <w:tcPr>
            <w:tcW w:type="dxa" w:w="3000"/>
            <w:shd w:fill="DBE8FB" w:color="auto" w:val="clear"/>
            <w:tcMar>
              <w:top w:type="dxa" w:w="60"/>
              <w:left w:type="dxa" w:w="100"/>
              <w:bottom w:type="dxa" w:w="60"/>
              <w:right w:type="dxa" w:w="100"/>
            </w:tcMar>
          </w:tcPr>
          <w:p>
            <w:pPr>
              <w:spacing w:after="0"/>
            </w:pPr>
            <w:r>
              <w:rPr>
                <w:b/>
                <w:bCs/>
              </w:rPr>
              <w:t xml:space="preserve">Raccourci</w:t>
            </w:r>
          </w:p>
        </w:tc>
        <w:tc>
          <w:tcPr>
            <w:tcW w:type="dxa" w:w="6638"/>
            <w:shd w:fill="DBE8FB" w:color="auto" w:val="clear"/>
            <w:tcMar>
              <w:top w:type="dxa" w:w="60"/>
              <w:left w:type="dxa" w:w="100"/>
              <w:bottom w:type="dxa" w:w="60"/>
              <w:right w:type="dxa" w:w="100"/>
            </w:tcMar>
          </w:tcPr>
          <w:p>
            <w:pPr>
              <w:spacing w:after="0"/>
            </w:pPr>
            <w:r>
              <w:rPr>
                <w:b/>
                <w:bCs/>
              </w:rPr>
              <w:t xml:space="preserve">Action</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Ctrl+P </w:t>
            </w:r>
          </w:p>
        </w:tc>
        <w:tc>
          <w:tcPr>
            <w:tcW w:type="dxa" w:w="6638"/>
            <w:tcMar>
              <w:top w:type="dxa" w:w="60"/>
              <w:left w:type="dxa" w:w="100"/>
              <w:bottom w:type="dxa" w:w="60"/>
              <w:right w:type="dxa" w:w="100"/>
            </w:tcMar>
          </w:tcPr>
          <w:p>
            <w:pPr>
              <w:spacing w:after="0"/>
            </w:pPr>
            <w:r>
              <w:t xml:space="preserve">Recherche rapide</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Ctrl+Alt+V </w:t>
            </w:r>
          </w:p>
        </w:tc>
        <w:tc>
          <w:tcPr>
            <w:tcW w:type="dxa" w:w="6638"/>
            <w:tcMar>
              <w:top w:type="dxa" w:w="60"/>
              <w:left w:type="dxa" w:w="100"/>
              <w:bottom w:type="dxa" w:w="60"/>
              <w:right w:type="dxa" w:w="100"/>
            </w:tcMar>
          </w:tcPr>
          <w:p>
            <w:pPr>
              <w:spacing w:after="0"/>
            </w:pPr>
            <w:r>
              <w:t xml:space="preserve">Vue fonctionnelle / vue développeur</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Entrée </w:t>
            </w:r>
            <w:r>
              <w:t xml:space="preserve"> / double-clic</w:t>
            </w:r>
          </w:p>
        </w:tc>
        <w:tc>
          <w:tcPr>
            <w:tcW w:type="dxa" w:w="6638"/>
            <w:tcMar>
              <w:top w:type="dxa" w:w="60"/>
              <w:left w:type="dxa" w:w="100"/>
              <w:bottom w:type="dxa" w:w="60"/>
              <w:right w:type="dxa" w:w="100"/>
            </w:tcMar>
          </w:tcPr>
          <w:p>
            <w:pPr>
              <w:spacing w:after="0"/>
            </w:pPr>
            <w:r>
              <w:t xml:space="preserve">Ouvrir le code de l’objet choisi</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F12 </w:t>
            </w:r>
            <w:r>
              <w:t xml:space="preserve"> / </w:t>
            </w:r>
            <w:r>
              <w:rPr>
                <w:rFonts w:ascii="Cascadia Mono" w:cs="Cascadia Mono" w:eastAsia="Cascadia Mono" w:hAnsi="Cascadia Mono"/>
                <w:b/>
                <w:bCs/>
                <w:color w:val="1F2933"/>
                <w:sz w:val="18"/>
                <w:szCs w:val="18"/>
                <w:shd w:fill="E3E7ED" w:color="auto" w:val="clear"/>
              </w:rPr>
              <w:t xml:space="preserve"> Ctrl </w:t>
            </w:r>
            <w:r>
              <w:t xml:space="preserve">+clic</w:t>
            </w:r>
          </w:p>
        </w:tc>
        <w:tc>
          <w:tcPr>
            <w:tcW w:type="dxa" w:w="6638"/>
            <w:tcMar>
              <w:top w:type="dxa" w:w="60"/>
              <w:left w:type="dxa" w:w="100"/>
              <w:bottom w:type="dxa" w:w="60"/>
              <w:right w:type="dxa" w:w="100"/>
            </w:tcMar>
          </w:tcPr>
          <w:p>
            <w:pPr>
              <w:spacing w:after="0"/>
            </w:pPr>
            <w:r>
              <w:t xml:space="preserve">Aller à la définition</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Maj+F12 </w:t>
            </w:r>
          </w:p>
        </w:tc>
        <w:tc>
          <w:tcPr>
            <w:tcW w:type="dxa" w:w="6638"/>
            <w:tcMar>
              <w:top w:type="dxa" w:w="60"/>
              <w:left w:type="dxa" w:w="100"/>
              <w:bottom w:type="dxa" w:w="60"/>
              <w:right w:type="dxa" w:w="100"/>
            </w:tcMar>
          </w:tcPr>
          <w:p>
            <w:pPr>
              <w:spacing w:after="0"/>
            </w:pPr>
            <w:r>
              <w:t xml:space="preserve">Trouver les utilisations</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Maj+Alt+F12 </w:t>
            </w:r>
          </w:p>
        </w:tc>
        <w:tc>
          <w:tcPr>
            <w:tcW w:type="dxa" w:w="6638"/>
            <w:tcMar>
              <w:top w:type="dxa" w:w="60"/>
              <w:left w:type="dxa" w:w="100"/>
              <w:bottom w:type="dxa" w:w="60"/>
              <w:right w:type="dxa" w:w="100"/>
            </w:tcMar>
          </w:tcPr>
          <w:p>
            <w:pPr>
              <w:spacing w:after="0"/>
            </w:pPr>
            <w:r>
              <w:t xml:space="preserve">Où est-il écrit ?</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Maj+Alt+H </w:t>
            </w:r>
          </w:p>
        </w:tc>
        <w:tc>
          <w:tcPr>
            <w:tcW w:type="dxa" w:w="6638"/>
            <w:tcMar>
              <w:top w:type="dxa" w:w="60"/>
              <w:left w:type="dxa" w:w="100"/>
              <w:bottom w:type="dxa" w:w="60"/>
              <w:right w:type="dxa" w:w="100"/>
            </w:tcMar>
          </w:tcPr>
          <w:p>
            <w:pPr>
              <w:spacing w:after="0"/>
            </w:pPr>
            <w:r>
              <w:t xml:space="preserve">Hiérarchie d’appels</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Ctrl+F </w:t>
            </w:r>
          </w:p>
        </w:tc>
        <w:tc>
          <w:tcPr>
            <w:tcW w:type="dxa" w:w="6638"/>
            <w:tcMar>
              <w:top w:type="dxa" w:w="60"/>
              <w:left w:type="dxa" w:w="100"/>
              <w:bottom w:type="dxa" w:w="60"/>
              <w:right w:type="dxa" w:w="100"/>
            </w:tcMar>
          </w:tcPr>
          <w:p>
            <w:pPr>
              <w:spacing w:after="0"/>
            </w:pPr>
            <w:r>
              <w:t xml:space="preserve">Aller au membre… : chercher un membre ou un texte dans le code</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Ctrl+Maj+O </w:t>
            </w:r>
          </w:p>
        </w:tc>
        <w:tc>
          <w:tcPr>
            <w:tcW w:type="dxa" w:w="6638"/>
            <w:tcMar>
              <w:top w:type="dxa" w:w="60"/>
              <w:left w:type="dxa" w:w="100"/>
              <w:bottom w:type="dxa" w:w="60"/>
              <w:right w:type="dxa" w:w="100"/>
            </w:tcMar>
          </w:tcPr>
          <w:p>
            <w:pPr>
              <w:spacing w:after="0"/>
            </w:pPr>
            <w:r>
              <w:t xml:space="preserve">Aller à un symbole de l’objet</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Alt+← </w:t>
            </w:r>
            <w:r>
              <w:t xml:space="preserve"> / </w:t>
            </w:r>
            <w:r>
              <w:rPr>
                <w:rFonts w:ascii="Cascadia Mono" w:cs="Cascadia Mono" w:eastAsia="Cascadia Mono" w:hAnsi="Cascadia Mono"/>
                <w:b/>
                <w:bCs/>
                <w:color w:val="1F2933"/>
                <w:sz w:val="18"/>
                <w:szCs w:val="18"/>
                <w:shd w:fill="E3E7ED" w:color="auto" w:val="clear"/>
              </w:rPr>
              <w:t xml:space="preserve"> Alt+→ </w:t>
            </w:r>
          </w:p>
        </w:tc>
        <w:tc>
          <w:tcPr>
            <w:tcW w:type="dxa" w:w="6638"/>
            <w:tcMar>
              <w:top w:type="dxa" w:w="60"/>
              <w:left w:type="dxa" w:w="100"/>
              <w:bottom w:type="dxa" w:w="60"/>
              <w:right w:type="dxa" w:w="100"/>
            </w:tcMar>
          </w:tcPr>
          <w:p>
            <w:pPr>
              <w:spacing w:after="0"/>
            </w:pPr>
            <w:r>
              <w:t xml:space="preserve">Précédent / Suivant</w:t>
            </w:r>
          </w:p>
        </w:tc>
      </w:tr>
      <w:tr>
        <w:tc>
          <w:tcPr>
            <w:tcW w:type="dxa" w:w="3000"/>
            <w:tcMar>
              <w:top w:type="dxa" w:w="60"/>
              <w:left w:type="dxa" w:w="100"/>
              <w:bottom w:type="dxa" w:w="60"/>
              <w:right w:type="dxa" w:w="100"/>
            </w:tcMar>
          </w:tcPr>
          <w:p>
            <w:pPr>
              <w:spacing w:after="0"/>
            </w:pPr>
            <w:r>
              <w:rPr>
                <w:rFonts w:ascii="Cascadia Mono" w:cs="Cascadia Mono" w:eastAsia="Cascadia Mono" w:hAnsi="Cascadia Mono"/>
                <w:b/>
                <w:bCs/>
                <w:color w:val="1F2933"/>
                <w:sz w:val="18"/>
                <w:szCs w:val="18"/>
                <w:shd w:fill="E3E7ED" w:color="auto" w:val="clear"/>
              </w:rPr>
              <w:t xml:space="preserve"> Échap </w:t>
            </w:r>
          </w:p>
        </w:tc>
        <w:tc>
          <w:tcPr>
            <w:tcW w:type="dxa" w:w="6638"/>
            <w:tcMar>
              <w:top w:type="dxa" w:w="60"/>
              <w:left w:type="dxa" w:w="100"/>
              <w:bottom w:type="dxa" w:w="60"/>
              <w:right w:type="dxa" w:w="100"/>
            </w:tcMar>
          </w:tcPr>
          <w:p>
            <w:pPr>
              <w:spacing w:after="0"/>
            </w:pPr>
            <w:r>
              <w:t xml:space="preserve">Fermer un dialogue ou un menu</w:t>
            </w:r>
          </w:p>
        </w:tc>
      </w:tr>
    </w:tbl>
    <w:p>
      <w:pPr>
        <w:spacing w:after="120"/>
      </w:pP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3"/>
        <w:sz w:val="16"/>
        <w:szCs w:val="16"/>
      </w:rPr>
      <w:t xml:space="preserve">ALmaze — Manuel utilisateur · </w:t>
    </w:r>
    <w:r>
      <w:rPr>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9DEE5" w:sz="6" w:space="6"/>
      </w:pBdr>
      <w:spacing w:before="120" w:after="200"/>
      <w:outlineLvl w:val="0"/>
    </w:pPr>
    <w:rPr>
      <w:rFonts w:ascii="Segoe UI" w:cs="Segoe UI" w:eastAsia="Segoe UI" w:hAnsi="Segoe UI"/>
      <w:b/>
      <w:bCs/>
      <w:color w:val="0F6CBD"/>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w7lfgny6p0omgdx2upgzh" Type="http://schemas.openxmlformats.org/officeDocument/2006/relationships/hyperlink" Target="https://github.com/CapsetPF/capset-alobjectbrowser-releases/releases/latest" TargetMode="External"/><Relationship Id="rId7" Type="http://schemas.openxmlformats.org/officeDocument/2006/relationships/image" Target="media/919e2099bf4c0d289cd48f994fc0ae77754ab2e9.png"/><Relationship Id="rId8" Type="http://schemas.openxmlformats.org/officeDocument/2006/relationships/image" Target="media/8e391860249cc4ca8175388b3664fb7b6e0da874.png"/><Relationship Id="rId9" Type="http://schemas.openxmlformats.org/officeDocument/2006/relationships/image" Target="media/048a58f0a2c1f077582037db7064e5e4a0743fb4.png"/><Relationship Id="rId10" Type="http://schemas.openxmlformats.org/officeDocument/2006/relationships/image" Target="media/58d65b421c247478640d0acf31ba83dd48f5bd6e.png"/><Relationship Id="rId11" Type="http://schemas.openxmlformats.org/officeDocument/2006/relationships/image" Target="media/5e897a1d547e9f9c27319877e831a08444af556b.png"/><Relationship Id="rId12" Type="http://schemas.openxmlformats.org/officeDocument/2006/relationships/image" Target="media/4deb08d895fa97263db0af19e7ce71626330c347.png"/><Relationship Id="rId13" Type="http://schemas.openxmlformats.org/officeDocument/2006/relationships/image" Target="media/6bc15e13b84bf7ff7c831864e59b7da3f5e092b9.png"/><Relationship Id="rId14" Type="http://schemas.openxmlformats.org/officeDocument/2006/relationships/image" Target="media/5673fb92e1fece114096947b3d964e8b615e83b1.png"/><Relationship Id="rId15" Type="http://schemas.openxmlformats.org/officeDocument/2006/relationships/image" Target="media/baf25b78f315f90e139828621e1d55f6dee5e47e.png"/><Relationship Id="rId16" Type="http://schemas.openxmlformats.org/officeDocument/2006/relationships/image" Target="media/ef7b95cc15b9d7c1b6eccc6fd79847fca2757c4d.png"/><Relationship Id="rId17" Type="http://schemas.openxmlformats.org/officeDocument/2006/relationships/image" Target="media/98adfa08fa0bdf70962831f0b498c014ff96d5d7.png"/><Relationship Id="rId18" Type="http://schemas.openxmlformats.org/officeDocument/2006/relationships/image" Target="media/1af8ea648cb91a5ef47715b48d9a096fd1884f21.png"/><Relationship Id="rId19" Type="http://schemas.openxmlformats.org/officeDocument/2006/relationships/image" Target="media/84600bb1369e13c7a86c5c59c4e935a330d5aa8b.png"/><Relationship Id="rId20" Type="http://schemas.openxmlformats.org/officeDocument/2006/relationships/image" Target="media/2e46851196b745d37ceb56b4ce0e7ecc2371f876.png"/><Relationship Id="rId21" Type="http://schemas.openxmlformats.org/officeDocument/2006/relationships/image" Target="media/6bc7c3539044ead4da15b7ba921067af369d9c8e.png"/><Relationship Id="rId22" Type="http://schemas.openxmlformats.org/officeDocument/2006/relationships/image" Target="media/eb687224aef8b0baf5a88876661f0d18fb6c7360.png"/><Relationship Id="rId23" Type="http://schemas.openxmlformats.org/officeDocument/2006/relationships/image" Target="media/b9a559bc86cc033a2970df3b205c50667c98d97b.png"/><Relationship Id="rId24" Type="http://schemas.openxmlformats.org/officeDocument/2006/relationships/image" Target="media/f4f35ee429a8674513d7751070985d0022f25cb0.png"/><Relationship Id="rId25" Type="http://schemas.openxmlformats.org/officeDocument/2006/relationships/image" Target="media/8b05e896ac60edd3de13d5e46a5daed7cc580779.png"/><Relationship Id="rId26" Type="http://schemas.openxmlformats.org/officeDocument/2006/relationships/image" Target="media/f996cd947ae229cd110095c6725c5126e81f8b72.png"/><Relationship Id="rId27" Type="http://schemas.openxmlformats.org/officeDocument/2006/relationships/image" Target="media/b068393c7dd626824ea47bfb033d5de8f14fb392.png"/><Relationship Id="rId28" Type="http://schemas.openxmlformats.org/officeDocument/2006/relationships/image" Target="media/42e4d1134f1bab3473091445bda40b0976e0bd76.png"/><Relationship Id="rId29" Type="http://schemas.openxmlformats.org/officeDocument/2006/relationships/image" Target="media/0a830a9dad171fe194208e6914493684621374e0.png"/><Relationship Id="rId30" Type="http://schemas.openxmlformats.org/officeDocument/2006/relationships/image" Target="media/6a63edebe17a8dbd7795e32131cccaea5147a213.png"/><Relationship Id="rId31" Type="http://schemas.openxmlformats.org/officeDocument/2006/relationships/image" Target="media/03e5afe5b3902909939c57a421ab6c5bdb11f49e.png"/><Relationship Id="rId32" Type="http://schemas.openxmlformats.org/officeDocument/2006/relationships/image" Target="media/52c83b9d41cc2e425faec87acc2804550e130e36.png"/><Relationship Id="rId33" Type="http://schemas.openxmlformats.org/officeDocument/2006/relationships/image" Target="media/b6a2afd1546ee1187ba751b6928ea2b1c3495eba.png"/><Relationship Id="rId34" Type="http://schemas.openxmlformats.org/officeDocument/2006/relationships/image" Target="media/2059bee592f11a0595d12723831dd5a59fbb9c78.png"/><Relationship Id="rId35" Type="http://schemas.openxmlformats.org/officeDocument/2006/relationships/image" Target="media/eedb1aa7ab98263b96838139be9aa5b0e3659ffb.png"/><Relationship Id="rId3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ALmaze — Manuel utilisateur</dc:title>
  <dc:creator>Capset</dc:creator>
  <cp:lastModifiedBy>Un-named</cp:lastModifiedBy>
  <cp:revision>1</cp:revision>
  <dcterms:created xsi:type="dcterms:W3CDTF">2026-10-10T21:45:34.717Z</dcterms:created>
  <dcterms:modified xsi:type="dcterms:W3CDTF">2026-10-10T21:45:34.718Z</dcterms:modified>
</cp:coreProperties>
</file>

<file path=docProps/custom.xml><?xml version="1.0" encoding="utf-8"?>
<Properties xmlns="http://schemas.openxmlformats.org/officeDocument/2006/custom-properties" xmlns:vt="http://schemas.openxmlformats.org/officeDocument/2006/docPropsVTypes"/>
</file>