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Complexity Tier Framework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 complexity is modeled as a continuous score collapsed into three discrete tiers. Each tier carries a distinct cost envelope, model pool, and quality expectation. The three tiers are defined below with canonical examples drawn from enterprise CoreStack deployment patterns.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2.1  Tier Definitions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515"/>
        <w:gridCol w:w="980"/>
        <w:gridCol w:w="4801"/>
        <w:gridCol w:w="1519"/>
        <w:gridCol w:w="1211"/>
        <w:tblGridChange w:id="0">
          <w:tblGrid>
            <w:gridCol w:w="515"/>
            <w:gridCol w:w="980"/>
            <w:gridCol w:w="4801"/>
            <w:gridCol w:w="1519"/>
            <w:gridCol w:w="12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Canonical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Complexity 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Default Model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Single-topic factual lookup, platform comparison, conference/event summary, FAQ response, short classification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 – 0.39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Economy Tier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Requirements document or technical specification for a defined use case; structured analysis of a known domain; multi-section deliverable without external research dependency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0.40 – 0.69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Balanced Tier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6424c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Requirements document + technical specification grounded in deep market research; cross-domain synthesis; multi-stage reasoning with retrieval; &gt; 16K context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0.70 – 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Premium Tier</w:t>
            </w:r>
          </w:p>
        </w:tc>
      </w:tr>
    </w:tbl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2.2  Canonical Prompt Examples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examples align directly with the three tiers. These are used for classification benchmarking and as reference anchors for the scoring rubric in Section 3.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2"/>
        <w:tblW w:w="3344.0" w:type="dxa"/>
        <w:jc w:val="left"/>
        <w:tblLayout w:type="fixed"/>
        <w:tblLook w:val="0400"/>
      </w:tblPr>
      <w:tblGrid>
        <w:gridCol w:w="3344"/>
        <w:tblGridChange w:id="0">
          <w:tblGrid>
            <w:gridCol w:w="33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T1 — Simple Prompt Examples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2848"/>
        <w:gridCol w:w="2927"/>
        <w:gridCol w:w="3251"/>
        <w:tblGridChange w:id="0">
          <w:tblGrid>
            <w:gridCol w:w="2848"/>
            <w:gridCol w:w="2927"/>
            <w:gridCol w:w="325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It Is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Summarize FinOps capabilities across AWS Cost Explorer, Azure Cost Management, and GCP Billing.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 topic (FinOps); comparison across known platforms; no original synthesis; answer is largely factual retrieval.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context need (&lt;4K tokens); moderate accuracy required; latency tolerant; no research dependency.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a summary of key announcements from Google Cloud Next 2025 related to Agentic 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summary with bounded scope; factual recall of public announcements; no cross-domain analysis.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 output; factual recall; economy model adequate; &lt;4K context window sufficient.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is the idle timeout default for AWS Bedrock agent sessions and how does it compare to Azure AI Foundry?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Narrow factual lookup; two-platform comparison; single definitive answer expected.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output tokens; classification/routing-class prompt; Nova Micro or Gemini Flash Lite adequate.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the top 5 differences between FinOps Foundation maturity levels 1 through 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Bounded enumeration task; single framework; factual extraction from training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Structured list output; no reasoning chain; economy model appropriate.</w:t>
            </w:r>
          </w:p>
        </w:tc>
      </w:tr>
    </w:tbl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4"/>
        <w:tblW w:w="3504.0" w:type="dxa"/>
        <w:jc w:val="left"/>
        <w:tblLayout w:type="fixed"/>
        <w:tblLook w:val="0400"/>
      </w:tblPr>
      <w:tblGrid>
        <w:gridCol w:w="3504"/>
        <w:tblGridChange w:id="0">
          <w:tblGrid>
            <w:gridCol w:w="35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T2 — Medium Prompt Examples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5"/>
        <w:tblW w:w="9026.0" w:type="dxa"/>
        <w:jc w:val="left"/>
        <w:tblLayout w:type="fixed"/>
        <w:tblLook w:val="0400"/>
      </w:tblPr>
      <w:tblGrid>
        <w:gridCol w:w="3226"/>
        <w:gridCol w:w="3084"/>
        <w:gridCol w:w="2716"/>
        <w:tblGridChange w:id="0">
          <w:tblGrid>
            <w:gridCol w:w="3226"/>
            <w:gridCol w:w="3084"/>
            <w:gridCol w:w="27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It Is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 requirements document for a CoreStack–ClickUp integration: bi-directional task sync, real-time webhook handling, OAuth 2.0, and error recovery.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Multi-section structured deliverable; domain is known (integrations, webhooks); no market research required; synthesis of provided requirements into a document format.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4K–16K output; structured sections (scope, FR, NFR, data model); balanced model tier; moderate accuracy need.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technical specification for a semantic caching engine: exact match, fuzzy similarity, TTL management, and cost tracking — aligned to CoreStack's existing data stack.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Domain-specific (caching architecture); constrained to a defined solution space; no external research; requires architectural coherence across components.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 context (8K–16K); structured output; function-calling support needed; balanced model sufficient.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Produce a FY27 Value Engineering KPI framework covering AI Observability, FinOps, and Professional Services, with targets and measurement cadence.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Multi-domain structured deliverable; synthesis across defined functions; no research dependency beyond provided context; professional formatting required.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output (structured tables); domain knowledge required; balanced tier with long-context support.</w:t>
            </w:r>
          </w:p>
        </w:tc>
      </w:tr>
    </w:tbl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6"/>
        <w:tblW w:w="3557.0" w:type="dxa"/>
        <w:jc w:val="left"/>
        <w:tblLayout w:type="fixed"/>
        <w:tblLook w:val="0400"/>
      </w:tblPr>
      <w:tblGrid>
        <w:gridCol w:w="3557"/>
        <w:tblGridChange w:id="0">
          <w:tblGrid>
            <w:gridCol w:w="355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T3 — Complex Prompt Examples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7"/>
        <w:tblW w:w="9026.0" w:type="dxa"/>
        <w:jc w:val="left"/>
        <w:tblLayout w:type="fixed"/>
        <w:tblLook w:val="0400"/>
      </w:tblPr>
      <w:tblGrid>
        <w:gridCol w:w="3608"/>
        <w:gridCol w:w="3012"/>
        <w:gridCol w:w="2406"/>
        <w:tblGridChange w:id="0">
          <w:tblGrid>
            <w:gridCol w:w="3608"/>
            <w:gridCol w:w="3012"/>
            <w:gridCol w:w="24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It Is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 requirements document and full technical specification for a GenAI cost attribution platform, grounded in deep market research across AWS Bedrock, Azure OpenAI, GCP Vertex AI pricing models, and FinOps Foundation standards.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retrieval of live pricing data across three provider ecosystems; synthesis of market standards; multi-stage reasoning to translate research into actionable specification; output &gt; 10,000 tokens.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Research dependency; &gt;16K context; very high accuracy; premium model; multi-step agent workflow recommended.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competitive positioning of CoreStack against CloudZero, Flexera, and IBM Cloudability on AI Observability capabilities, incorporating recent product announcements and analyst coverage, then produce a go-to-market differentiation brief.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Cross-domain synthesis (competitive intelligence + product + GTM); requires web retrieval for recent announcements; complex multi-section output requiring strategic coherence.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search tool required; very high context; multi-agent orchestration; premium tier only.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a multi-cloud GenAI governance architecture for a Fortune 500 financial services firm: requirements gathering via regulatory analysis (SOC 2, GDPR, MAS TRM), technical specification for the governance layer, and a phased implementation roadmap with cost projections.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Multi-stage workflow (research → spec → roadmap); regulatory retrieval; cross-domain synthesis (compliance + architecture + finance); very long output with structured subsections.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Highest complexity score; multi-agent execution; 32K–64K context window; premium frontier model mandatory.</w:t>
            </w:r>
          </w:p>
        </w:tc>
      </w:tr>
    </w:tbl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Prompt Profiling Scoring Framework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Prompt Profiling Engine applies a deterministic five-dimension scoring function to each prompt or workload profile. Each dimension is scored 0.0–1.0 and combined with configurable weights into a composite Complexity Score that drives tier assignment and model recommendation.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  Scoring Dimensions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8"/>
        <w:tblW w:w="9026.0" w:type="dxa"/>
        <w:jc w:val="left"/>
        <w:tblLayout w:type="fixed"/>
        <w:tblLook w:val="0400"/>
      </w:tblPr>
      <w:tblGrid>
        <w:gridCol w:w="515"/>
        <w:gridCol w:w="1445"/>
        <w:gridCol w:w="2309"/>
        <w:gridCol w:w="1622"/>
        <w:gridCol w:w="2266"/>
        <w:gridCol w:w="869"/>
        <w:tblGridChange w:id="0">
          <w:tblGrid>
            <w:gridCol w:w="515"/>
            <w:gridCol w:w="1445"/>
            <w:gridCol w:w="2309"/>
            <w:gridCol w:w="1622"/>
            <w:gridCol w:w="2266"/>
            <w:gridCol w:w="8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Score 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Score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Default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Semantic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Reasoning depth required: factual recall vs. multi-hop inference, synthesis, or strategic analysis. Assessed via intent classifier: FACTUAL / ANALYTICAL / SYNTHETIC / STRATEGIC.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Single-fact lookup (FACTUAL)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Cross-domain strategic synthesis (STRATEGIC)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Domain 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Specialization of knowledge required: general vs. technical vs. domain-expert (e.g., FinOps standards, regulatory frameworks, enterprise architecture patterns).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 knowledge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Deep domain expertise + regulatory/standards context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 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Structure and length of expected output: conversational response vs. multi-section formal document with subsections, tables, and cross-references.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 conversational answer (&lt;500 tokens)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Multi-section formal document (&gt;5,000 tokens)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Research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Whether the prompt requires external information retrieval (web search, provider pricing APIs, regulatory databases) beyond the model's parametric knowledge at inference time.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retrieval needed (parametric knowledge sufficient)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Multi-source retrieval mandatory (live data, real-time pricing, regulatory corpus)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Context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input token volume: combination of system prompt, user message, injected context, conversation history, and retrieved documents.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&lt;2K tokens (zero-shot)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&gt;32K tokens (long context + retrieval injection)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3.2  Composite Score Formula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9"/>
        <w:tblW w:w="8783.0" w:type="dxa"/>
        <w:jc w:val="left"/>
        <w:tblLayout w:type="fixed"/>
        <w:tblLook w:val="0400"/>
      </w:tblPr>
      <w:tblGrid>
        <w:gridCol w:w="8783"/>
        <w:tblGridChange w:id="0">
          <w:tblGrid>
            <w:gridCol w:w="878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ComplexityScore = (D1 × 0.35) + (D2 × 0.20) + (D3 × 0.20) + (D4 × 0.15) + (D5 × 0.10)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80"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D">
            <w:pPr>
              <w:spacing w:after="280"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T1 Simple:    0.00 ≤ ComplexityScore &lt; 0.40</w:t>
            </w:r>
          </w:p>
          <w:p w:rsidR="00000000" w:rsidDel="00000000" w:rsidP="00000000" w:rsidRDefault="00000000" w:rsidRPr="00000000" w14:paraId="0000007E">
            <w:pPr>
              <w:spacing w:after="280"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T2 Medium:    0.40 ≤ ComplexityScore &lt; 0.70</w:t>
            </w:r>
          </w:p>
          <w:p w:rsidR="00000000" w:rsidDel="00000000" w:rsidP="00000000" w:rsidRDefault="00000000" w:rsidRPr="00000000" w14:paraId="0000007F">
            <w:pPr>
              <w:spacing w:before="2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6424c"/>
                <w:rtl w:val="0"/>
              </w:rPr>
              <w:t xml:space="preserve">T3 Complex:   0.70 ≤ ComplexityScore ≤ 1.00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  Dimension Scoring Rubric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dimension is scored on a 5-point discrete scale (0.0, 0.25, 0.50, 0.75, 1.0). The table below defines anchor points for each level to ensure consistent scoring across human reviewers and the automated intent classifier.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10"/>
        <w:tblW w:w="9026.0" w:type="dxa"/>
        <w:jc w:val="left"/>
        <w:tblLayout w:type="fixed"/>
        <w:tblLook w:val="0400"/>
      </w:tblPr>
      <w:tblGrid>
        <w:gridCol w:w="1437"/>
        <w:gridCol w:w="1235"/>
        <w:gridCol w:w="1304"/>
        <w:gridCol w:w="1362"/>
        <w:gridCol w:w="2243"/>
        <w:gridCol w:w="1445"/>
        <w:tblGridChange w:id="0">
          <w:tblGrid>
            <w:gridCol w:w="1437"/>
            <w:gridCol w:w="1235"/>
            <w:gridCol w:w="1304"/>
            <w:gridCol w:w="1362"/>
            <w:gridCol w:w="2243"/>
            <w:gridCol w:w="14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 —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0.25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0.50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0.75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1.0 — 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D1 Semantic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Pure factual recall; single known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Simple comparison; 2–3 known entities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Multi-step analytical reasoning within one 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Cross-domain synthesis; structured argumentation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Strategic analysis; novel synthesis; multi-agent orchestration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D2 Domain 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 world knowledge; no domain expertise needed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Broad technology domain (cloud, software)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 technical subdomain (FinOps, AI Governance)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Expert domain with standards/frameworks (GDPR, SOC 2, FinOps Foundation)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Multi-regulatory + domain expert synthesis; primary research interpretation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D3 Output 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1–2 sentence answer or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 structured response &lt;500 tokens; simple list with headings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Multi-section document; 1K–3K tokens; tables and structured 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Formal deliverable; 3K–8K tokens; cross-referenced sections, appendices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Enterprise document; &gt;8K tokens; TOC, executive summary, technical annexes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D4 Research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external data needed; model training knowledge sufficient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 reference document provided in context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provided documents; no live retrieval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Live retrieval from 1–2 external sources (provider docs, pricing APIs)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Multi-source retrieval; real-time pricing; regulatory corpus; competitive intelligence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D5 Context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&lt;1K total input tokens; zero-shot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1K–4K tokens; short system prompt + user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4K–16K tokens; moderate context + conversation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16K–32K tokens; long context + retrieved documents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&gt;32K tokens; multi-document injection; extended conversation</w:t>
            </w:r>
          </w:p>
        </w:tc>
      </w:tr>
    </w:tbl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3.4  Worked Scoring Examples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table below applies the scoring rubric to the canonical prompt examples from Section 2, demonstrating how each prompt receives its tier assignment.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11"/>
        <w:tblW w:w="9026.0" w:type="dxa"/>
        <w:jc w:val="left"/>
        <w:tblLayout w:type="fixed"/>
        <w:tblLook w:val="0400"/>
      </w:tblPr>
      <w:tblGrid>
        <w:gridCol w:w="4787"/>
        <w:gridCol w:w="480"/>
        <w:gridCol w:w="480"/>
        <w:gridCol w:w="480"/>
        <w:gridCol w:w="480"/>
        <w:gridCol w:w="480"/>
        <w:gridCol w:w="634"/>
        <w:gridCol w:w="1205"/>
        <w:tblGridChange w:id="0">
          <w:tblGrid>
            <w:gridCol w:w="4787"/>
            <w:gridCol w:w="480"/>
            <w:gridCol w:w="480"/>
            <w:gridCol w:w="480"/>
            <w:gridCol w:w="480"/>
            <w:gridCol w:w="480"/>
            <w:gridCol w:w="634"/>
            <w:gridCol w:w="12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(abbreviated)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FinOps capabilities across AWS / Azure / GCP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T1 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Cloud Next 2025 Agentic AI 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T1 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Requirements doc — CoreStack–ClickUp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T2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spec — semantic caching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T2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GenAI cost attribution platform — req + spec + market research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6424c"/>
                <w:rtl w:val="0"/>
              </w:rPr>
              <w:t xml:space="preserve">T3 Complex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Multi-cloud governance architecture — regulatory analysis + roadmap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[{"prompt":"what is AI?","prompt_type": "Simple Reasoning", "input_token":23, “Domain”:”Health Care”,"output_token_expected": 233, "d1_score":0.2,"d2_score":0.2, "d3_score":0.2, "d4_score":0.2,"d5_score":0.2, "complexity_score":0.2, "prompt_category":"Small"}]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