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q371ddto3j5a"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Benjamín Aarón Ismael Villarroel Quevedo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s4ufjwjnthvb"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color w:val="ff0000"/>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Seleccioné esta opción ya que a lo largo de la carrera llevé a cabo trabajos en los que logré desempeñar un buen papel en el desarrollo de Soluciones de Software. </w:t>
            </w:r>
          </w:p>
        </w:tc>
      </w:tr>
      <w:tr>
        <w:trPr>
          <w:cantSplit w:val="0"/>
          <w:trHeight w:val="576"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b w:val="1"/>
                <w:color w:val="ff0000"/>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Seleccioné esta opción ya que a lo largo de la carrera me desenvolví de forma efectiva en los distintos tipos de complejidad de trabajos y evaluaciones, consiguiendo así cumplir con los objetivos del momento manteniendo las buenas prácticas.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Seleccioné esta opción ya que a lo largo de la carrera y de sus innumerables trabajos y evaluaciones fui capaz de garantizar la calidad tanto de los procesos como de los resultados de dicho trabajos, pero debido al proceso de trabajo tan reducido en general no siempre tuve la posibilidad de asegurar dicha calidad en su totalidad.</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Seleccioné esta opción ya que a lo largo de la carrera desempeñé papeles clave para la organización y buen flujo de los distintos proyectos informáticos abarcados en los semestres.</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Seleccioné esta opción ya que a lo largo de la carrera he desarrollado proyectos donde fue necesario implementar sistemas que automatizan y optimizan procesos. Esto me permitió comprender cómo alinear la solución tecnológica con las necesidades planteadas.</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