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C9652A"/>
          <w:spacing w:val="40"/>
          <w:sz w:val="16"/>
          <w:szCs w:val="16"/>
        </w:rPr>
        <w:t xml:space="preserve">SWP490 · CAPSTONE PROJECT · REVIEW 2 · BM02</w:t>
      </w:r>
    </w:p>
    <w:p>
      <w:pPr>
        <w:pStyle w:val="Heading1"/>
        <w:spacing w:after="160" w:before="120"/>
      </w:pPr>
      <w:r>
        <w:rPr>
          <w:rFonts w:ascii="Calibri" w:cs="Calibri" w:eastAsia="Calibri" w:hAnsi="Calibri"/>
          <w:b/>
          <w:bCs/>
          <w:color w:val="14233A"/>
          <w:sz w:val="32"/>
          <w:szCs w:val="32"/>
        </w:rPr>
        <w:t xml:space="preserve">SRS/SDD Self-Review Report – Review 2</w:t>
      </w:r>
    </w:p>
    <w:p>
      <w:pPr>
        <w:spacing w:after="80"/>
      </w:pPr>
      <w:r>
        <w:rPr>
          <w:rFonts w:ascii="Calibri" w:cs="Calibri" w:eastAsia="Calibri" w:hAnsi="Calibri"/>
          <w:i/>
          <w:iCs/>
          <w:color w:val="666666"/>
          <w:sz w:val="19"/>
          <w:szCs w:val="19"/>
        </w:rPr>
        <w:t xml:space="preserve">Form BM02. Run the standard prompt on the proposed final registration form and the repository at tag review-2. Keep every finding exactly as produced by the AI; add only the Team response column. Export to PDF. File name: SWP490_&lt;ProjectCode&gt;_R2_SelfReview.pdf</w:t>
      </w:r>
    </w:p>
    <w:p>
      <w:pPr>
        <w:pStyle w:val="Heading2"/>
        <w:spacing w:after="100" w:before="240"/>
      </w:pPr>
      <w:r>
        <w:rPr>
          <w:rFonts w:ascii="Calibri" w:cs="Calibri" w:eastAsia="Calibri" w:hAnsi="Calibri"/>
          <w:b/>
          <w:bCs/>
          <w:color w:val="14233A"/>
          <w:sz w:val="24"/>
          <w:szCs w:val="24"/>
        </w:rPr>
        <w:t xml:space="preserve">1. Run Information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6838"/>
      </w:tblGrid>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Project code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t>FA26SE090</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Project name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t>AI-powered Personalized Learning Path Platform for Competency Assessment Exam Preparation (V-Eval)</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Team</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t>V-Eval Team</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Supervisor</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t>ThS. Nguyễn Trọng Tài (taint@fpt.edu.vn)</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AI tool and model</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t>Google Antigravity IDE (Gemini 2.5 Flash / Claude 3.5 Sonnet)</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Run date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t>27/10/2026</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Repository tag / commit</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t>review-2 (commit 82d5836)</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Registration form version used</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t>FA26SE090 v1.0 (with BM03 proposed final)</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Version</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t>1.0</w:t>
            </w:r>
          </w:p>
        </w:tc>
      </w:tr>
      <w:tr>
        <w:tc>
          <w:tcPr>
            <w:tcW w:type="dxa" w:w="280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Date</w:t>
            </w:r>
          </w:p>
        </w:tc>
        <w:tc>
          <w:tcPr>
            <w:tcW w:type="dxa" w:w="6838"/>
            <w:tcBorders>
              <w:top w:val="single" w:color="D9D4CA" w:sz="4"/>
              <w:left w:val="single" w:color="D9D4CA" w:sz="4"/>
              <w:bottom w:val="single" w:color="D9D4CA" w:sz="4"/>
              <w:right w:val="single" w:color="D9D4CA" w:sz="4"/>
            </w:tcBorders>
            <w:tcMar>
              <w:top w:type="dxa" w:w="60"/>
              <w:left w:type="dxa" w:w="80"/>
              <w:bottom w:type="dxa" w:w="60"/>
              <w:right w:type="dxa" w:w="80"/>
            </w:tcMar>
          </w:tcPr>
          <w:p>
            <w:r>
              <w:t>27/10/2026</w:t>
            </w:r>
          </w:p>
        </w:tc>
      </w:tr>
    </w:tbl>
    <w:p>
      <w:pPr>
        <w:pStyle w:val="Heading2"/>
        <w:spacing w:after="100" w:before="240"/>
      </w:pPr>
      <w:r>
        <w:rPr>
          <w:rFonts w:ascii="Calibri" w:cs="Calibri" w:eastAsia="Calibri" w:hAnsi="Calibri"/>
          <w:b/>
          <w:bCs/>
          <w:color w:val="14233A"/>
          <w:sz w:val="24"/>
          <w:szCs w:val="24"/>
        </w:rPr>
        <w:t xml:space="preserve">2. Standard Prompt</w:t>
      </w:r>
    </w:p>
    <w:p>
      <w:pPr>
        <w:spacing w:after="80"/>
      </w:pPr>
      <w:r>
        <w:rPr>
          <w:rFonts w:ascii="Calibri" w:cs="Calibri" w:eastAsia="Calibri" w:hAnsi="Calibri"/>
          <w:i/>
          <w:iCs/>
          <w:color w:val="666666"/>
          <w:sz w:val="19"/>
          <w:szCs w:val="19"/>
        </w:rPr>
        <w:t xml:space="preserve">Use this prompt without modification.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single" w:color="D9D4CA" w:sz="4"/>
              <w:left w:val="single" w:color="D9D4CA" w:sz="4"/>
              <w:bottom w:val="single" w:color="D9D4CA" w:sz="4"/>
              <w:right w:val="single" w:color="D9D4CA" w:sz="4"/>
            </w:tcBorders>
            <w:shd w:fill="F2F2F2" w:color="auto" w:val="clear"/>
            <w:tcMar>
              <w:top w:type="dxa" w:w="100"/>
              <w:left w:type="dxa" w:w="140"/>
              <w:bottom w:type="dxa" w:w="100"/>
              <w:right w:type="dxa" w:w="140"/>
            </w:tcMar>
          </w:tcPr>
          <w:p>
            <w:r>
              <w:rPr>
                <w:rFonts w:ascii="Consolas" w:cs="Consolas" w:eastAsia="Consolas" w:hAnsi="Consolas"/>
                <w:sz w:val="17"/>
                <w:szCs w:val="17"/>
              </w:rPr>
              <w:t xml:space="preserve">You are reviewing the SRS and SDD of a software capstone project against its</w:t>
            </w:r>
          </w:p>
          <w:p>
            <w:r>
              <w:rPr>
                <w:rFonts w:ascii="Consolas" w:cs="Consolas" w:eastAsia="Consolas" w:hAnsi="Consolas"/>
                <w:sz w:val="17"/>
                <w:szCs w:val="17"/>
              </w:rPr>
              <w:t xml:space="preserve">registration form and source code. Report only; do not change any file.</w:t>
            </w:r>
          </w:p>
          <w:p>
            <w:r>
              <w:rPr>
                <w:rFonts w:ascii="Consolas" w:cs="Consolas" w:eastAsia="Consolas" w:hAnsi="Consolas"/>
                <w:sz w:val="17"/>
                <w:szCs w:val="17"/>
              </w:rPr>
              <w:t xml:space="preserve"/>
            </w:r>
          </w:p>
          <w:p>
            <w:r>
              <w:rPr>
                <w:rFonts w:ascii="Consolas" w:cs="Consolas" w:eastAsia="Consolas" w:hAnsi="Consolas"/>
                <w:sz w:val="17"/>
                <w:szCs w:val="17"/>
              </w:rPr>
              <w:t xml:space="preserve">Inputs: the registration form, SRS, SDD (with diagrams), source code and</w:t>
            </w:r>
          </w:p>
          <w:p>
            <w:r>
              <w:rPr>
                <w:rFonts w:ascii="Consolas" w:cs="Consolas" w:eastAsia="Consolas" w:hAnsi="Consolas"/>
                <w:sz w:val="17"/>
                <w:szCs w:val="17"/>
              </w:rPr>
              <w:t xml:space="preserve">database script in this repository.</w:t>
            </w:r>
          </w:p>
          <w:p>
            <w:r>
              <w:rPr>
                <w:rFonts w:ascii="Consolas" w:cs="Consolas" w:eastAsia="Consolas" w:hAnsi="Consolas"/>
                <w:sz w:val="17"/>
                <w:szCs w:val="17"/>
              </w:rPr>
              <w:t xml:space="preserve"/>
            </w:r>
          </w:p>
          <w:p>
            <w:r>
              <w:rPr>
                <w:rFonts w:ascii="Consolas" w:cs="Consolas" w:eastAsia="Consolas" w:hAnsi="Consolas"/>
                <w:sz w:val="17"/>
                <w:szCs w:val="17"/>
              </w:rPr>
              <w:t xml:space="preserve">Check:</w:t>
            </w:r>
          </w:p>
          <w:p>
            <w:r>
              <w:rPr>
                <w:rFonts w:ascii="Consolas" w:cs="Consolas" w:eastAsia="Consolas" w:hAnsi="Consolas"/>
                <w:sz w:val="17"/>
                <w:szCs w:val="17"/>
              </w:rPr>
              <w:t xml:space="preserve">1. Scope: FRs in the SRS not covered by the registration form, and</w:t>
            </w:r>
          </w:p>
          <w:p>
            <w:r>
              <w:rPr>
                <w:rFonts w:ascii="Consolas" w:cs="Consolas" w:eastAsia="Consolas" w:hAnsi="Consolas"/>
                <w:sz w:val="17"/>
                <w:szCs w:val="17"/>
              </w:rPr>
              <w:t xml:space="preserve">   registration items with no FR.</w:t>
            </w:r>
          </w:p>
          <w:p>
            <w:r>
              <w:rPr>
                <w:rFonts w:ascii="Consolas" w:cs="Consolas" w:eastAsia="Consolas" w:hAnsi="Consolas"/>
                <w:sz w:val="17"/>
                <w:szCs w:val="17"/>
              </w:rPr>
              <w:t xml:space="preserve">2. Requirements: FRs without an actor or testable acceptance criteria;</w:t>
            </w:r>
          </w:p>
          <w:p>
            <w:r>
              <w:rPr>
                <w:rFonts w:ascii="Consolas" w:cs="Consolas" w:eastAsia="Consolas" w:hAnsi="Consolas"/>
                <w:sz w:val="17"/>
                <w:szCs w:val="17"/>
              </w:rPr>
              <w:t xml:space="preserve">   NFRs without metric, threshold and measurement method.</w:t>
            </w:r>
          </w:p>
          <w:p>
            <w:r>
              <w:rPr>
                <w:rFonts w:ascii="Consolas" w:cs="Consolas" w:eastAsia="Consolas" w:hAnsi="Consolas"/>
                <w:sz w:val="17"/>
                <w:szCs w:val="17"/>
              </w:rPr>
              <w:t xml:space="preserve">3. Data: entities missing from the Logical ERD; ERD entities or attributes</w:t>
            </w:r>
          </w:p>
          <w:p>
            <w:r>
              <w:rPr>
                <w:rFonts w:ascii="Consolas" w:cs="Consolas" w:eastAsia="Consolas" w:hAnsi="Consolas"/>
                <w:sz w:val="17"/>
                <w:szCs w:val="17"/>
              </w:rPr>
              <w:t xml:space="preserve">   missing from the database script, and tables not in the ERD.</w:t>
            </w:r>
          </w:p>
          <w:p>
            <w:r>
              <w:rPr>
                <w:rFonts w:ascii="Consolas" w:cs="Consolas" w:eastAsia="Consolas" w:hAnsi="Consolas"/>
                <w:sz w:val="17"/>
                <w:szCs w:val="17"/>
              </w:rPr>
              <w:t xml:space="preserve">4. States: for each main entity, states used in code but missing from its</w:t>
            </w:r>
          </w:p>
          <w:p>
            <w:r>
              <w:rPr>
                <w:rFonts w:ascii="Consolas" w:cs="Consolas" w:eastAsia="Consolas" w:hAnsi="Consolas"/>
                <w:sz w:val="17"/>
                <w:szCs w:val="17"/>
              </w:rPr>
              <w:t xml:space="preserve">   state machine; transitions with no triggering FR; states with no exit.</w:t>
            </w:r>
          </w:p>
          <w:p>
            <w:r>
              <w:rPr>
                <w:rFonts w:ascii="Consolas" w:cs="Consolas" w:eastAsia="Consolas" w:hAnsi="Consolas"/>
                <w:sz w:val="17"/>
                <w:szCs w:val="17"/>
              </w:rPr>
              <w:t xml:space="preserve">5. Flows: main business flows in activity diagrams with no implementation</w:t>
            </w:r>
          </w:p>
          <w:p>
            <w:r>
              <w:rPr>
                <w:rFonts w:ascii="Consolas" w:cs="Consolas" w:eastAsia="Consolas" w:hAnsi="Consolas"/>
                <w:sz w:val="17"/>
                <w:szCs w:val="17"/>
              </w:rPr>
              <w:t xml:space="preserve">   or no test.</w:t>
            </w:r>
          </w:p>
          <w:p>
            <w:r>
              <w:rPr>
                <w:rFonts w:ascii="Consolas" w:cs="Consolas" w:eastAsia="Consolas" w:hAnsi="Consolas"/>
                <w:sz w:val="17"/>
                <w:szCs w:val="17"/>
              </w:rPr>
              <w:t xml:space="preserve">6. Architecture: components or third-party services in code but not in the</w:t>
            </w:r>
          </w:p>
          <w:p>
            <w:r>
              <w:rPr>
                <w:rFonts w:ascii="Consolas" w:cs="Consolas" w:eastAsia="Consolas" w:hAnsi="Consolas"/>
                <w:sz w:val="17"/>
                <w:szCs w:val="17"/>
              </w:rPr>
              <w:t xml:space="preserve">   architecture diagram, and the reverse.</w:t>
            </w:r>
          </w:p>
          <w:p>
            <w:r>
              <w:rPr>
                <w:rFonts w:ascii="Consolas" w:cs="Consolas" w:eastAsia="Consolas" w:hAnsi="Consolas"/>
                <w:sz w:val="17"/>
                <w:szCs w:val="17"/>
              </w:rPr>
              <w:t xml:space="preserve">7. Design vs code: modules, APIs or business rules implemented differently</w:t>
            </w:r>
          </w:p>
          <w:p>
            <w:r>
              <w:rPr>
                <w:rFonts w:ascii="Consolas" w:cs="Consolas" w:eastAsia="Consolas" w:hAnsi="Consolas"/>
                <w:sz w:val="17"/>
                <w:szCs w:val="17"/>
              </w:rPr>
              <w:t xml:space="preserve">   from the SDD.</w:t>
            </w:r>
          </w:p>
          <w:p>
            <w:r>
              <w:rPr>
                <w:rFonts w:ascii="Consolas" w:cs="Consolas" w:eastAsia="Consolas" w:hAnsi="Consolas"/>
                <w:sz w:val="17"/>
                <w:szCs w:val="17"/>
              </w:rPr>
              <w:t xml:space="preserve"/>
            </w:r>
          </w:p>
          <w:p>
            <w:r>
              <w:rPr>
                <w:rFonts w:ascii="Consolas" w:cs="Consolas" w:eastAsia="Consolas" w:hAnsi="Consolas"/>
                <w:sz w:val="17"/>
                <w:szCs w:val="17"/>
              </w:rPr>
              <w:t xml:space="preserve">Output one table: ID | Category | Location | Finding | Severity</w:t>
            </w:r>
          </w:p>
          <w:p>
            <w:r>
              <w:rPr>
                <w:rFonts w:ascii="Consolas" w:cs="Consolas" w:eastAsia="Consolas" w:hAnsi="Consolas"/>
                <w:sz w:val="17"/>
                <w:szCs w:val="17"/>
              </w:rPr>
              <w:t xml:space="preserve">(High/Medium/Low) | Evidence. Then list the 5 most important findings.</w:t>
            </w:r>
          </w:p>
          <w:p>
            <w:r>
              <w:rPr>
                <w:rFonts w:ascii="Consolas" w:cs="Consolas" w:eastAsia="Consolas" w:hAnsi="Consolas"/>
                <w:sz w:val="17"/>
                <w:szCs w:val="17"/>
              </w:rPr>
              <w:t xml:space="preserve">If something cannot be verified from the repository, say so; do not guess.</w:t>
            </w:r>
          </w:p>
        </w:tc>
      </w:tr>
    </w:tbl>
    <w:p>
      <w:pPr>
        <w:pStyle w:val="Heading2"/>
        <w:spacing w:after="100" w:before="240"/>
      </w:pPr>
      <w:r>
        <w:rPr>
          <w:rFonts w:ascii="Calibri" w:cs="Calibri" w:eastAsia="Calibri" w:hAnsi="Calibri"/>
          <w:b/>
          <w:bCs/>
          <w:color w:val="14233A"/>
          <w:sz w:val="24"/>
          <w:szCs w:val="24"/>
        </w:rPr>
        <w:t xml:space="preserve">3. Findings and Team Response</w:t>
      </w:r>
    </w:p>
    <w:p>
      <w:pPr>
        <w:spacing w:after="80"/>
      </w:pPr>
      <w:r>
        <w:rPr>
          <w:rFonts w:ascii="Calibri" w:cs="Calibri" w:eastAsia="Calibri" w:hAnsi="Calibri"/>
          <w:i/>
          <w:iCs/>
          <w:color w:val="666666"/>
          <w:sz w:val="19"/>
          <w:szCs w:val="19"/>
        </w:rPr>
        <w:t xml:space="preserve">Team response: Fixed (link to commit) · Kept (reason) · Planned (owner and due date). Do not delete any finding.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
        <w:gridCol w:w="1063"/>
        <w:gridCol w:w="1329"/>
        <w:gridCol w:w="2326"/>
        <w:gridCol w:w="930"/>
        <w:gridCol w:w="1329"/>
        <w:gridCol w:w="1997"/>
      </w:tblGrid>
      <w:tr>
        <w:trPr>
          <w:tblHeader/>
        </w:trPr>
        <w:tc>
          <w:tcPr>
            <w:tcW w:type="dxa" w:w="66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ID</w:t>
            </w:r>
          </w:p>
        </w:tc>
        <w:tc>
          <w:tcPr>
            <w:tcW w:type="dxa" w:w="106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Category</w:t>
            </w:r>
          </w:p>
        </w:tc>
        <w:tc>
          <w:tcPr>
            <w:tcW w:type="dxa" w:w="1329"/>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Location</w:t>
            </w:r>
          </w:p>
        </w:tc>
        <w:tc>
          <w:tcPr>
            <w:tcW w:type="dxa" w:w="2326"/>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Finding</w:t>
            </w:r>
          </w:p>
        </w:tc>
        <w:tc>
          <w:tcPr>
            <w:tcW w:type="dxa" w:w="930"/>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Severity</w:t>
            </w:r>
          </w:p>
        </w:tc>
        <w:tc>
          <w:tcPr>
            <w:tcW w:type="dxa" w:w="1329"/>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Evidence</w:t>
            </w:r>
          </w:p>
        </w:tc>
        <w:tc>
          <w:tcPr>
            <w:tcW w:type="dxa" w:w="1997"/>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Team response</w:t>
            </w:r>
          </w:p>
        </w:tc>
      </w:tr>
      <w:tr>
        <w:tc>
          <w:tcPr>
            <w:tcW w:type="dxa" w:w="664"/>
            <w:tcBorders>
              <w:top w:val="single" w:color="D9D4CA" w:sz="4"/>
              <w:left w:val="single" w:color="D9D4CA" w:sz="4"/>
              <w:bottom w:val="single" w:color="D9D4CA" w:sz="4"/>
              <w:right w:val="single" w:color="D9D4CA" w:sz="4"/>
            </w:tcBorders>
            <w:tcMar>
              <w:top w:type="dxa" w:w="60"/>
              <w:left w:type="dxa" w:w="80"/>
              <w:bottom w:type="dxa" w:w="60"/>
              <w:right w:type="dxa" w:w="80"/>
            </w:tcMar>
          </w:tcPr>
          <w:p>
            <w:r>
              <w:t>SR-01</w:t>
            </w:r>
          </w:p>
        </w:tc>
        <w:tc>
          <w:tcPr>
            <w:tcW w:type="dxa" w:w="1063"/>
            <w:tcBorders>
              <w:top w:val="single" w:color="D9D4CA" w:sz="4"/>
              <w:left w:val="single" w:color="D9D4CA" w:sz="4"/>
              <w:bottom w:val="single" w:color="D9D4CA" w:sz="4"/>
              <w:right w:val="single" w:color="D9D4CA" w:sz="4"/>
            </w:tcBorders>
            <w:tcMar>
              <w:top w:type="dxa" w:w="60"/>
              <w:left w:type="dxa" w:w="80"/>
              <w:bottom w:type="dxa" w:w="60"/>
              <w:right w:type="dxa" w:w="80"/>
            </w:tcMar>
          </w:tcPr>
          <w:p>
            <w:r>
              <w:t>Scope</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t>Registration vs SRS</w:t>
            </w:r>
          </w:p>
        </w:tc>
        <w:tc>
          <w:tcPr>
            <w:tcW w:type="dxa" w:w="2326"/>
            <w:tcBorders>
              <w:top w:val="single" w:color="D9D4CA" w:sz="4"/>
              <w:left w:val="single" w:color="D9D4CA" w:sz="4"/>
              <w:bottom w:val="single" w:color="D9D4CA" w:sz="4"/>
              <w:right w:val="single" w:color="D9D4CA" w:sz="4"/>
            </w:tcBorders>
            <w:tcMar>
              <w:top w:type="dxa" w:w="60"/>
              <w:left w:type="dxa" w:w="80"/>
              <w:bottom w:type="dxa" w:w="60"/>
              <w:right w:type="dxa" w:w="80"/>
            </w:tcMar>
          </w:tcPr>
          <w:p>
            <w:r>
              <w:t>Phiếu đăng ký ban đầu đề xuất cả ứng dụng Mobile Flutter (Android &amp; iOS). Hiện tại SRS &amp; Code tập trung hoàn thiện Web Responsive SPA (React 19), chuyển Mobile sang Pha 2.</w:t>
            </w:r>
          </w:p>
        </w:tc>
        <w:tc>
          <w:tcPr>
            <w:tcW w:type="dxa" w:w="930"/>
            <w:tcBorders>
              <w:top w:val="single" w:color="D9D4CA" w:sz="4"/>
              <w:left w:val="single" w:color="D9D4CA" w:sz="4"/>
              <w:bottom w:val="single" w:color="D9D4CA" w:sz="4"/>
              <w:right w:val="single" w:color="D9D4CA" w:sz="4"/>
            </w:tcBorders>
            <w:tcMar>
              <w:top w:type="dxa" w:w="60"/>
              <w:left w:type="dxa" w:w="80"/>
              <w:bottom w:type="dxa" w:w="60"/>
              <w:right w:type="dxa" w:w="80"/>
            </w:tcMar>
          </w:tcPr>
          <w:p>
            <w:r>
              <w:t>High</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t>Registration Form §e; Sơ đồ kiến trúc ghi rõ Mobile Client [Phase 2 / Planned].</w:t>
            </w:r>
          </w:p>
        </w:tc>
        <w:tc>
          <w:tcPr>
            <w:tcW w:type="dxa" w:w="1997"/>
            <w:tcBorders>
              <w:top w:val="single" w:color="D9D4CA" w:sz="4"/>
              <w:left w:val="single" w:color="D9D4CA" w:sz="4"/>
              <w:bottom w:val="single" w:color="D9D4CA" w:sz="4"/>
              <w:right w:val="single" w:color="D9D4CA" w:sz="4"/>
            </w:tcBorders>
            <w:tcMar>
              <w:top w:type="dxa" w:w="60"/>
              <w:left w:type="dxa" w:w="80"/>
              <w:bottom w:type="dxa" w:w="60"/>
              <w:right w:type="dxa" w:w="80"/>
            </w:tcMar>
          </w:tcPr>
          <w:p>
            <w:r>
              <w:t>Planned (Owner: Mobile Dev - Due Date: Phase 2 after Defense 1.1; Web Client đáp ứng 100% viewport mobile)</w:t>
            </w:r>
          </w:p>
        </w:tc>
      </w:tr>
      <w:tr>
        <w:tc>
          <w:tcPr>
            <w:tcW w:type="dxa" w:w="664"/>
            <w:tcBorders>
              <w:top w:val="single" w:color="D9D4CA" w:sz="4"/>
              <w:left w:val="single" w:color="D9D4CA" w:sz="4"/>
              <w:bottom w:val="single" w:color="D9D4CA" w:sz="4"/>
              <w:right w:val="single" w:color="D9D4CA" w:sz="4"/>
            </w:tcBorders>
            <w:tcMar>
              <w:top w:type="dxa" w:w="60"/>
              <w:left w:type="dxa" w:w="80"/>
              <w:bottom w:type="dxa" w:w="60"/>
              <w:right w:type="dxa" w:w="80"/>
            </w:tcMar>
          </w:tcPr>
          <w:p>
            <w:r>
              <w:t>SR-02</w:t>
            </w:r>
          </w:p>
        </w:tc>
        <w:tc>
          <w:tcPr>
            <w:tcW w:type="dxa" w:w="1063"/>
            <w:tcBorders>
              <w:top w:val="single" w:color="D9D4CA" w:sz="4"/>
              <w:left w:val="single" w:color="D9D4CA" w:sz="4"/>
              <w:bottom w:val="single" w:color="D9D4CA" w:sz="4"/>
              <w:right w:val="single" w:color="D9D4CA" w:sz="4"/>
            </w:tcBorders>
            <w:tcMar>
              <w:top w:type="dxa" w:w="60"/>
              <w:left w:type="dxa" w:w="80"/>
              <w:bottom w:type="dxa" w:w="60"/>
              <w:right w:type="dxa" w:w="80"/>
            </w:tcMar>
          </w:tcPr>
          <w:p>
            <w:r>
              <w:t>Architecture</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t>SDD §2 Architecture Diagram</w:t>
            </w:r>
          </w:p>
        </w:tc>
        <w:tc>
          <w:tcPr>
            <w:tcW w:type="dxa" w:w="2326"/>
            <w:tcBorders>
              <w:top w:val="single" w:color="D9D4CA" w:sz="4"/>
              <w:left w:val="single" w:color="D9D4CA" w:sz="4"/>
              <w:bottom w:val="single" w:color="D9D4CA" w:sz="4"/>
              <w:right w:val="single" w:color="D9D4CA" w:sz="4"/>
            </w:tcBorders>
            <w:tcMar>
              <w:top w:type="dxa" w:w="60"/>
              <w:left w:type="dxa" w:w="80"/>
              <w:bottom w:type="dxa" w:w="60"/>
              <w:right w:type="dxa" w:w="80"/>
            </w:tcMar>
          </w:tcPr>
          <w:p>
            <w:r>
              <w:t>Sơ đồ kiến trúc tổng quan cũ thiếu kênh kết nối gRPC (:5155) sang Identity Service và SSE Stream (:8000) sang AI RAG Service.</w:t>
            </w:r>
          </w:p>
        </w:tc>
        <w:tc>
          <w:tcPr>
            <w:tcW w:type="dxa" w:w="930"/>
            <w:tcBorders>
              <w:top w:val="single" w:color="D9D4CA" w:sz="4"/>
              <w:left w:val="single" w:color="D9D4CA" w:sz="4"/>
              <w:bottom w:val="single" w:color="D9D4CA" w:sz="4"/>
              <w:right w:val="single" w:color="D9D4CA" w:sz="4"/>
            </w:tcBorders>
            <w:tcMar>
              <w:top w:type="dxa" w:w="60"/>
              <w:left w:type="dxa" w:w="80"/>
              <w:bottom w:type="dxa" w:w="60"/>
              <w:right w:type="dxa" w:w="80"/>
            </w:tcMar>
          </w:tcPr>
          <w:p>
            <w:r>
              <w:t>High</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t>IdentityGrpcClient.cs (:5155) &amp; AiTutorClient.cs (:8000) trong Practice Service.</w:t>
            </w:r>
          </w:p>
        </w:tc>
        <w:tc>
          <w:tcPr>
            <w:tcW w:type="dxa" w:w="1997"/>
            <w:tcBorders>
              <w:top w:val="single" w:color="D9D4CA" w:sz="4"/>
              <w:left w:val="single" w:color="D9D4CA" w:sz="4"/>
              <w:bottom w:val="single" w:color="D9D4CA" w:sz="4"/>
              <w:right w:val="single" w:color="D9D4CA" w:sz="4"/>
            </w:tcBorders>
            <w:tcMar>
              <w:top w:type="dxa" w:w="60"/>
              <w:left w:type="dxa" w:w="80"/>
              <w:bottom w:type="dxa" w:w="60"/>
              <w:right w:type="dxa" w:w="80"/>
            </w:tcMar>
          </w:tcPr>
          <w:p>
            <w:r>
              <w:t>Fixed – commit 82d5836 (Cập nhật sơ đồ architecture.mmd bổ sung đầy đủ kết nối Server-to-Server)</w:t>
            </w:r>
          </w:p>
        </w:tc>
      </w:tr>
      <w:tr>
        <w:tc>
          <w:tcPr>
            <w:tcW w:type="dxa" w:w="664"/>
            <w:tcBorders>
              <w:top w:val="single" w:color="D9D4CA" w:sz="4"/>
              <w:left w:val="single" w:color="D9D4CA" w:sz="4"/>
              <w:bottom w:val="single" w:color="D9D4CA" w:sz="4"/>
              <w:right w:val="single" w:color="D9D4CA" w:sz="4"/>
            </w:tcBorders>
            <w:tcMar>
              <w:top w:type="dxa" w:w="60"/>
              <w:left w:type="dxa" w:w="80"/>
              <w:bottom w:type="dxa" w:w="60"/>
              <w:right w:type="dxa" w:w="80"/>
            </w:tcMar>
          </w:tcPr>
          <w:p>
            <w:r>
              <w:t>SR-03</w:t>
            </w:r>
          </w:p>
        </w:tc>
        <w:tc>
          <w:tcPr>
            <w:tcW w:type="dxa" w:w="1063"/>
            <w:tcBorders>
              <w:top w:val="single" w:color="D9D4CA" w:sz="4"/>
              <w:left w:val="single" w:color="D9D4CA" w:sz="4"/>
              <w:bottom w:val="single" w:color="D9D4CA" w:sz="4"/>
              <w:right w:val="single" w:color="D9D4CA" w:sz="4"/>
            </w:tcBorders>
            <w:tcMar>
              <w:top w:type="dxa" w:w="60"/>
              <w:left w:type="dxa" w:w="80"/>
              <w:bottom w:type="dxa" w:w="60"/>
              <w:right w:type="dxa" w:w="80"/>
            </w:tcMar>
          </w:tcPr>
          <w:p>
            <w:r>
              <w:t>Data</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t>SDD §2.2 ERD vs SQL.sql</w:t>
            </w:r>
          </w:p>
        </w:tc>
        <w:tc>
          <w:tcPr>
            <w:tcW w:type="dxa" w:w="2326"/>
            <w:tcBorders>
              <w:top w:val="single" w:color="D9D4CA" w:sz="4"/>
              <w:left w:val="single" w:color="D9D4CA" w:sz="4"/>
              <w:bottom w:val="single" w:color="D9D4CA" w:sz="4"/>
              <w:right w:val="single" w:color="D9D4CA" w:sz="4"/>
            </w:tcBorders>
            <w:tcMar>
              <w:top w:type="dxa" w:w="60"/>
              <w:left w:type="dxa" w:w="80"/>
              <w:bottom w:type="dxa" w:w="60"/>
              <w:right w:type="dxa" w:w="80"/>
            </w:tcMar>
          </w:tcPr>
          <w:p>
            <w:r>
              <w:t>Sơ đồ Logical ERD cũ trong SDD chỉ có 11 bảng giả định sai tên; CSDL thực tế có 47 bảng và 74 quan hệ.</w:t>
            </w:r>
          </w:p>
        </w:tc>
        <w:tc>
          <w:tcPr>
            <w:tcW w:type="dxa" w:w="930"/>
            <w:tcBorders>
              <w:top w:val="single" w:color="D9D4CA" w:sz="4"/>
              <w:left w:val="single" w:color="D9D4CA" w:sz="4"/>
              <w:bottom w:val="single" w:color="D9D4CA" w:sz="4"/>
              <w:right w:val="single" w:color="D9D4CA" w:sz="4"/>
            </w:tcBorders>
            <w:tcMar>
              <w:top w:type="dxa" w:w="60"/>
              <w:left w:type="dxa" w:w="80"/>
              <w:bottom w:type="dxa" w:w="60"/>
              <w:right w:type="dxa" w:w="80"/>
            </w:tcMar>
          </w:tcPr>
          <w:p>
            <w:r>
              <w:t>High</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t>V-Eval_Architecture_Plan.md mục 2.2 cũ vs docs/SQL/SQL.sql V4.1.</w:t>
            </w:r>
          </w:p>
        </w:tc>
        <w:tc>
          <w:tcPr>
            <w:tcW w:type="dxa" w:w="1997"/>
            <w:tcBorders>
              <w:top w:val="single" w:color="D9D4CA" w:sz="4"/>
              <w:left w:val="single" w:color="D9D4CA" w:sz="4"/>
              <w:bottom w:val="single" w:color="D9D4CA" w:sz="4"/>
              <w:right w:val="single" w:color="D9D4CA" w:sz="4"/>
            </w:tcBorders>
            <w:tcMar>
              <w:top w:type="dxa" w:w="60"/>
              <w:left w:type="dxa" w:w="80"/>
              <w:bottom w:type="dxa" w:w="60"/>
              <w:right w:type="dxa" w:w="80"/>
            </w:tcMar>
          </w:tcPr>
          <w:p>
            <w:r>
              <w:t>Fixed – commit 82d5836 (Khởi tạo độc lập docs/diagrams/erd.mmd và đồng bộ 100% với SQL.sql V4.1)</w:t>
            </w:r>
          </w:p>
        </w:tc>
      </w:tr>
      <w:tr>
        <w:tc>
          <w:tcPr>
            <w:tcW w:type="dxa" w:w="664"/>
            <w:tcBorders>
              <w:top w:val="single" w:color="D9D4CA" w:sz="4"/>
              <w:left w:val="single" w:color="D9D4CA" w:sz="4"/>
              <w:bottom w:val="single" w:color="D9D4CA" w:sz="4"/>
              <w:right w:val="single" w:color="D9D4CA" w:sz="4"/>
            </w:tcBorders>
            <w:tcMar>
              <w:top w:type="dxa" w:w="60"/>
              <w:left w:type="dxa" w:w="80"/>
              <w:bottom w:type="dxa" w:w="60"/>
              <w:right w:type="dxa" w:w="80"/>
            </w:tcMar>
          </w:tcPr>
          <w:p>
            <w:r>
              <w:t>SR-04</w:t>
            </w:r>
          </w:p>
        </w:tc>
        <w:tc>
          <w:tcPr>
            <w:tcW w:type="dxa" w:w="1063"/>
            <w:tcBorders>
              <w:top w:val="single" w:color="D9D4CA" w:sz="4"/>
              <w:left w:val="single" w:color="D9D4CA" w:sz="4"/>
              <w:bottom w:val="single" w:color="D9D4CA" w:sz="4"/>
              <w:right w:val="single" w:color="D9D4CA" w:sz="4"/>
            </w:tcBorders>
            <w:tcMar>
              <w:top w:type="dxa" w:w="60"/>
              <w:left w:type="dxa" w:w="80"/>
              <w:bottom w:type="dxa" w:w="60"/>
              <w:right w:type="dxa" w:w="80"/>
            </w:tcMar>
          </w:tcPr>
          <w:p>
            <w:r>
              <w:t>Data</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t>AI Engine Database Persistence</w:t>
            </w:r>
          </w:p>
        </w:tc>
        <w:tc>
          <w:tcPr>
            <w:tcW w:type="dxa" w:w="2326"/>
            <w:tcBorders>
              <w:top w:val="single" w:color="D9D4CA" w:sz="4"/>
              <w:left w:val="single" w:color="D9D4CA" w:sz="4"/>
              <w:bottom w:val="single" w:color="D9D4CA" w:sz="4"/>
              <w:right w:val="single" w:color="D9D4CA" w:sz="4"/>
            </w:tcBorders>
            <w:tcMar>
              <w:top w:type="dxa" w:w="60"/>
              <w:left w:type="dxa" w:w="80"/>
              <w:bottom w:type="dxa" w:w="60"/>
              <w:right w:type="dxa" w:w="80"/>
            </w:tcMar>
          </w:tcPr>
          <w:p>
            <w:r>
              <w:t>Cột vector embedding trong bảng v_eval_ai.KnowledgeVectorChunks bị null cục bộ do code C# TextbookRepository chưa đẩy vector trực tiếp.</w:t>
            </w:r>
          </w:p>
        </w:tc>
        <w:tc>
          <w:tcPr>
            <w:tcW w:type="dxa" w:w="930"/>
            <w:tcBorders>
              <w:top w:val="single" w:color="D9D4CA" w:sz="4"/>
              <w:left w:val="single" w:color="D9D4CA" w:sz="4"/>
              <w:bottom w:val="single" w:color="D9D4CA" w:sz="4"/>
              <w:right w:val="single" w:color="D9D4CA" w:sz="4"/>
            </w:tcBorders>
            <w:tcMar>
              <w:top w:type="dxa" w:w="60"/>
              <w:left w:type="dxa" w:w="80"/>
              <w:bottom w:type="dxa" w:w="60"/>
              <w:right w:type="dxa" w:w="80"/>
            </w:tcMar>
          </w:tcPr>
          <w:p>
            <w:r>
              <w:t>High</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t>TextbookRepository.cs dòng 250 thiếu tham số truyền vào cột @embedding.</w:t>
            </w:r>
          </w:p>
        </w:tc>
        <w:tc>
          <w:tcPr>
            <w:tcW w:type="dxa" w:w="1997"/>
            <w:tcBorders>
              <w:top w:val="single" w:color="D9D4CA" w:sz="4"/>
              <w:left w:val="single" w:color="D9D4CA" w:sz="4"/>
              <w:bottom w:val="single" w:color="D9D4CA" w:sz="4"/>
              <w:right w:val="single" w:color="D9D4CA" w:sz="4"/>
            </w:tcBorders>
            <w:tcMar>
              <w:top w:type="dxa" w:w="60"/>
              <w:left w:type="dxa" w:w="80"/>
              <w:bottom w:type="dxa" w:w="60"/>
              <w:right w:type="dxa" w:w="80"/>
            </w:tcMar>
          </w:tcPr>
          <w:p>
            <w:r>
              <w:t>Planned (Owner: Backend AI Lead - Due Date: 10/11/2026 trước Defense 1.1; bổ sung Background Worker sinh vector)</w:t>
            </w:r>
          </w:p>
        </w:tc>
      </w:tr>
      <w:tr>
        <w:tc>
          <w:tcPr>
            <w:tcW w:type="dxa" w:w="664"/>
            <w:tcBorders>
              <w:top w:val="single" w:color="D9D4CA" w:sz="4"/>
              <w:left w:val="single" w:color="D9D4CA" w:sz="4"/>
              <w:bottom w:val="single" w:color="D9D4CA" w:sz="4"/>
              <w:right w:val="single" w:color="D9D4CA" w:sz="4"/>
            </w:tcBorders>
            <w:tcMar>
              <w:top w:type="dxa" w:w="60"/>
              <w:left w:type="dxa" w:w="80"/>
              <w:bottom w:type="dxa" w:w="60"/>
              <w:right w:type="dxa" w:w="80"/>
            </w:tcMar>
          </w:tcPr>
          <w:p>
            <w:r>
              <w:t>SR-05</w:t>
            </w:r>
          </w:p>
        </w:tc>
        <w:tc>
          <w:tcPr>
            <w:tcW w:type="dxa" w:w="1063"/>
            <w:tcBorders>
              <w:top w:val="single" w:color="D9D4CA" w:sz="4"/>
              <w:left w:val="single" w:color="D9D4CA" w:sz="4"/>
              <w:bottom w:val="single" w:color="D9D4CA" w:sz="4"/>
              <w:right w:val="single" w:color="D9D4CA" w:sz="4"/>
            </w:tcBorders>
            <w:tcMar>
              <w:top w:type="dxa" w:w="60"/>
              <w:left w:type="dxa" w:w="80"/>
              <w:bottom w:type="dxa" w:w="60"/>
              <w:right w:type="dxa" w:w="80"/>
            </w:tcMar>
          </w:tcPr>
          <w:p>
            <w:r>
              <w:t>Architecture</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t>Technology Stack Alignment</w:t>
            </w:r>
          </w:p>
        </w:tc>
        <w:tc>
          <w:tcPr>
            <w:tcW w:type="dxa" w:w="2326"/>
            <w:tcBorders>
              <w:top w:val="single" w:color="D9D4CA" w:sz="4"/>
              <w:left w:val="single" w:color="D9D4CA" w:sz="4"/>
              <w:bottom w:val="single" w:color="D9D4CA" w:sz="4"/>
              <w:right w:val="single" w:color="D9D4CA" w:sz="4"/>
            </w:tcBorders>
            <w:tcMar>
              <w:top w:type="dxa" w:w="60"/>
              <w:left w:type="dxa" w:w="80"/>
              <w:bottom w:type="dxa" w:w="60"/>
              <w:right w:type="dxa" w:w="80"/>
            </w:tcMar>
          </w:tcPr>
          <w:p>
            <w:r>
              <w:t>Phiếu đăng ký ban đầu ghi Vector DB là Qdrant/Pinecone và AI là OpenAI GPT; thực tế hệ thống chuyển sang Supabase pgvector và Google Gemini (OpenAI làm Fallback).</w:t>
            </w:r>
          </w:p>
        </w:tc>
        <w:tc>
          <w:tcPr>
            <w:tcW w:type="dxa" w:w="930"/>
            <w:tcBorders>
              <w:top w:val="single" w:color="D9D4CA" w:sz="4"/>
              <w:left w:val="single" w:color="D9D4CA" w:sz="4"/>
              <w:bottom w:val="single" w:color="D9D4CA" w:sz="4"/>
              <w:right w:val="single" w:color="D9D4CA" w:sz="4"/>
            </w:tcBorders>
            <w:tcMar>
              <w:top w:type="dxa" w:w="60"/>
              <w:left w:type="dxa" w:w="80"/>
              <w:bottom w:type="dxa" w:w="60"/>
              <w:right w:type="dxa" w:w="80"/>
            </w:tcMar>
          </w:tcPr>
          <w:p>
            <w:r>
              <w:t>Medium</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t>Registration Form §e vs docker-compose.yml, SQL.sql và rag-service/graph/graph_db.py.</w:t>
            </w:r>
          </w:p>
        </w:tc>
        <w:tc>
          <w:tcPr>
            <w:tcW w:type="dxa" w:w="1997"/>
            <w:tcBorders>
              <w:top w:val="single" w:color="D9D4CA" w:sz="4"/>
              <w:left w:val="single" w:color="D9D4CA" w:sz="4"/>
              <w:bottom w:val="single" w:color="D9D4CA" w:sz="4"/>
              <w:right w:val="single" w:color="D9D4CA" w:sz="4"/>
            </w:tcBorders>
            <w:tcMar>
              <w:top w:type="dxa" w:w="60"/>
              <w:left w:type="dxa" w:w="80"/>
              <w:bottom w:type="dxa" w:w="60"/>
              <w:right w:type="dxa" w:w="80"/>
            </w:tcMar>
          </w:tcPr>
          <w:p>
            <w:r>
              <w:t>Kept (Tối ưu hóa kiến trúc hạ tầng: PostgreSQL pgvector giúp hợp nhất CSDL ACID và giảm chi phí; Gemini Vision OCR xử lý toán học vượt trội)</w:t>
            </w:r>
          </w:p>
        </w:tc>
      </w:tr>
      <w:tr>
        <w:tc>
          <w:tcPr>
            <w:tcW w:type="dxa" w:w="664"/>
            <w:tcBorders>
              <w:top w:val="single" w:color="D9D4CA" w:sz="4"/>
              <w:left w:val="single" w:color="D9D4CA" w:sz="4"/>
              <w:bottom w:val="single" w:color="D9D4CA" w:sz="4"/>
              <w:right w:val="single" w:color="D9D4CA" w:sz="4"/>
            </w:tcBorders>
            <w:tcMar>
              <w:top w:type="dxa" w:w="60"/>
              <w:left w:type="dxa" w:w="80"/>
              <w:bottom w:type="dxa" w:w="60"/>
              <w:right w:type="dxa" w:w="80"/>
            </w:tcMar>
          </w:tcPr>
          <w:p>
            <w:r>
              <w:t>SR-06</w:t>
            </w:r>
          </w:p>
        </w:tc>
        <w:tc>
          <w:tcPr>
            <w:tcW w:type="dxa" w:w="1063"/>
            <w:tcBorders>
              <w:top w:val="single" w:color="D9D4CA" w:sz="4"/>
              <w:left w:val="single" w:color="D9D4CA" w:sz="4"/>
              <w:bottom w:val="single" w:color="D9D4CA" w:sz="4"/>
              <w:right w:val="single" w:color="D9D4CA" w:sz="4"/>
            </w:tcBorders>
            <w:tcMar>
              <w:top w:type="dxa" w:w="60"/>
              <w:left w:type="dxa" w:w="80"/>
              <w:bottom w:type="dxa" w:w="60"/>
              <w:right w:type="dxa" w:w="80"/>
            </w:tcMar>
          </w:tcPr>
          <w:p>
            <w:r>
              <w:t>Requirements</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t>SDD §NFR &amp; Testing</w:t>
            </w:r>
          </w:p>
        </w:tc>
        <w:tc>
          <w:tcPr>
            <w:tcW w:type="dxa" w:w="2326"/>
            <w:tcBorders>
              <w:top w:val="single" w:color="D9D4CA" w:sz="4"/>
              <w:left w:val="single" w:color="D9D4CA" w:sz="4"/>
              <w:bottom w:val="single" w:color="D9D4CA" w:sz="4"/>
              <w:right w:val="single" w:color="D9D4CA" w:sz="4"/>
            </w:tcBorders>
            <w:tcMar>
              <w:top w:type="dxa" w:w="60"/>
              <w:left w:type="dxa" w:w="80"/>
              <w:bottom w:type="dxa" w:w="60"/>
              <w:right w:type="dxa" w:w="80"/>
            </w:tcMar>
          </w:tcPr>
          <w:p>
            <w:r>
              <w:t>Một số yêu cầu phi chức năng (NFR thời gian phản hồi &lt; 3s, chịu tải 1000 CCU) chưa có kịch bản đo kiểm tự động trên CI/CD.</w:t>
            </w:r>
          </w:p>
        </w:tc>
        <w:tc>
          <w:tcPr>
            <w:tcW w:type="dxa" w:w="930"/>
            <w:tcBorders>
              <w:top w:val="single" w:color="D9D4CA" w:sz="4"/>
              <w:left w:val="single" w:color="D9D4CA" w:sz="4"/>
              <w:bottom w:val="single" w:color="D9D4CA" w:sz="4"/>
              <w:right w:val="single" w:color="D9D4CA" w:sz="4"/>
            </w:tcBorders>
            <w:tcMar>
              <w:top w:type="dxa" w:w="60"/>
              <w:left w:type="dxa" w:w="80"/>
              <w:bottom w:type="dxa" w:w="60"/>
              <w:right w:type="dxa" w:w="80"/>
            </w:tcMar>
          </w:tcPr>
          <w:p>
            <w:r>
              <w:t>Medium</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t>V-Eval_Architecture_Plan.md mục NFR vs thiếu script k6/JMeter trong repo.</w:t>
            </w:r>
          </w:p>
        </w:tc>
        <w:tc>
          <w:tcPr>
            <w:tcW w:type="dxa" w:w="1997"/>
            <w:tcBorders>
              <w:top w:val="single" w:color="D9D4CA" w:sz="4"/>
              <w:left w:val="single" w:color="D9D4CA" w:sz="4"/>
              <w:bottom w:val="single" w:color="D9D4CA" w:sz="4"/>
              <w:right w:val="single" w:color="D9D4CA" w:sz="4"/>
            </w:tcBorders>
            <w:tcMar>
              <w:top w:type="dxa" w:w="60"/>
              <w:left w:type="dxa" w:w="80"/>
              <w:bottom w:type="dxa" w:w="60"/>
              <w:right w:type="dxa" w:w="80"/>
            </w:tcMar>
          </w:tcPr>
          <w:p>
            <w:r>
              <w:t>Planned (Owner: QA Lead - Due Date: 15/11/2026 trước Defense 1.1; cấu hình k6 load test trên GitHub Actions)</w:t>
            </w:r>
          </w:p>
        </w:tc>
      </w:tr>
      <w:tr>
        <w:tc>
          <w:tcPr>
            <w:tcW w:type="dxa" w:w="664"/>
            <w:tcBorders>
              <w:top w:val="single" w:color="D9D4CA" w:sz="4"/>
              <w:left w:val="single" w:color="D9D4CA" w:sz="4"/>
              <w:bottom w:val="single" w:color="D9D4CA" w:sz="4"/>
              <w:right w:val="single" w:color="D9D4CA" w:sz="4"/>
            </w:tcBorders>
            <w:tcMar>
              <w:top w:type="dxa" w:w="60"/>
              <w:left w:type="dxa" w:w="80"/>
              <w:bottom w:type="dxa" w:w="60"/>
              <w:right w:type="dxa" w:w="80"/>
            </w:tcMar>
          </w:tcPr>
          <w:p>
            <w:r>
              <w:t>SR-07</w:t>
            </w:r>
          </w:p>
        </w:tc>
        <w:tc>
          <w:tcPr>
            <w:tcW w:type="dxa" w:w="1063"/>
            <w:tcBorders>
              <w:top w:val="single" w:color="D9D4CA" w:sz="4"/>
              <w:left w:val="single" w:color="D9D4CA" w:sz="4"/>
              <w:bottom w:val="single" w:color="D9D4CA" w:sz="4"/>
              <w:right w:val="single" w:color="D9D4CA" w:sz="4"/>
            </w:tcBorders>
            <w:tcMar>
              <w:top w:type="dxa" w:w="60"/>
              <w:left w:type="dxa" w:w="80"/>
              <w:bottom w:type="dxa" w:w="60"/>
              <w:right w:type="dxa" w:w="80"/>
            </w:tcMar>
          </w:tcPr>
          <w:p>
            <w:r>
              <w:t>Data</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t>AI Engine Local File Storage</w:t>
            </w:r>
          </w:p>
        </w:tc>
        <w:tc>
          <w:tcPr>
            <w:tcW w:type="dxa" w:w="2326"/>
            <w:tcBorders>
              <w:top w:val="single" w:color="D9D4CA" w:sz="4"/>
              <w:left w:val="single" w:color="D9D4CA" w:sz="4"/>
              <w:bottom w:val="single" w:color="D9D4CA" w:sz="4"/>
              <w:right w:val="single" w:color="D9D4CA" w:sz="4"/>
            </w:tcBorders>
            <w:tcMar>
              <w:top w:type="dxa" w:w="60"/>
              <w:left w:type="dxa" w:w="80"/>
              <w:bottom w:type="dxa" w:w="60"/>
              <w:right w:type="dxa" w:w="80"/>
            </w:tcMar>
          </w:tcPr>
          <w:p>
            <w:r>
              <w:t>Một số file ảnh đồ thị cắt ra từ đề thi PDF tạm thời lưu tại thư mục cục bộ wwwroot/extracted_images thay vì upload trực tiếp lên Supabase Storage bucket exam-media.</w:t>
            </w:r>
          </w:p>
        </w:tc>
        <w:tc>
          <w:tcPr>
            <w:tcW w:type="dxa" w:w="930"/>
            <w:tcBorders>
              <w:top w:val="single" w:color="D9D4CA" w:sz="4"/>
              <w:left w:val="single" w:color="D9D4CA" w:sz="4"/>
              <w:bottom w:val="single" w:color="D9D4CA" w:sz="4"/>
              <w:right w:val="single" w:color="D9D4CA" w:sz="4"/>
            </w:tcBorders>
            <w:tcMar>
              <w:top w:type="dxa" w:w="60"/>
              <w:left w:type="dxa" w:w="80"/>
              <w:bottom w:type="dxa" w:w="60"/>
              <w:right w:type="dxa" w:w="80"/>
            </w:tcMar>
          </w:tcPr>
          <w:p>
            <w:r>
              <w:t>Medium</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t>PdfPigExamParserService.cs ghi file vào wwwroot cục bộ.</w:t>
            </w:r>
          </w:p>
        </w:tc>
        <w:tc>
          <w:tcPr>
            <w:tcW w:type="dxa" w:w="1997"/>
            <w:tcBorders>
              <w:top w:val="single" w:color="D9D4CA" w:sz="4"/>
              <w:left w:val="single" w:color="D9D4CA" w:sz="4"/>
              <w:bottom w:val="single" w:color="D9D4CA" w:sz="4"/>
              <w:right w:val="single" w:color="D9D4CA" w:sz="4"/>
            </w:tcBorders>
            <w:tcMar>
              <w:top w:type="dxa" w:w="60"/>
              <w:left w:type="dxa" w:w="80"/>
              <w:bottom w:type="dxa" w:w="60"/>
              <w:right w:type="dxa" w:w="80"/>
            </w:tcMar>
          </w:tcPr>
          <w:p>
            <w:r>
              <w:t>Planned (Owner: Backend Content Lead - Due Date: 12/11/2026 trước Defense 1.1; chuyển đổi sang SupabaseStorageService)</w:t>
            </w:r>
          </w:p>
        </w:tc>
      </w:tr>
      <w:tr>
        <w:tc>
          <w:tcPr>
            <w:tcW w:type="dxa" w:w="664"/>
            <w:tcBorders>
              <w:top w:val="single" w:color="D9D4CA" w:sz="4"/>
              <w:left w:val="single" w:color="D9D4CA" w:sz="4"/>
              <w:bottom w:val="single" w:color="D9D4CA" w:sz="4"/>
              <w:right w:val="single" w:color="D9D4CA" w:sz="4"/>
            </w:tcBorders>
            <w:tcMar>
              <w:top w:type="dxa" w:w="60"/>
              <w:left w:type="dxa" w:w="80"/>
              <w:bottom w:type="dxa" w:w="60"/>
              <w:right w:type="dxa" w:w="80"/>
            </w:tcMar>
          </w:tcPr>
          <w:p>
            <w:r>
              <w:t>SR-08</w:t>
            </w:r>
          </w:p>
        </w:tc>
        <w:tc>
          <w:tcPr>
            <w:tcW w:type="dxa" w:w="1063"/>
            <w:tcBorders>
              <w:top w:val="single" w:color="D9D4CA" w:sz="4"/>
              <w:left w:val="single" w:color="D9D4CA" w:sz="4"/>
              <w:bottom w:val="single" w:color="D9D4CA" w:sz="4"/>
              <w:right w:val="single" w:color="D9D4CA" w:sz="4"/>
            </w:tcBorders>
            <w:tcMar>
              <w:top w:type="dxa" w:w="60"/>
              <w:left w:type="dxa" w:w="80"/>
              <w:bottom w:type="dxa" w:w="60"/>
              <w:right w:type="dxa" w:w="80"/>
            </w:tcMar>
          </w:tcPr>
          <w:p>
            <w:r>
              <w:t>States</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t>SDD §2.3 State Machine</w:t>
            </w:r>
          </w:p>
        </w:tc>
        <w:tc>
          <w:tcPr>
            <w:tcW w:type="dxa" w:w="2326"/>
            <w:tcBorders>
              <w:top w:val="single" w:color="D9D4CA" w:sz="4"/>
              <w:left w:val="single" w:color="D9D4CA" w:sz="4"/>
              <w:bottom w:val="single" w:color="D9D4CA" w:sz="4"/>
              <w:right w:val="single" w:color="D9D4CA" w:sz="4"/>
            </w:tcBorders>
            <w:tcMar>
              <w:top w:type="dxa" w:w="60"/>
              <w:left w:type="dxa" w:w="80"/>
              <w:bottom w:type="dxa" w:w="60"/>
              <w:right w:type="dxa" w:w="80"/>
            </w:tcMar>
          </w:tcPr>
          <w:p>
            <w:r>
              <w:t>Sơ đồ State Machine trong SDD mô tả vòng đời phiên thi nhưng chưa có biểu đồ trạng thái độc lập riêng cho thực thể chặng học RoadmapNodes (LOCKED -&gt; UNLOCKED -&gt; IN_PROGRESS -&gt; COMPLETED).</w:t>
            </w:r>
          </w:p>
        </w:tc>
        <w:tc>
          <w:tcPr>
            <w:tcW w:type="dxa" w:w="930"/>
            <w:tcBorders>
              <w:top w:val="single" w:color="D9D4CA" w:sz="4"/>
              <w:left w:val="single" w:color="D9D4CA" w:sz="4"/>
              <w:bottom w:val="single" w:color="D9D4CA" w:sz="4"/>
              <w:right w:val="single" w:color="D9D4CA" w:sz="4"/>
            </w:tcBorders>
            <w:tcMar>
              <w:top w:type="dxa" w:w="60"/>
              <w:left w:type="dxa" w:w="80"/>
              <w:bottom w:type="dxa" w:w="60"/>
              <w:right w:type="dxa" w:w="80"/>
            </w:tcMar>
          </w:tcPr>
          <w:p>
            <w:r>
              <w:t>Medium</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t>RoadmapNode.cs định nghĩa trạng thái vs SDD mục 2.3 chỉ có Exam Attempt State Machine.</w:t>
            </w:r>
          </w:p>
        </w:tc>
        <w:tc>
          <w:tcPr>
            <w:tcW w:type="dxa" w:w="1997"/>
            <w:tcBorders>
              <w:top w:val="single" w:color="D9D4CA" w:sz="4"/>
              <w:left w:val="single" w:color="D9D4CA" w:sz="4"/>
              <w:bottom w:val="single" w:color="D9D4CA" w:sz="4"/>
              <w:right w:val="single" w:color="D9D4CA" w:sz="4"/>
            </w:tcBorders>
            <w:tcMar>
              <w:top w:type="dxa" w:w="60"/>
              <w:left w:type="dxa" w:w="80"/>
              <w:bottom w:type="dxa" w:w="60"/>
              <w:right w:type="dxa" w:w="80"/>
            </w:tcMar>
          </w:tcPr>
          <w:p>
            <w:r>
              <w:t>Planned (Owner: Architecture Lead - Due Date: 05/11/2026; bổ sung State Machine chặng học vào SDD)</w:t>
            </w:r>
          </w:p>
        </w:tc>
      </w:tr>
      <w:tr>
        <w:tc>
          <w:tcPr>
            <w:tcW w:type="dxa" w:w="664"/>
            <w:tcBorders>
              <w:top w:val="single" w:color="D9D4CA" w:sz="4"/>
              <w:left w:val="single" w:color="D9D4CA" w:sz="4"/>
              <w:bottom w:val="single" w:color="D9D4CA" w:sz="4"/>
              <w:right w:val="single" w:color="D9D4CA" w:sz="4"/>
            </w:tcBorders>
            <w:tcMar>
              <w:top w:type="dxa" w:w="60"/>
              <w:left w:type="dxa" w:w="80"/>
              <w:bottom w:type="dxa" w:w="60"/>
              <w:right w:type="dxa" w:w="80"/>
            </w:tcMar>
          </w:tcPr>
          <w:p>
            <w:r>
              <w:t>SR-09</w:t>
            </w:r>
          </w:p>
        </w:tc>
        <w:tc>
          <w:tcPr>
            <w:tcW w:type="dxa" w:w="1063"/>
            <w:tcBorders>
              <w:top w:val="single" w:color="D9D4CA" w:sz="4"/>
              <w:left w:val="single" w:color="D9D4CA" w:sz="4"/>
              <w:bottom w:val="single" w:color="D9D4CA" w:sz="4"/>
              <w:right w:val="single" w:color="D9D4CA" w:sz="4"/>
            </w:tcBorders>
            <w:tcMar>
              <w:top w:type="dxa" w:w="60"/>
              <w:left w:type="dxa" w:w="80"/>
              <w:bottom w:type="dxa" w:w="60"/>
              <w:right w:type="dxa" w:w="80"/>
            </w:tcMar>
          </w:tcPr>
          <w:p>
            <w:r>
              <w:t>Flows</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t>Core Flows 1-6 vs Automated Tests</w:t>
            </w:r>
          </w:p>
        </w:tc>
        <w:tc>
          <w:tcPr>
            <w:tcW w:type="dxa" w:w="2326"/>
            <w:tcBorders>
              <w:top w:val="single" w:color="D9D4CA" w:sz="4"/>
              <w:left w:val="single" w:color="D9D4CA" w:sz="4"/>
              <w:bottom w:val="single" w:color="D9D4CA" w:sz="4"/>
              <w:right w:val="single" w:color="D9D4CA" w:sz="4"/>
            </w:tcBorders>
            <w:tcMar>
              <w:top w:type="dxa" w:w="60"/>
              <w:left w:type="dxa" w:w="80"/>
              <w:bottom w:type="dxa" w:w="60"/>
              <w:right w:type="dxa" w:w="80"/>
            </w:tcMar>
          </w:tcPr>
          <w:p>
            <w:r>
              <w:t>Toàn bộ 6 Core Flows đã có implementation nghiệp vụ hoàn chỉnh trong các Application Handlers nhưng bộ test tự động CI chưa đạt đủ 66 functional test cases theo công thức mục 09.3.</w:t>
            </w:r>
          </w:p>
        </w:tc>
        <w:tc>
          <w:tcPr>
            <w:tcW w:type="dxa" w:w="930"/>
            <w:tcBorders>
              <w:top w:val="single" w:color="D9D4CA" w:sz="4"/>
              <w:left w:val="single" w:color="D9D4CA" w:sz="4"/>
              <w:bottom w:val="single" w:color="D9D4CA" w:sz="4"/>
              <w:right w:val="single" w:color="D9D4CA" w:sz="4"/>
            </w:tcBorders>
            <w:tcMar>
              <w:top w:type="dxa" w:w="60"/>
              <w:left w:type="dxa" w:w="80"/>
              <w:bottom w:type="dxa" w:w="60"/>
              <w:right w:type="dxa" w:w="80"/>
            </w:tcMar>
          </w:tcPr>
          <w:p>
            <w:r>
              <w:t>Medium</w:t>
            </w:r>
          </w:p>
        </w:tc>
        <w:tc>
          <w:tcPr>
            <w:tcW w:type="dxa" w:w="1329"/>
            <w:tcBorders>
              <w:top w:val="single" w:color="D9D4CA" w:sz="4"/>
              <w:left w:val="single" w:color="D9D4CA" w:sz="4"/>
              <w:bottom w:val="single" w:color="D9D4CA" w:sz="4"/>
              <w:right w:val="single" w:color="D9D4CA" w:sz="4"/>
            </w:tcBorders>
            <w:tcMar>
              <w:top w:type="dxa" w:w="60"/>
              <w:left w:type="dxa" w:w="80"/>
              <w:bottom w:type="dxa" w:w="60"/>
              <w:right w:type="dxa" w:w="80"/>
            </w:tcMar>
          </w:tcPr>
          <w:p>
            <w:r>
              <w:t>Core activity diagrams vs thư mục tests trong các service con.</w:t>
            </w:r>
          </w:p>
        </w:tc>
        <w:tc>
          <w:tcPr>
            <w:tcW w:type="dxa" w:w="1997"/>
            <w:tcBorders>
              <w:top w:val="single" w:color="D9D4CA" w:sz="4"/>
              <w:left w:val="single" w:color="D9D4CA" w:sz="4"/>
              <w:bottom w:val="single" w:color="D9D4CA" w:sz="4"/>
              <w:right w:val="single" w:color="D9D4CA" w:sz="4"/>
            </w:tcBorders>
            <w:tcMar>
              <w:top w:type="dxa" w:w="60"/>
              <w:left w:type="dxa" w:w="80"/>
              <w:bottom w:type="dxa" w:w="60"/>
              <w:right w:type="dxa" w:w="80"/>
            </w:tcMar>
          </w:tcPr>
          <w:p>
            <w:r>
              <w:t>Planned (Owner: Toàn đội - Due Date: 20/11/2026 trước Defense 1.1; viết đủ tối thiểu 66 test cases theo cam kết BM04)</w:t>
            </w:r>
          </w:p>
        </w:tc>
      </w:tr>
      <w:tr>
        <w:tc>
          <w:tcPr>
            <w:tcW w:type="dxa" w:w="664"/>
          </w:tcPr>
          <w:p>
            <w:r>
              <w:t>SR-10</w:t>
            </w:r>
          </w:p>
        </w:tc>
        <w:tc>
          <w:tcPr>
            <w:tcW w:type="dxa" w:w="1063"/>
          </w:tcPr>
          <w:p>
            <w:r>
              <w:t>Design vs code</w:t>
            </w:r>
          </w:p>
        </w:tc>
        <w:tc>
          <w:tcPr>
            <w:tcW w:type="dxa" w:w="1329"/>
          </w:tcPr>
          <w:p>
            <w:r>
              <w:t>Adaptive Practice Engine</w:t>
            </w:r>
          </w:p>
        </w:tc>
        <w:tc>
          <w:tcPr>
            <w:tcW w:type="dxa" w:w="2326"/>
          </w:tcPr>
          <w:p>
            <w:r>
              <w:t>Thuật toán tâm trắc học IRT 2PL và BKT cài đặt đúng công thức nhưng ngưỡng thành thạo chuyển bước (Mastery Threshold PLT &gt;= 0.85) đang hardcoded trong handler thay vì nạp từ cấu hình appsettings.json.</w:t>
            </w:r>
          </w:p>
        </w:tc>
        <w:tc>
          <w:tcPr>
            <w:tcW w:type="dxa" w:w="930"/>
          </w:tcPr>
          <w:p>
            <w:r>
              <w:t>Low</w:t>
            </w:r>
          </w:p>
        </w:tc>
        <w:tc>
          <w:tcPr>
            <w:tcW w:type="dxa" w:w="1329"/>
          </w:tcPr>
          <w:p>
            <w:r>
              <w:t>SubmitAnswerCommandHandler.cs kiểm tra điều kiện plt &gt;= 0.85.</w:t>
            </w:r>
          </w:p>
        </w:tc>
        <w:tc>
          <w:tcPr>
            <w:tcW w:type="dxa" w:w="1997"/>
          </w:tcPr>
          <w:p>
            <w:r>
              <w:t>Fixed – commit 82d5836 (Đã ghi nhận refactor đưa vào AdaptiveEngineOptions trước ngày 08/11/2026)</w:t>
            </w:r>
          </w:p>
        </w:tc>
      </w:tr>
    </w:tbl>
    <w:p>
      <w:pPr>
        <w:pStyle w:val="Heading2"/>
        <w:spacing w:after="100" w:before="240"/>
      </w:pPr>
      <w:r>
        <w:rPr>
          <w:rFonts w:ascii="Calibri" w:cs="Calibri" w:eastAsia="Calibri" w:hAnsi="Calibri"/>
          <w:b/>
          <w:bCs/>
          <w:color w:val="14233A"/>
          <w:sz w:val="24"/>
          <w:szCs w:val="24"/>
        </w:rPr>
        <w:t xml:space="preserve">4. Top 5 Findings (as reported by the AI)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
        <w:gridCol w:w="1927"/>
        <w:gridCol w:w="6748"/>
      </w:tblGrid>
      <w:tr>
        <w:trPr>
          <w:tblHeader/>
        </w:trPr>
        <w:tc>
          <w:tcPr>
            <w:tcW w:type="dxa" w:w="963"/>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w:t>
            </w:r>
          </w:p>
        </w:tc>
        <w:tc>
          <w:tcPr>
            <w:tcW w:type="dxa" w:w="1927"/>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Finding ID</w:t>
            </w:r>
          </w:p>
        </w:tc>
        <w:tc>
          <w:tcPr>
            <w:tcW w:type="dxa" w:w="6748"/>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Summary</w:t>
            </w:r>
          </w:p>
        </w:tc>
      </w:tr>
      <w:tr>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t>1</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t>SR-01</w:t>
            </w:r>
          </w:p>
        </w:tc>
        <w:tc>
          <w:tcPr>
            <w:tcW w:type="dxa" w:w="6748"/>
            <w:tcBorders>
              <w:top w:val="single" w:color="D9D4CA" w:sz="4"/>
              <w:left w:val="single" w:color="D9D4CA" w:sz="4"/>
              <w:bottom w:val="single" w:color="D9D4CA" w:sz="4"/>
              <w:right w:val="single" w:color="D9D4CA" w:sz="4"/>
            </w:tcBorders>
            <w:tcMar>
              <w:top w:type="dxa" w:w="60"/>
              <w:left w:type="dxa" w:w="80"/>
              <w:bottom w:type="dxa" w:w="60"/>
              <w:right w:type="dxa" w:w="80"/>
            </w:tcMar>
          </w:tcPr>
          <w:p>
            <w:r>
              <w:t>Phạm vi Mobile Application (Flutter) trong phiếu đăng ký được chuyển sang Phase 2 mở rộng; tập trung hoàn thiện Web Responsive SPA (React 19) phục vụ bảo vệ.</w:t>
            </w:r>
          </w:p>
        </w:tc>
      </w:tr>
      <w:tr>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t>2</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t>SR-04</w:t>
            </w:r>
          </w:p>
        </w:tc>
        <w:tc>
          <w:tcPr>
            <w:tcW w:type="dxa" w:w="6748"/>
            <w:tcBorders>
              <w:top w:val="single" w:color="D9D4CA" w:sz="4"/>
              <w:left w:val="single" w:color="D9D4CA" w:sz="4"/>
              <w:bottom w:val="single" w:color="D9D4CA" w:sz="4"/>
              <w:right w:val="single" w:color="D9D4CA" w:sz="4"/>
            </w:tcBorders>
            <w:tcMar>
              <w:top w:type="dxa" w:w="60"/>
              <w:left w:type="dxa" w:w="80"/>
              <w:bottom w:type="dxa" w:w="60"/>
              <w:right w:type="dxa" w:w="80"/>
            </w:tcMar>
          </w:tcPr>
          <w:p>
            <w:r>
              <w:t>Cột vector embedding trong bảng v_eval_ai.KnowledgeVectorChunks bị null cục bộ do code C# TextbookRepository chưa đẩy vector trực tiếp (Đã lên kế hoạch hoàn thành trước Defense 1.1).</w:t>
            </w:r>
          </w:p>
        </w:tc>
      </w:tr>
      <w:tr>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t>3</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t>SR-02</w:t>
            </w:r>
          </w:p>
        </w:tc>
        <w:tc>
          <w:tcPr>
            <w:tcW w:type="dxa" w:w="6748"/>
            <w:tcBorders>
              <w:top w:val="single" w:color="D9D4CA" w:sz="4"/>
              <w:left w:val="single" w:color="D9D4CA" w:sz="4"/>
              <w:bottom w:val="single" w:color="D9D4CA" w:sz="4"/>
              <w:right w:val="single" w:color="D9D4CA" w:sz="4"/>
            </w:tcBorders>
            <w:tcMar>
              <w:top w:type="dxa" w:w="60"/>
              <w:left w:type="dxa" w:w="80"/>
              <w:bottom w:type="dxa" w:w="60"/>
              <w:right w:type="dxa" w:w="80"/>
            </w:tcMar>
          </w:tcPr>
          <w:p>
            <w:r>
              <w:t>Sơ đồ kiến trúc tổng quan cũ thiếu liên kết liên dịch vụ gRPC sang Identity Service (:5155) và SSE Stream sang AI RAG Service (:8000) (Đã Fixed tại commit 82d5836).</w:t>
            </w:r>
          </w:p>
        </w:tc>
      </w:tr>
      <w:tr>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t>4</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t>SR-03</w:t>
            </w:r>
          </w:p>
        </w:tc>
        <w:tc>
          <w:tcPr>
            <w:tcW w:type="dxa" w:w="6748"/>
            <w:tcBorders>
              <w:top w:val="single" w:color="D9D4CA" w:sz="4"/>
              <w:left w:val="single" w:color="D9D4CA" w:sz="4"/>
              <w:bottom w:val="single" w:color="D9D4CA" w:sz="4"/>
              <w:right w:val="single" w:color="D9D4CA" w:sz="4"/>
            </w:tcBorders>
            <w:tcMar>
              <w:top w:type="dxa" w:w="60"/>
              <w:left w:type="dxa" w:w="80"/>
              <w:bottom w:type="dxa" w:w="60"/>
              <w:right w:type="dxa" w:w="80"/>
            </w:tcMar>
          </w:tcPr>
          <w:p>
            <w:r>
              <w:t>Sơ đồ Logical ERD cũ trong SDD chỉ có 11 bảng giả định sai tên so với 47 bảng và 74 quan hệ trong CSDL thực tế (Đã Fixed tại commit 82d5836).</w:t>
            </w:r>
          </w:p>
        </w:tc>
      </w:tr>
      <w:tr>
        <w:tc>
          <w:tcPr>
            <w:tcW w:type="dxa" w:w="963"/>
            <w:tcBorders>
              <w:top w:val="single" w:color="D9D4CA" w:sz="4"/>
              <w:left w:val="single" w:color="D9D4CA" w:sz="4"/>
              <w:bottom w:val="single" w:color="D9D4CA" w:sz="4"/>
              <w:right w:val="single" w:color="D9D4CA" w:sz="4"/>
            </w:tcBorders>
            <w:tcMar>
              <w:top w:type="dxa" w:w="60"/>
              <w:left w:type="dxa" w:w="80"/>
              <w:bottom w:type="dxa" w:w="60"/>
              <w:right w:type="dxa" w:w="80"/>
            </w:tcMar>
          </w:tcPr>
          <w:p>
            <w:r>
              <w:t>5</w:t>
            </w:r>
          </w:p>
        </w:tc>
        <w:tc>
          <w:tcPr>
            <w:tcW w:type="dxa" w:w="1927"/>
            <w:tcBorders>
              <w:top w:val="single" w:color="D9D4CA" w:sz="4"/>
              <w:left w:val="single" w:color="D9D4CA" w:sz="4"/>
              <w:bottom w:val="single" w:color="D9D4CA" w:sz="4"/>
              <w:right w:val="single" w:color="D9D4CA" w:sz="4"/>
            </w:tcBorders>
            <w:tcMar>
              <w:top w:type="dxa" w:w="60"/>
              <w:left w:type="dxa" w:w="80"/>
              <w:bottom w:type="dxa" w:w="60"/>
              <w:right w:type="dxa" w:w="80"/>
            </w:tcMar>
          </w:tcPr>
          <w:p>
            <w:r>
              <w:t>SR-09</w:t>
            </w:r>
          </w:p>
        </w:tc>
        <w:tc>
          <w:tcPr>
            <w:tcW w:type="dxa" w:w="6748"/>
            <w:tcBorders>
              <w:top w:val="single" w:color="D9D4CA" w:sz="4"/>
              <w:left w:val="single" w:color="D9D4CA" w:sz="4"/>
              <w:bottom w:val="single" w:color="D9D4CA" w:sz="4"/>
              <w:right w:val="single" w:color="D9D4CA" w:sz="4"/>
            </w:tcBorders>
            <w:tcMar>
              <w:top w:type="dxa" w:w="60"/>
              <w:left w:type="dxa" w:w="80"/>
              <w:bottom w:type="dxa" w:w="60"/>
              <w:right w:type="dxa" w:w="80"/>
            </w:tcMar>
          </w:tcPr>
          <w:p>
            <w:r>
              <w:t>Toàn bộ 6 Core Flows đã có mã nguồn xử lý nghiệp vụ hoàn chỉnh nhưng bộ test tự động CI cần bổ sung đủ tối thiểu 66 functional test cases theo cam kết mục 09.3 (Đã Planned trước Defense 1.1).</w:t>
            </w:r>
          </w:p>
        </w:tc>
      </w:tr>
    </w:tbl>
    <w:p>
      <w:pPr>
        <w:pStyle w:val="Heading2"/>
        <w:spacing w:after="100" w:before="240"/>
      </w:pPr>
      <w:r>
        <w:rPr>
          <w:rFonts w:ascii="Calibri" w:cs="Calibri" w:eastAsia="Calibri" w:hAnsi="Calibri"/>
          <w:b/>
          <w:bCs/>
          <w:color w:val="14233A"/>
          <w:sz w:val="24"/>
          <w:szCs w:val="24"/>
        </w:rPr>
        <w:t xml:space="preserve">5. Summary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28"/>
        <w:gridCol w:w="1752"/>
        <w:gridCol w:w="1752"/>
        <w:gridCol w:w="1752"/>
        <w:gridCol w:w="1754"/>
      </w:tblGrid>
      <w:tr>
        <w:trPr>
          <w:tblHeader/>
        </w:trPr>
        <w:tc>
          <w:tcPr>
            <w:tcW w:type="dxa" w:w="2628"/>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Severity</w:t>
            </w:r>
          </w:p>
        </w:tc>
        <w:tc>
          <w:tcPr>
            <w:tcW w:type="dxa" w:w="175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Total</w:t>
            </w:r>
          </w:p>
        </w:tc>
        <w:tc>
          <w:tcPr>
            <w:tcW w:type="dxa" w:w="175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Fixed</w:t>
            </w:r>
          </w:p>
        </w:tc>
        <w:tc>
          <w:tcPr>
            <w:tcW w:type="dxa" w:w="1752"/>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Kept</w:t>
            </w:r>
          </w:p>
        </w:tc>
        <w:tc>
          <w:tcPr>
            <w:tcW w:type="dxa" w:w="1754"/>
            <w:tcBorders>
              <w:top w:val="single" w:color="D9D4CA" w:sz="4"/>
              <w:left w:val="single" w:color="D9D4CA" w:sz="4"/>
              <w:bottom w:val="single" w:color="D9D4CA" w:sz="4"/>
              <w:right w:val="single" w:color="D9D4CA" w:sz="4"/>
            </w:tcBorders>
            <w:shd w:fill="14233A" w:color="auto" w:val="clear"/>
            <w:tcMar>
              <w:top w:type="dxa" w:w="60"/>
              <w:left w:type="dxa" w:w="80"/>
              <w:bottom w:type="dxa" w:w="60"/>
              <w:right w:type="dxa" w:w="80"/>
            </w:tcMar>
          </w:tcPr>
          <w:p>
            <w:r>
              <w:rPr>
                <w:rFonts w:ascii="Calibri" w:cs="Calibri" w:eastAsia="Calibri" w:hAnsi="Calibri"/>
                <w:b/>
                <w:bCs/>
                <w:i w:val="false"/>
                <w:iCs w:val="false"/>
                <w:color w:val="FFFFFF"/>
                <w:sz w:val="19"/>
                <w:szCs w:val="19"/>
              </w:rPr>
              <w:t xml:space="preserve">Planned</w:t>
            </w:r>
          </w:p>
        </w:tc>
      </w:tr>
      <w:tr>
        <w:tc>
          <w:tcPr>
            <w:tcW w:type="dxa" w:w="262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High</w:t>
            </w:r>
          </w:p>
        </w:tc>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t>4</w:t>
            </w:r>
          </w:p>
        </w:tc>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t>2</w:t>
            </w:r>
          </w:p>
        </w:tc>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t>0</w:t>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t>2</w:t>
            </w:r>
          </w:p>
        </w:tc>
      </w:tr>
      <w:tr>
        <w:tc>
          <w:tcPr>
            <w:tcW w:type="dxa" w:w="262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Medium</w:t>
            </w:r>
          </w:p>
        </w:tc>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t>5</w:t>
            </w:r>
          </w:p>
        </w:tc>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t>0</w:t>
            </w:r>
          </w:p>
        </w:tc>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t>1</w:t>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t>4</w:t>
            </w:r>
          </w:p>
        </w:tc>
      </w:tr>
      <w:tr>
        <w:tc>
          <w:tcPr>
            <w:tcW w:type="dxa" w:w="2628"/>
            <w:tcBorders>
              <w:top w:val="single" w:color="D9D4CA" w:sz="4"/>
              <w:left w:val="single" w:color="D9D4CA" w:sz="4"/>
              <w:bottom w:val="single" w:color="D9D4CA" w:sz="4"/>
              <w:right w:val="single" w:color="D9D4CA" w:sz="4"/>
            </w:tcBorders>
            <w:tcMar>
              <w:top w:type="dxa" w:w="60"/>
              <w:left w:type="dxa" w:w="80"/>
              <w:bottom w:type="dxa" w:w="60"/>
              <w:right w:type="dxa" w:w="80"/>
            </w:tcMar>
          </w:tcPr>
          <w:p>
            <w:r>
              <w:rPr>
                <w:rFonts w:ascii="Calibri" w:cs="Calibri" w:eastAsia="Calibri" w:hAnsi="Calibri"/>
                <w:b w:val="false"/>
                <w:bCs w:val="false"/>
                <w:i/>
                <w:iCs/>
                <w:color w:val="666666"/>
                <w:sz w:val="19"/>
                <w:szCs w:val="19"/>
              </w:rPr>
              <w:t xml:space="preserve">Low</w:t>
            </w:r>
          </w:p>
        </w:tc>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t>1</w:t>
            </w:r>
          </w:p>
        </w:tc>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t>1</w:t>
            </w:r>
          </w:p>
        </w:tc>
        <w:tc>
          <w:tcPr>
            <w:tcW w:type="dxa" w:w="1752"/>
            <w:tcBorders>
              <w:top w:val="single" w:color="D9D4CA" w:sz="4"/>
              <w:left w:val="single" w:color="D9D4CA" w:sz="4"/>
              <w:bottom w:val="single" w:color="D9D4CA" w:sz="4"/>
              <w:right w:val="single" w:color="D9D4CA" w:sz="4"/>
            </w:tcBorders>
            <w:tcMar>
              <w:top w:type="dxa" w:w="60"/>
              <w:left w:type="dxa" w:w="80"/>
              <w:bottom w:type="dxa" w:w="60"/>
              <w:right w:type="dxa" w:w="80"/>
            </w:tcMar>
          </w:tcPr>
          <w:p>
            <w:r>
              <w:t>0</w:t>
            </w:r>
          </w:p>
        </w:tc>
        <w:tc>
          <w:tcPr>
            <w:tcW w:type="dxa" w:w="1754"/>
            <w:tcBorders>
              <w:top w:val="single" w:color="D9D4CA" w:sz="4"/>
              <w:left w:val="single" w:color="D9D4CA" w:sz="4"/>
              <w:bottom w:val="single" w:color="D9D4CA" w:sz="4"/>
              <w:right w:val="single" w:color="D9D4CA" w:sz="4"/>
            </w:tcBorders>
            <w:tcMar>
              <w:top w:type="dxa" w:w="60"/>
              <w:left w:type="dxa" w:w="80"/>
              <w:bottom w:type="dxa" w:w="60"/>
              <w:right w:type="dxa" w:w="80"/>
            </w:tcMar>
          </w:tcPr>
          <w:p>
            <w:r>
              <w:t>0</w:t>
            </w:r>
          </w:p>
        </w:tc>
      </w:tr>
    </w:tbl>
    <w:p>
      <w:pPr>
        <w:spacing w:after="80"/>
      </w:pPr>
      <w:r>
        <w:rPr>
          <w:rFonts w:ascii="Calibri" w:cs="Calibri" w:eastAsia="Calibri" w:hAnsi="Calibri"/>
          <w:i/>
          <w:iCs/>
          <w:color w:val="666666"/>
          <w:sz w:val="19"/>
          <w:szCs w:val="19"/>
        </w:rPr>
        <w:t xml:space="preserve">Every High finding marked Kept or Planned must also appear in section 5 (Known Gaps) of the Design Brief.</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66666"/>
        <w:sz w:val="16"/>
        <w:szCs w:val="16"/>
      </w:rPr>
      <w:t xml:space="preserve">SWP490 · BM02 Self-Review Report · Page </w:t>
    </w:r>
    <w:r>
      <w:rPr>
        <w:rFonts w:ascii="Calibri" w:cs="Calibri" w:eastAsia="Calibri" w:hAnsi="Calibri"/>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BM02 Self-Review Report</dc:title>
  <dc:creator>SWP490</dc:creator>
  <cp:lastModifiedBy>Un-named</cp:lastModifiedBy>
  <cp:revision>1</cp:revision>
  <dcterms:created xsi:type="dcterms:W3CDTF">2026-10-20T02:46:32.122Z</dcterms:created>
  <dcterms:modified xsi:type="dcterms:W3CDTF">2026-10-20T02:46:32.122Z</dcterms:modified>
</cp:coreProperties>
</file>

<file path=docProps/custom.xml><?xml version="1.0" encoding="utf-8"?>
<Properties xmlns="http://schemas.openxmlformats.org/officeDocument/2006/custom-properties" xmlns:vt="http://schemas.openxmlformats.org/officeDocument/2006/docPropsVTypes"/>
</file>