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C9652A"/>
          <w:spacing w:val="40"/>
          <w:sz w:val="16"/>
          <w:szCs w:val="16"/>
        </w:rPr>
        <w:t xml:space="preserve">SWP490 · CAPSTONE PROJECT · REVIEW 2 · BM02</w:t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4233A"/>
          <w:sz w:val="32"/>
          <w:szCs w:val="32"/>
        </w:rPr>
        <w:t xml:space="preserve">SRS/SDD Self-Review Report – Review 2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Form BM02. Run the standard prompt on the proposed final registration form and the repository at tag review-2. Keep every finding exactly as produced by the AI; add only the Team response column. Export to PDF. File name: SWP490_&lt;ProjectCode&gt;_R2_SelfReview.pdf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1. Run Information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code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FA26SE090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AI-powered Personalized Learning Path Platform for Competency Assessment Exam Preparation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GFA26SE44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Supervisor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Nguyễn Trọng Tài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AI tool and model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Google DeepMind Antigravity (Gemini 3.8 Flash)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Run date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27/10/2026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Repository tag / commit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review-2 / 926b5aa1c64b91ad0b5adcba34c08d7a2c22221b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Registration form version used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1.1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1.0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27/10/2026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2. Standard Prompt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Use this prompt without modification.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You are reviewing the SRS and SDD of a software capstone project against its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registration form and source code. Report only; do not change any file.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Inputs: the registration form, SRS, SDD (with diagrams), source code and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database script in this repository.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Check: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1. Scope: FRs in the SRS not covered by the registration form, and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registration items with no FR.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2. Requirements: FRs without an actor or testable acceptance criteria;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NFRs without metric, threshold and measurement method.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3. Data: entities missing from the Logical ERD; ERD entities or attributes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missing from the database script, and tables not in the ERD.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4. States: for each main entity, states used in code but missing from its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state machine; transitions with no triggering FR; states with no exit.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5. Flows: main business flows in activity diagrams with no implementation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or no test.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6. Architecture: components or third-party services in code but not in the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architecture diagram, and the reverse.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7. Design vs code: modules, APIs or business rules implemented differently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from the SDD.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Output one table: ID | Category | Location | Finding | Severity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(High/Medium/Low) | Evidence. Then list the 5 most important findings.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something cannot be verified from the repository, say so; do not guess.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3. Findings and Team Response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Team response: Fixed (link to commit) · Kept (reason) · Planned (owner and due date). Do not delete any finding.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1063"/>
        <w:gridCol w:w="1329"/>
        <w:gridCol w:w="2326"/>
        <w:gridCol w:w="930"/>
        <w:gridCol w:w="1329"/>
        <w:gridCol w:w="1997"/>
      </w:tblGrid>
      <w:tr>
        <w:trPr>
          <w:tblHeader/>
        </w:trPr>
        <w:tc>
          <w:tcPr>
            <w:tcW w:type="dxa" w:w="66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0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132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2326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dxa" w:w="93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132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</w:t>
            </w:r>
          </w:p>
        </w:tc>
        <w:tc>
          <w:tcPr>
            <w:tcW w:type="dxa" w:w="199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 response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SCO-01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Scope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BM01 §1.2 vs Report 7 §3.3.11, §3.6.3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University Admission &amp; Career Advisory declared Out-of-Scope in BM01 but retained in SRS.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BM01 §1.2 excludes admission guidance; Report 7 pp. 55, 60 retains FR 3.3.11 &amp; FR 3.6.3.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28/10/2026) - Prune FR 3.3.11 and 3.6.3 from SRS.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SCO-02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Scope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BM01 §1.2 vs Report 7 §3.4.2, §3.5.6, §3.6.4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Parent surveys and disciplinary tracking declared Out-of-Scope in BM01 but retained in SRS.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BM01 §1.2 excludes coercive tracking; Report 7 pp. 56, 59 retains FR 3.4.2, 3.5.6, 3.6.4, BR-19.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28/10/2026) - Remove parent survey and escalation FRs from SRS.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SCO-03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Scope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§3.3.13, §3.3.14, §3.4.1, §3.9.3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Unimplemented dummy placeholder FRs remain in the SRS.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pp. 56, 63 contains headers marked "Chưa triển khai" without specifications.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28/10/2026) - Delete incomplete placeholder sections from SRS.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SCO-04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Scope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BM04 §3, §9 vs Report 7 §3.7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Committed Novel Pattern Proposal (FIX-07) and Two-Tier LLM Judge (F-04) lack FR specs in SRS.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BM04 §3, §9 vs Report 7 §3.7 (only covers manual taxonomy edits).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29/10/2026) - Add FR specs for pattern proposal and LLM judge to SRS §3.7.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REQ-01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Requirements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§3.1.5, §3.3.13, §3.4.1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Stub FRs lack Actor, Trigger, and Acceptance Criteria; Conceptual ERD lacks data dictionary.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pp. 50, 56, 63 have empty stubs and Figure 11 without entity descriptions.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28/10/2026) - Embed data dictionary for Fig 11 and remove stub FRs.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REQ-02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Requirements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§4.2.1, §4.2.4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Usability and Security NFRs lack quantitative metrics, thresholds, and measurement methods.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pp. 64–65 describes qualitative goals without SUS or OWASP thresholds.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28/10/2026) - Update SRS NFRs with SUS &gt;= 75 and OWASP ZAP zero-defect criteria.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REQ-03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Requirements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§4.2.3 vs BM01 §5 (G2)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SRS throughput threshold (1,000 concurrent users) conflicts with BM01 Gap G2 (100 req/s REST).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p. 64 (1,000 users) vs BM01 §5 G2 (100 req/s REST target).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(Trần Thái Thịnh, 28/10/2026) - Calibrate SRS throughput to 100 req/s backed by k6 scripts.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DAT-01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Data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§3.4.2, §3.5.4 vs erd.mmd &amp; SQL.sql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Entities required by SRS (MentoringSession, ParentSurvey) missing from ERD and SQL script.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Search in erd.mmd and SQL.sql yields 0 matches for these entities.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Kept - Mentoring and parent surveys handled via external LMS/offline center operations.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DAT-02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Data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docs/diagrams/erd.mmd vs docs/SQL/SQL.sql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Attribute and column naming mismatches between Logical ERD and PostgreSQL schema.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ERD uses discrimination_index, anti_cheat_score; SQL uses option_a..d, integrity_status.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(Trần Thái Thịnh, 28/10/2026) - Synchronize erd.mmd attributes with SQL.sql DDL.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DAT-03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Data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docs/SQL/SQL.sql vs All Services EF Core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Database tables archetype_patterns and novel_pattern_proposals lack C# EF Core mappings.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Tables exist in SQL.sql but are missing from ContentDbContext and PracticeDbContext.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(Trần Thái Thịnh, 28/10/2026) - Add C# Domain Entities and DbSets in ContentDbContext.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STA-01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States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V-Eval_Architecture_Plan.md vs ExamSubmission.cs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Exam states in code (UNDER_REVIEW, DISQUALIFIED, EXPIRED) missing from architecture state machine.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SubmitMockExamCommandHandler.cs sets UNDER_REVIEW; stateDiagram in docs lacks these states.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(Mai Thành Nhân, 28/10/2026) - Update stateDiagram in Architecture Plan with full exam lifecycle.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STA-02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States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§3.5.2 vs GenerateRoadmapCommandHandler.cs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SRS requires roadmap created in DRAFT for mentor approval, but code initializes directly as ACTIVE.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p. 57 (FR 3.5.2 requires DRAFT) vs GenerateRoadmapCommandHandler.cs line 123 (ACTIVE).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(Trần Thái Thịnh, 28/10/2026) - Implement initial DRAFT state and mentor kickoff endpoint.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STA-03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States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Chapter IV vs MistakeNotebook.cs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6-state lifecycle of MistakeNotebook in code lacks a state machine diagram in SDD.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MistakeNotebook.cs lines 29–37 defines 6 states; Report 7 Chapter IV lacks state diagram.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(Phạm Tấn Lộc, 28/10/2026) - Add MistakeNotebook SM-2 state diagram to docs and SDD.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STA-04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States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RoadmapNode.cs &amp; GenerateRoadmapCommandHandler.cs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RoadmapNode state SKIPPED_PRUNED has no reactivation transition.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Code sets SKIPPED_PRUNED with no handler to unprune nodes.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Kept - Full roadmap regeneration recalculates DAG pruning; manual single-node unpruning is restricted.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FLO-01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Flows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core4_activity.mmd (Lanes 3–4) vs All Services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Activity diagram Core 4 teacher feedback loop (flagging AI responses, pattern proposal) not in backend.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core4_activity.mmd nodes Act_ClickFlag, Act_ProposePattern have 0 backend API endpoints.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(Phạm Tấn Lộc &amp; Nguyễn Duy Khôi, 29/10/2026) - Implement APIs for AI response flagging and pattern proposal.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FLO-02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Flows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core5_activity.mmd (Lane 3) vs All Services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Activity diagram Core 5 parent oversight and SMS disciplinary escalation workflow not implemented.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core5_activity.mmd Lane 3 has no backend controller or SMS service integration.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Kept - Excluded per BM01 §1.2; Lane 3 will be updated to student self-monitoring.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FLO-03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Flows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BM04 §7–8 vs All Services Tests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Test case deficit: BM04 commits 48 tests (34 in CI), but repo contains only 16 C# unit tests.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BM04 §7–8 commits 48 tests vs 16 C# test methods across 7 files; 0 E2E and 0 state tests.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(Phạm Tấn Lộc &amp; Mai Thành Nhân, 29/10/2026) - Add xUnit tests for WF-01..05 to meet 34 CI test commitment.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ARC-01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Architecture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architecture.mmd &amp; Gateway appsettings vs docker-compose.yml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Python FastAPI rag-service (port 8000) routed by Gateway but omitted from docker-compose.yml.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architecture.mmd &amp; Gateway appsettings route to port 8000; docker-compose.yml defines only 6 services.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(Trần Thái Thịnh, 28/10/2026) - Add v-eval-rag-service container into docker-compose.yml.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ARC-02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Architecture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§4.1 vs architecture.mmd &amp; code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Third-party services in SRS (RabbitMQ, FCM, VNPay, Qdrant, Redis) absent from architecture diagram and code.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pp. 19, 63–64 list these services; architecture.mmd and code use pgvector and in-memory caches.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Kept - Message broker deferred per Gap G2; pgvector and in-memory cache chosen for demo scope.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ARC-03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Architecture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architecture.mmd vs docker-compose.yml vs appsettings.json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Port discrepancies between architecture diagram (5000, 5155, 5261) and docker-compose.yml (5212, 5001, 5002).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Mismatched port mappings across launchSettings, docker-compose, and architecture diagram.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Fixed (commit 926b5aa) - Ports harmonized across configuration and documentation.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DES-01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Design vs Code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Chapter IV vs docs/diagrams/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SDD Chapter IV in official report Report7_Final Project Report.pdf is empty template text.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Report 7 pp. 71–72 contains unfilled template text (&lt;Feature/Function Name1&gt;, [Class Diagram]).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(Nguyễn Duy Khôi, 29/10/2026) - Compile and embed diagrams from docs/diagrams into Report 7 Chapter IV.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DES-02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Design vs Code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Practice Service vs Content Service vs rag-service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Diagnostic test and scoring logic is fragmented across three separate service endpoints.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Content delivers test, Practice receives submission, rag-service computes 2PL IRT theta.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Kept - Decoupled microservice design separating test delivery, attempt handling, and IRT math.</w:t>
            </w:r>
          </w:p>
        </w:tc>
      </w:tr>
      <w:tr>
        <w:tc>
          <w:tcPr>
            <w:tcW w:type="dxa" w:w="664"/>
          </w:tcPr>
          <w:p>
            <w:r>
              <w:rPr>
                <w:rFonts w:ascii="Calibri" w:hAnsi="Calibri"/>
                <w:sz w:val="17"/>
              </w:rPr>
              <w:t>DES-03</w:t>
            </w:r>
          </w:p>
        </w:tc>
        <w:tc>
          <w:tcPr>
            <w:tcW w:type="dxa" w:w="1063"/>
          </w:tcPr>
          <w:p>
            <w:r>
              <w:rPr>
                <w:rFonts w:ascii="Calibri" w:hAnsi="Calibri"/>
                <w:sz w:val="17"/>
              </w:rPr>
              <w:t>Design vs Code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PredictionsController.cs vs docs/diagrams/</w:t>
            </w:r>
          </w:p>
        </w:tc>
        <w:tc>
          <w:tcPr>
            <w:tcW w:type="dxa" w:w="2326"/>
          </w:tcPr>
          <w:p>
            <w:r>
              <w:rPr>
                <w:rFonts w:ascii="Calibri" w:hAnsi="Calibri"/>
                <w:sz w:val="17"/>
              </w:rPr>
              <w:t>PredictionsController XML doc comments label Knapsack ROI as "Core Flow 6", contradicting system diagrams.</w:t>
            </w:r>
          </w:p>
        </w:tc>
        <w:tc>
          <w:tcPr>
            <w:tcW w:type="dxa" w:w="930"/>
          </w:tcPr>
          <w:p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1329"/>
          </w:tcPr>
          <w:p>
            <w:r>
              <w:rPr>
                <w:rFonts w:ascii="Calibri" w:hAnsi="Calibri"/>
                <w:sz w:val="17"/>
              </w:rPr>
              <w:t>PredictionsController.cs line 16 comments vs core6_activity.mmd (Mistake Notebook SM-2).</w:t>
            </w:r>
          </w:p>
        </w:tc>
        <w:tc>
          <w:tcPr>
            <w:tcW w:type="dxa" w:w="1997"/>
          </w:tcPr>
          <w:p>
            <w:r>
              <w:rPr>
                <w:rFonts w:ascii="Calibri" w:hAnsi="Calibri"/>
                <w:sz w:val="17"/>
              </w:rPr>
              <w:t>Planned (Phạm Tấn Lộc, 28/10/2026) - Fix XML comments to refer to Core Flow 5 / F-06.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4. Top 5 Findings (as reported by the AI)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1927"/>
        <w:gridCol w:w="6748"/>
      </w:tblGrid>
      <w:tr>
        <w:trPr>
          <w:tblHeader/>
        </w:trP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Finding ID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Summary</w:t>
            </w:r>
          </w:p>
        </w:tc>
      </w:tr>
      <w:t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ARC-01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Python FastAPI rag-service (port 8000) omitted from docker-compose.yml</w:t>
            </w:r>
          </w:p>
        </w:tc>
      </w:tr>
      <w:t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DES-01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SDD Chapter IV in Report7_Final Project Report.pdf is empty template text</w:t>
            </w:r>
          </w:p>
        </w:tc>
      </w:tr>
      <w:t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DAT-02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Schema &amp; attribute mismatches between Logical ERD and PostgreSQL SQL.sql</w:t>
            </w:r>
          </w:p>
        </w:tc>
      </w:tr>
      <w:t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FLO-03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Committed test deficit: 48 committed (34 in CI) vs only 16 C# unit tests in repo</w:t>
            </w:r>
          </w:p>
        </w:tc>
      </w:tr>
      <w:tr>
        <w:tc>
          <w:tcPr>
            <w:tcW w:type="dxa" w:w="96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92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SCO-01 &amp; SCO-02</w:t>
            </w:r>
          </w:p>
        </w:tc>
        <w:tc>
          <w:tcPr>
            <w:tcW w:type="dxa" w:w="674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8"/>
              </w:rPr>
              <w:t>Scope conflict: Admission advisory &amp; disciplinary tracking in SRS contradicts BM01 Out-of-Scope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5.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1752"/>
        <w:gridCol w:w="1752"/>
        <w:gridCol w:w="1754"/>
      </w:tblGrid>
      <w:tr>
        <w:trPr>
          <w:tblHeader/>
        </w:trPr>
        <w:tc>
          <w:tcPr>
            <w:tcW w:type="dxa" w:w="262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Fixed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Kept</w:t>
            </w:r>
          </w:p>
        </w:tc>
        <w:tc>
          <w:tcPr>
            <w:tcW w:type="dxa" w:w="175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Planned</w:t>
            </w:r>
          </w:p>
        </w:tc>
      </w:tr>
      <w:tr>
        <w:tc>
          <w:tcPr>
            <w:tcW w:type="dxa" w:w="262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9"/>
                <w:szCs w:val="19"/>
              </w:rPr>
              <w:t xml:space="preserve">High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5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9</w:t>
            </w:r>
          </w:p>
        </w:tc>
      </w:tr>
      <w:tr>
        <w:tc>
          <w:tcPr>
            <w:tcW w:type="dxa" w:w="262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0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75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6</w:t>
            </w:r>
          </w:p>
        </w:tc>
      </w:tr>
      <w:tr>
        <w:tc>
          <w:tcPr>
            <w:tcW w:type="dxa" w:w="262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5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5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hAnsi="Calibri"/>
                <w:sz w:val="19"/>
              </w:rPr>
              <w:t>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Every High finding marked Kept or Planned must also appear in section 5 (Known Gaps) of the Design Brief.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SWP490 · BM02 Self-Review Report ·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BM02 Self-Review Report</dc:title>
  <dc:creator>SWP490</dc:creator>
  <cp:lastModifiedBy>Un-named</cp:lastModifiedBy>
  <cp:revision>1</cp:revision>
  <dcterms:created xsi:type="dcterms:W3CDTF">2026-10-20T02:46:32.122Z</dcterms:created>
  <dcterms:modified xsi:type="dcterms:W3CDTF">2026-10-20T02:46:32.122Z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