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9B271">
      <w:pPr>
        <w:spacing w:after="40"/>
      </w:pPr>
      <w:r>
        <w:rPr>
          <w:rFonts w:ascii="Calibri" w:hAnsi="Calibri" w:eastAsia="Calibri" w:cs="Calibri"/>
          <w:b/>
          <w:bCs/>
          <w:color w:val="C9652A"/>
          <w:spacing w:val="40"/>
          <w:sz w:val="16"/>
          <w:szCs w:val="16"/>
        </w:rPr>
        <w:t>SWP490 · CAPSTONE PROJECT · REVIEW 2 · BM03</w:t>
      </w:r>
    </w:p>
    <w:p w14:paraId="62CED6E9">
      <w:pPr>
        <w:pStyle w:val="2"/>
        <w:spacing w:before="120" w:after="160"/>
      </w:pPr>
      <w:r>
        <w:rPr>
          <w:rFonts w:ascii="Calibri" w:hAnsi="Calibri" w:eastAsia="Calibri" w:cs="Calibri"/>
          <w:b/>
          <w:bCs/>
          <w:color w:val="14233A"/>
          <w:sz w:val="32"/>
          <w:szCs w:val="32"/>
        </w:rPr>
        <w:t>Registration Form – Record of Changes</w:t>
      </w:r>
    </w:p>
    <w:p w14:paraId="75936D56">
      <w:pPr>
        <w:spacing w:after="80"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>Form BM03. Attach to the proposed final registration form. The approved project code and title remain unchanged. Export to PDF together with the registration form. File name: SWP490_&lt;ProjectCode&gt;_R2_Registration.pdf</w:t>
      </w:r>
    </w:p>
    <w:p w14:paraId="5999320A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14233A"/>
          <w:sz w:val="24"/>
          <w:szCs w:val="24"/>
        </w:rPr>
        <w:t>1. Project Information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838"/>
      </w:tblGrid>
      <w:tr w14:paraId="54270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F5F2F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Project code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8EB93"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F</w:t>
            </w:r>
            <w:r>
              <w:rPr>
                <w:rFonts w:ascii="SimSun" w:hAnsi="SimSun" w:eastAsia="SimSun" w:cs="SimSun"/>
                <w:sz w:val="24"/>
                <w:szCs w:val="24"/>
              </w:rPr>
              <w:t>A26SE090</w:t>
            </w:r>
          </w:p>
        </w:tc>
      </w:tr>
      <w:tr w14:paraId="7FFBB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2EC86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Project name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58A56">
            <w:r>
              <w:rPr>
                <w:rFonts w:hint="default" w:ascii="Calibri" w:hAnsi="Calibri" w:eastAsia="SimSun" w:cs="Calibri"/>
                <w:sz w:val="22"/>
                <w:szCs w:val="22"/>
              </w:rPr>
              <w:t>AI-powered Personalized Learning Path Platform for Competency Assessment Exam Preparation</w:t>
            </w:r>
          </w:p>
        </w:tc>
      </w:tr>
      <w:tr w14:paraId="3C7CC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C680A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Team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60E73"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GFA26SE44</w:t>
            </w:r>
          </w:p>
        </w:tc>
      </w:tr>
      <w:tr w14:paraId="00A21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8B439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Supervisor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60C58">
            <w:r>
              <w:rPr>
                <w:rFonts w:hint="default" w:ascii="Calibri" w:hAnsi="Calibri" w:eastAsia="SimSun" w:cs="Calibri"/>
                <w:sz w:val="22"/>
                <w:szCs w:val="22"/>
              </w:rPr>
              <w:t>Nguyễn Trọng Tài</w:t>
            </w:r>
          </w:p>
        </w:tc>
      </w:tr>
      <w:tr w14:paraId="01C74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3BFFA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Current registration version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8557B"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1.0</w:t>
            </w:r>
          </w:p>
        </w:tc>
      </w:tr>
      <w:tr w14:paraId="3C44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D2CBE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Proposed version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F3AA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2.0</w:t>
            </w:r>
          </w:p>
        </w:tc>
      </w:tr>
      <w:tr w14:paraId="32DE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3E00F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AAE8A"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2.0</w:t>
            </w:r>
          </w:p>
        </w:tc>
      </w:tr>
      <w:tr w14:paraId="5692F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CA4B8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838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0FF1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27/10/2026</w:t>
            </w:r>
          </w:p>
        </w:tc>
      </w:tr>
    </w:tbl>
    <w:p w14:paraId="2CB274BB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14233A"/>
          <w:sz w:val="24"/>
          <w:szCs w:val="24"/>
        </w:rPr>
        <w:t>2. Changes</w:t>
      </w:r>
    </w:p>
    <w:p w14:paraId="593E8CEA">
      <w:pPr>
        <w:spacing w:after="80"/>
      </w:pPr>
      <w:r>
        <w:rPr>
          <w:rFonts w:ascii="Calibri" w:hAnsi="Calibri" w:eastAsia="Calibri" w:cs="Calibri"/>
          <w:sz w:val="21"/>
          <w:szCs w:val="21"/>
        </w:rPr>
        <w:t>☐ No changes to the current registration form</w:t>
      </w:r>
    </w:p>
    <w:p w14:paraId="4D31CE10">
      <w:pPr>
        <w:spacing w:after="6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4"/>
        <w:gridCol w:w="1465"/>
        <w:gridCol w:w="2263"/>
        <w:gridCol w:w="2300"/>
        <w:gridCol w:w="1851"/>
        <w:gridCol w:w="1175"/>
      </w:tblGrid>
      <w:tr w14:paraId="028D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8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9F85D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No.</w:t>
            </w:r>
          </w:p>
        </w:tc>
        <w:tc>
          <w:tcPr>
            <w:tcW w:w="146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AA147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226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F553F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Current content</w:t>
            </w:r>
          </w:p>
        </w:tc>
        <w:tc>
          <w:tcPr>
            <w:tcW w:w="23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7BC4D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Proposed content</w:t>
            </w:r>
          </w:p>
        </w:tc>
        <w:tc>
          <w:tcPr>
            <w:tcW w:w="185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DCBCC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Reason</w:t>
            </w:r>
          </w:p>
        </w:tc>
        <w:tc>
          <w:tcPr>
            <w:tcW w:w="11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3FF15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Proposed by</w:t>
            </w:r>
          </w:p>
        </w:tc>
      </w:tr>
      <w:tr w14:paraId="6FCB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C2F20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146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E6A7A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Section 2 &amp; Section 6 (F-03): Diagnostic Baseline &amp; Scoring</w:t>
            </w:r>
          </w:p>
        </w:tc>
        <w:tc>
          <w:tcPr>
            <w:tcW w:w="226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BE13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 diagnostic assessment format was unspecified regarding field-specific versus standardized tracks and lacked objective baseline calculation rules</w:t>
            </w:r>
          </w:p>
        </w:tc>
        <w:tc>
          <w:tcPr>
            <w:tcW w:w="23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A18B1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Standardized on a 30-item diagnostic test reflecting the 120-item VNU-HCM format without tracking branches. Initial latent ability (theta) is calibrated using 2PL IRT with standard errors, skill mastery via BKT, and item duration filters out guessing attempts (&lt; 5s).</w:t>
            </w:r>
          </w:p>
        </w:tc>
        <w:tc>
          <w:tcPr>
            <w:tcW w:w="185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E06C1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Review 1 feedback (Flow 1):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Defined an objective, quantitative psychometric baseline on a standardized examination format before initiating adaptive personalization.</w:t>
            </w:r>
          </w:p>
        </w:tc>
        <w:tc>
          <w:tcPr>
            <w:tcW w:w="11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DE709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Nguyễn Duy Khôi</w:t>
            </w:r>
          </w:p>
        </w:tc>
      </w:tr>
      <w:tr w14:paraId="5BDD3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349A2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146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BFB18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Section 3 (D1) &amp; Section 6 (F-01): P-L-A-R Adaptive Cycle &amp; Review</w:t>
            </w:r>
          </w:p>
        </w:tc>
        <w:tc>
          <w:tcPr>
            <w:tcW w:w="226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DAE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Practical study sequencing and corrective feedback loops for incorrect answers were not clearly modeled.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016949AA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98E7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Implemented a 4-step P-L-A-R cycle (Preview 3m -&gt; Learn 10m -&gt; Apply 20m -&gt; Reflect 5m) grounded in the Zone of Proximal Development (ZPD). Persistent misconceptions trigger Spaced Repetition using isomorphic variant items until mastery reaches &gt;= 0.85.</w:t>
            </w:r>
          </w:p>
        </w:tc>
        <w:tc>
          <w:tcPr>
            <w:tcW w:w="185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FF23D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Review 1 feedback (Flow 3):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Standardized daily study pacing and established algorithmic loops to remediate knowledge gaps systematically.</w:t>
            </w:r>
          </w:p>
        </w:tc>
        <w:tc>
          <w:tcPr>
            <w:tcW w:w="11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577E5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Phạm Tấn Lộc</w:t>
            </w:r>
          </w:p>
        </w:tc>
      </w:tr>
      <w:tr w14:paraId="25B27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D045A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146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DCFF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Section 3 (D2) &amp; Section 6 (F-02): Proctored Mock Exam Room</w:t>
            </w:r>
          </w:p>
        </w:tc>
        <w:tc>
          <w:tcPr>
            <w:tcW w:w="226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A89F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Mock testing was limited to a generic timed assessment without automated anti-cheating controls or real exam stress conditions.</w:t>
            </w:r>
          </w:p>
        </w:tc>
        <w:tc>
          <w:tcPr>
            <w:tcW w:w="23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20D71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Added a 150-minute, 120-question mock environment with web-native integrity tracking: fullscreen lock, tab-switch limit (&lt;= 3), and random webcam frame sampling. Irregular attempts trigger the UNDER_REVIEW state for human mentor audit.</w:t>
            </w:r>
          </w:p>
        </w:tc>
        <w:tc>
          <w:tcPr>
            <w:tcW w:w="185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FBA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Review 1 feedback (Flow 3):</w:t>
            </w: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 xml:space="preserve"> Required realistic testing pressure and strict integrity controls to safeguard mock score reliability.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562DAD51">
            <w:pPr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11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68E6E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Mai Thành Nhân</w:t>
            </w:r>
          </w:p>
        </w:tc>
      </w:tr>
      <w:tr w14:paraId="254D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CEC99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146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0E8D6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Section 3 (D3) &amp; Section 6 (F-03): AI Grounding &amp; Knowledge Guardrails</w:t>
            </w:r>
          </w:p>
        </w:tc>
        <w:tc>
          <w:tcPr>
            <w:tcW w:w="226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4DB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AI guidance relied on open prompts without strict boundaries, posing risks of instructional hallucination.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</w:tc>
        <w:tc>
          <w:tcPr>
            <w:tcW w:w="23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4E975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Implemented a 4-tier pedagogical taxonomy with Strict Grounding against verified Vector DB materials and approved sample solutions. Added Socratic Guardrails for step-by-step reasoning alongside two-tier validation (LLM-as-a-Judge and Mentor review).</w:t>
            </w:r>
          </w:p>
        </w:tc>
        <w:tc>
          <w:tcPr>
            <w:tcW w:w="185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532BC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Review 1 feedback (Flow 4):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Prevented domain hallucination and ensured all AI-generated hints align with verified academic standards.</w:t>
            </w:r>
          </w:p>
        </w:tc>
        <w:tc>
          <w:tcPr>
            <w:tcW w:w="11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F9CA0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Nguyễn Duy Khôi</w:t>
            </w:r>
          </w:p>
        </w:tc>
      </w:tr>
      <w:tr w14:paraId="515F6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4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54FFA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146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E93CB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Section 3 &amp; Section 6 (F-01, F-06): Score Forecasting &amp; Deficit Plan</w:t>
            </w:r>
            <w:bookmarkStart w:id="0" w:name="_GoBack"/>
            <w:bookmarkEnd w:id="0"/>
          </w:p>
        </w:tc>
        <w:tc>
          <w:tcPr>
            <w:tcW w:w="226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E30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Outputted a single static target score without empirical validation or concrete remediation pathways.</w:t>
            </w: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</w:tc>
        <w:tc>
          <w:tcPr>
            <w:tcW w:w="2300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C7259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Configured regression modeling (via ONNX runtime) to forecast bounded score intervals [Min, Max] using standard error of measurement (SEM). Triggers tri-color alerts (Green/Yellow/Red) and pinpoints 1-2 high-yield question patterns for optimal score recovery.</w:t>
            </w:r>
          </w:p>
        </w:tc>
        <w:tc>
          <w:tcPr>
            <w:tcW w:w="1851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B2F3B">
            <w:pPr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Review 1 feedback (Flow 6):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Validated early-warning predictions mathematically and provided actionable, targeted study guidance instead of generic recommendations.</w:t>
            </w:r>
          </w:p>
        </w:tc>
        <w:tc>
          <w:tcPr>
            <w:tcW w:w="1175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58F0B">
            <w:pPr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Phạm Tấn Lộc</w:t>
            </w:r>
          </w:p>
        </w:tc>
      </w:tr>
    </w:tbl>
    <w:p w14:paraId="2E58A9AB">
      <w:pPr>
        <w:spacing w:after="80"/>
      </w:pPr>
      <w:r>
        <w:rPr>
          <w:rFonts w:ascii="Calibri" w:hAnsi="Calibri" w:eastAsia="Calibri" w:cs="Calibri"/>
          <w:i/>
          <w:iCs/>
          <w:color w:val="666666"/>
          <w:sz w:val="19"/>
          <w:szCs w:val="19"/>
        </w:rPr>
        <w:t>Accepted reasons: Review 1 feedback, findings from Iteration 1, or constraints from data, partners or technology. Changes that significantly reduce business complexity must be fully justified.</w:t>
      </w:r>
    </w:p>
    <w:p w14:paraId="74F8F72A">
      <w:pPr>
        <w:pStyle w:val="3"/>
        <w:spacing w:before="240" w:after="100"/>
      </w:pPr>
      <w:r>
        <w:rPr>
          <w:rFonts w:ascii="Calibri" w:hAnsi="Calibri" w:eastAsia="Calibri" w:cs="Calibri"/>
          <w:b/>
          <w:bCs/>
          <w:color w:val="14233A"/>
          <w:sz w:val="24"/>
          <w:szCs w:val="24"/>
        </w:rPr>
        <w:t>3. Decision at Review 2 (completed by reviewers)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3"/>
        <w:gridCol w:w="3212"/>
        <w:gridCol w:w="5623"/>
      </w:tblGrid>
      <w:tr w14:paraId="06BB8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B97EB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No.</w:t>
            </w:r>
          </w:p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BA0D9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Decision (Accepted / Adjusted / Rejected)</w:t>
            </w:r>
          </w:p>
        </w:tc>
        <w:tc>
          <w:tcPr>
            <w:tcW w:w="562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shd w:val="clear" w:color="auto" w:fill="14233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0CA1D"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19"/>
                <w:szCs w:val="19"/>
              </w:rPr>
              <w:t>Reviewer note</w:t>
            </w:r>
          </w:p>
        </w:tc>
      </w:tr>
      <w:tr w14:paraId="12489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7FDBE"/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1E3F1"/>
        </w:tc>
        <w:tc>
          <w:tcPr>
            <w:tcW w:w="562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6C48C"/>
        </w:tc>
      </w:tr>
      <w:tr w14:paraId="4D68B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5FEA3"/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B42E5"/>
        </w:tc>
        <w:tc>
          <w:tcPr>
            <w:tcW w:w="562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00A96"/>
        </w:tc>
      </w:tr>
      <w:tr w14:paraId="41DFE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36DD6"/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4F60B"/>
        </w:tc>
        <w:tc>
          <w:tcPr>
            <w:tcW w:w="562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0FC2A"/>
        </w:tc>
      </w:tr>
      <w:tr w14:paraId="53CC5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B833F"/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A83A1"/>
        </w:tc>
        <w:tc>
          <w:tcPr>
            <w:tcW w:w="562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FA8E7"/>
        </w:tc>
      </w:tr>
      <w:tr w14:paraId="77459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D930D"/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A17F6"/>
        </w:tc>
        <w:tc>
          <w:tcPr>
            <w:tcW w:w="562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73B6B"/>
        </w:tc>
      </w:tr>
      <w:tr w14:paraId="2C638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873D1"/>
        </w:tc>
        <w:tc>
          <w:tcPr>
            <w:tcW w:w="3212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E3EA5"/>
        </w:tc>
        <w:tc>
          <w:tcPr>
            <w:tcW w:w="5623" w:type="dxa"/>
            <w:tcBorders>
              <w:top w:val="single" w:color="D9D4CA" w:sz="4" w:space="0"/>
              <w:left w:val="single" w:color="D9D4CA" w:sz="4" w:space="0"/>
              <w:bottom w:val="single" w:color="D9D4CA" w:sz="4" w:space="0"/>
              <w:right w:val="single" w:color="D9D4CA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746C5"/>
        </w:tc>
      </w:tr>
    </w:tbl>
    <w:p w14:paraId="584150FD"/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0C898">
    <w:pPr>
      <w:jc w:val="right"/>
    </w:pPr>
    <w:r>
      <w:rPr>
        <w:rFonts w:ascii="Calibri" w:hAnsi="Calibri" w:eastAsia="Calibri" w:cs="Calibri"/>
        <w:color w:val="666666"/>
        <w:sz w:val="16"/>
        <w:szCs w:val="16"/>
      </w:rPr>
      <w:t xml:space="preserve">SWP490 · BM03 Record of Changes · Page </w:t>
    </w:r>
    <w:r>
      <w:rPr>
        <w:rFonts w:ascii="Calibri" w:hAnsi="Calibri" w:eastAsia="Calibri" w:cs="Calibri"/>
        <w:color w:val="666666"/>
        <w:sz w:val="16"/>
        <w:szCs w:val="16"/>
      </w:rPr>
      <w:fldChar w:fldCharType="begin"/>
    </w:r>
    <w:r>
      <w:rPr>
        <w:rFonts w:ascii="Calibri" w:hAnsi="Calibri" w:eastAsia="Calibri" w:cs="Calibri"/>
        <w:color w:val="666666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666666"/>
        <w:sz w:val="16"/>
        <w:szCs w:val="16"/>
      </w:rPr>
      <w:fldChar w:fldCharType="separate"/>
    </w:r>
    <w:r>
      <w:rPr>
        <w:rFonts w:ascii="Calibri" w:hAnsi="Calibri" w:eastAsia="Calibri" w:cs="Calibri"/>
        <w:color w:val="666666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2DA70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121</Words>
  <Characters>724</Characters>
  <TotalTime>23</TotalTime>
  <ScaleCrop>false</ScaleCrop>
  <LinksUpToDate>false</LinksUpToDate>
  <CharactersWithSpaces>820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2026-10-20T02:46:00Z</dcterms:created>
  <dc:creator>SWP490</dc:creator>
  <cp:lastModifiedBy>20_Lộc Phạm</cp:lastModifiedBy>
  <dcterms:modified xsi:type="dcterms:W3CDTF">2026-10-23T16:50:03Z</dcterms:modified>
  <dc:title>BM03 Record of Changes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eyJoZGlkIjoiNmY5OTU4YmY1ODlhZjA5YTNmZGIzYzg2MjhjYTQ0OGYiLCJ1c2VySWQiOiIxMzkxODk1MTUxMTY3In0=</vt:lpwstr>
  </property>
  <property fmtid="{D5CDD505-2E9C-101B-9397-08002B2CF9AE}" pid="3" name="KSOProductBuildVer">
    <vt:lpwstr>1033-12.1.0.29162</vt:lpwstr>
  </property>
  <property fmtid="{D5CDD505-2E9C-101B-9397-08002B2CF9AE}" pid="4" name="ICV">
    <vt:lpwstr>C38F3D9396784AB1AC517AEFCDFC055A_12</vt:lpwstr>
  </property>
</Properties>
</file>