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Calibri" w:hAnsi="Calibri"/>
          <w:b/>
          <w:i w:val="0"/>
          <w:color w:val="2E74B5"/>
          <w:sz w:val="20"/>
        </w:rPr>
        <w:t>INFORME TÉCNICO</w:t>
      </w:r>
    </w:p>
    <w:p>
      <w:pPr>
        <w:spacing w:after="120"/>
      </w:pPr>
      <w:r>
        <w:rPr>
          <w:rFonts w:ascii="Calibri" w:hAnsi="Calibri"/>
          <w:b/>
          <w:i w:val="0"/>
          <w:color w:val="111827"/>
          <w:sz w:val="48"/>
        </w:rPr>
        <w:t>Dataset para análisis de sentimiento</w:t>
        <w:br/>
        <w:t>en evaluación del desempeño docente</w:t>
      </w:r>
    </w:p>
    <w:p>
      <w:pPr>
        <w:spacing w:after="360"/>
      </w:pPr>
      <w:r>
        <w:rPr>
          <w:rFonts w:ascii="Calibri" w:hAnsi="Calibri"/>
          <w:b w:val="0"/>
          <w:i w:val="0"/>
          <w:color w:val="5B6573"/>
          <w:sz w:val="26"/>
        </w:rPr>
        <w:t>Caracterización, idoneidad para fine-tuning, riesgos y controles de calidad</w:t>
      </w:r>
    </w:p>
    <w:tbl>
      <w:tblPr>
        <w:tblW w:type="dxa" w:w="9360"/>
        <w:jc w:val="center"/>
        <w:tblLayout w:type="fixed"/>
        <w:tblLook w:firstColumn="1" w:firstRow="1" w:lastColumn="0" w:lastRow="0" w:noHBand="0" w:noVBand="1" w:val="04A0"/>
        <w:tblInd w:w="120" w:type="dxa"/>
        <w:tblBorders>
          <w:top w:val="single" w:sz="6" w:color="C9CED6"/>
          <w:left w:val="single" w:sz="6" w:color="C9CED6"/>
          <w:bottom w:val="single" w:sz="6" w:color="C9CED6"/>
          <w:right w:val="single" w:sz="6" w:color="C9CED6"/>
          <w:insideH w:val="single" w:sz="6" w:color="C9CED6"/>
          <w:insideV w:val="single" w:sz="6" w:color="C9CED6"/>
        </w:tblBorders>
      </w:tblPr>
      <w:tblGrid>
        <w:gridCol w:w="1900"/>
        <w:gridCol w:w="7460"/>
      </w:tblGrid>
      <w:tr>
        <w:trPr>
          <w:tblHeader w:val="true"/>
        </w:trPr>
        <w:tc>
          <w:tcPr>
            <w:tcW w:type="dxa" w:w="190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20"/>
              </w:rPr>
              <w:t>Campo</w:t>
            </w:r>
          </w:p>
        </w:tc>
        <w:tc>
          <w:tcPr>
            <w:tcW w:type="dxa" w:w="746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20"/>
              </w:rPr>
              <w:t>Descripción</w:t>
            </w:r>
          </w:p>
        </w:tc>
      </w:tr>
      <w:tr>
        <w:tc>
          <w:tcPr>
            <w:tcW w:type="dxa" w:w="1900"/>
            <w:tcMar>
              <w:top w:w="90" w:type="dxa"/>
              <w:start w:w="120" w:type="dxa"/>
              <w:bottom w:w="90" w:type="dxa"/>
              <w:end w:w="120" w:type="dxa"/>
            </w:tcMar>
            <w:vAlign w:val="center"/>
          </w:tcPr>
          <w:p>
            <w:pPr>
              <w:spacing w:before="0" w:after="0" w:line="240" w:lineRule="auto"/>
            </w:pPr>
            <w:r>
              <w:rPr>
                <w:rFonts w:ascii="Calibri" w:hAnsi="Calibri"/>
                <w:b w:val="0"/>
                <w:i w:val="0"/>
                <w:color w:val="1F2937"/>
                <w:sz w:val="20"/>
              </w:rPr>
              <w:t>Dataset</w:t>
            </w:r>
          </w:p>
        </w:tc>
        <w:tc>
          <w:tcPr>
            <w:tcW w:type="dxa" w:w="7460"/>
            <w:tcMar>
              <w:top w:w="90" w:type="dxa"/>
              <w:start w:w="120" w:type="dxa"/>
              <w:bottom w:w="90" w:type="dxa"/>
              <w:end w:w="120" w:type="dxa"/>
            </w:tcMar>
            <w:vAlign w:val="center"/>
          </w:tcPr>
          <w:p>
            <w:pPr>
              <w:spacing w:before="0" w:after="0" w:line="240" w:lineRule="auto"/>
            </w:pPr>
            <w:r>
              <w:rPr>
                <w:rFonts w:ascii="Calibri" w:hAnsi="Calibri"/>
                <w:b w:val="0"/>
                <w:i w:val="0"/>
                <w:color w:val="1F2937"/>
                <w:sz w:val="20"/>
              </w:rPr>
              <w:t>A Novel Dataset for ABSA for Teacher Performance Evaluation</w:t>
            </w:r>
          </w:p>
        </w:tc>
      </w:tr>
      <w:tr>
        <w:tc>
          <w:tcPr>
            <w:tcW w:type="dxa" w:w="19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20"/>
              </w:rPr>
              <w:t>Publicador</w:t>
            </w:r>
          </w:p>
        </w:tc>
        <w:tc>
          <w:tcPr>
            <w:tcW w:type="dxa" w:w="746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20"/>
              </w:rPr>
              <w:t>American International University-Bangladesh / Mendeley Data</w:t>
            </w:r>
          </w:p>
        </w:tc>
      </w:tr>
      <w:tr>
        <w:tc>
          <w:tcPr>
            <w:tcW w:type="dxa" w:w="1900"/>
            <w:tcMar>
              <w:top w:w="90" w:type="dxa"/>
              <w:start w:w="120" w:type="dxa"/>
              <w:bottom w:w="90" w:type="dxa"/>
              <w:end w:w="120" w:type="dxa"/>
            </w:tcMar>
            <w:vAlign w:val="center"/>
          </w:tcPr>
          <w:p>
            <w:pPr>
              <w:spacing w:before="0" w:after="0" w:line="240" w:lineRule="auto"/>
            </w:pPr>
            <w:r>
              <w:rPr>
                <w:rFonts w:ascii="Calibri" w:hAnsi="Calibri"/>
                <w:b w:val="0"/>
                <w:i w:val="0"/>
                <w:color w:val="1F2937"/>
                <w:sz w:val="20"/>
              </w:rPr>
              <w:t>Ámbito</w:t>
            </w:r>
          </w:p>
        </w:tc>
        <w:tc>
          <w:tcPr>
            <w:tcW w:type="dxa" w:w="7460"/>
            <w:tcMar>
              <w:top w:w="90" w:type="dxa"/>
              <w:start w:w="120" w:type="dxa"/>
              <w:bottom w:w="90" w:type="dxa"/>
              <w:end w:w="120" w:type="dxa"/>
            </w:tcMar>
            <w:vAlign w:val="center"/>
          </w:tcPr>
          <w:p>
            <w:pPr>
              <w:spacing w:before="0" w:after="0" w:line="240" w:lineRule="auto"/>
            </w:pPr>
            <w:r>
              <w:rPr>
                <w:rFonts w:ascii="Calibri" w:hAnsi="Calibri"/>
                <w:b w:val="0"/>
                <w:i w:val="0"/>
                <w:color w:val="1F2937"/>
                <w:sz w:val="20"/>
              </w:rPr>
              <w:t>Bangladesh · educación universitaria</w:t>
            </w:r>
          </w:p>
        </w:tc>
      </w:tr>
      <w:tr>
        <w:tc>
          <w:tcPr>
            <w:tcW w:type="dxa" w:w="19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20"/>
              </w:rPr>
              <w:t>Tarea</w:t>
            </w:r>
          </w:p>
        </w:tc>
        <w:tc>
          <w:tcPr>
            <w:tcW w:type="dxa" w:w="746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20"/>
              </w:rPr>
              <w:t>Clasificación de sentimiento y análisis basado en aspectos (ABSA)</w:t>
            </w:r>
          </w:p>
        </w:tc>
      </w:tr>
      <w:tr>
        <w:tc>
          <w:tcPr>
            <w:tcW w:type="dxa" w:w="1900"/>
            <w:tcMar>
              <w:top w:w="90" w:type="dxa"/>
              <w:start w:w="120" w:type="dxa"/>
              <w:bottom w:w="90" w:type="dxa"/>
              <w:end w:w="120" w:type="dxa"/>
            </w:tcMar>
            <w:vAlign w:val="center"/>
          </w:tcPr>
          <w:p>
            <w:pPr>
              <w:spacing w:before="0" w:after="0" w:line="240" w:lineRule="auto"/>
            </w:pPr>
            <w:r>
              <w:rPr>
                <w:rFonts w:ascii="Calibri" w:hAnsi="Calibri"/>
                <w:b w:val="0"/>
                <w:i w:val="0"/>
                <w:color w:val="1F2937"/>
                <w:sz w:val="20"/>
              </w:rPr>
              <w:t>Fecha del informe</w:t>
            </w:r>
          </w:p>
        </w:tc>
        <w:tc>
          <w:tcPr>
            <w:tcW w:type="dxa" w:w="7460"/>
            <w:tcMar>
              <w:top w:w="90" w:type="dxa"/>
              <w:start w:w="120" w:type="dxa"/>
              <w:bottom w:w="90" w:type="dxa"/>
              <w:end w:w="120" w:type="dxa"/>
            </w:tcMar>
            <w:vAlign w:val="center"/>
          </w:tcPr>
          <w:p>
            <w:pPr>
              <w:spacing w:before="0" w:after="0" w:line="240" w:lineRule="auto"/>
            </w:pPr>
            <w:r>
              <w:rPr>
                <w:rFonts w:ascii="Calibri" w:hAnsi="Calibri"/>
                <w:b w:val="0"/>
                <w:i w:val="0"/>
                <w:color w:val="1F2937"/>
                <w:sz w:val="20"/>
              </w:rPr>
              <w:t>4 de agosto de 2026</w:t>
            </w:r>
          </w:p>
        </w:tc>
      </w:tr>
      <w:tr>
        <w:tc>
          <w:tcPr>
            <w:tcW w:type="dxa" w:w="19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20"/>
              </w:rPr>
              <w:t>Estado</w:t>
            </w:r>
          </w:p>
        </w:tc>
        <w:tc>
          <w:tcPr>
            <w:tcW w:type="dxa" w:w="746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20"/>
              </w:rPr>
              <w:t>Informe basado en la ficha de selección; perfil estadístico pendiente del archivo original</w:t>
            </w:r>
          </w:p>
        </w:tc>
      </w:tr>
    </w:tbl>
    <w:p>
      <w:pPr>
        <w:spacing w:after="60"/>
      </w:pPr>
    </w:p>
    <w:tbl>
      <w:tblPr>
        <w:tblW w:type="dxa" w:w="9360"/>
        <w:jc w:val="center"/>
        <w:tblLayout w:type="fixed"/>
        <w:tblLook w:firstColumn="1" w:firstRow="1" w:lastColumn="0" w:lastRow="0" w:noHBand="0" w:noVBand="1" w:val="04A0"/>
        <w:tblInd w:w="120" w:type="dxa"/>
        <w:tblBorders>
          <w:top w:val="single" w:sz="4" w:color="E8EEF5"/>
          <w:left w:val="single" w:sz="4" w:color="E8EEF5"/>
          <w:bottom w:val="single" w:sz="4" w:color="E8EEF5"/>
          <w:right w:val="single" w:sz="4" w:color="E8EEF5"/>
          <w:insideH w:val="single" w:sz="4" w:color="E8EEF5"/>
          <w:insideV w:val="single" w:sz="4" w:color="E8EEF5"/>
        </w:tblBorders>
      </w:tblPr>
      <w:tblGrid>
        <w:gridCol w:w="9360"/>
      </w:tblGrid>
      <w:tr>
        <w:tc>
          <w:tcPr>
            <w:tcW w:type="dxa" w:w="9360"/>
            <w:tcMar>
              <w:top w:w="90" w:type="dxa"/>
              <w:start w:w="120" w:type="dxa"/>
              <w:bottom w:w="90" w:type="dxa"/>
              <w:end w:w="120" w:type="dxa"/>
            </w:tcMar>
            <w:vAlign w:val="center"/>
            <w:shd w:fill="E8EEF5"/>
          </w:tcPr>
          <w:p>
            <w:pPr>
              <w:spacing w:before="20" w:after="20" w:line="259" w:lineRule="auto"/>
            </w:pPr>
            <w:r>
              <w:rPr>
                <w:rFonts w:ascii="Calibri" w:hAnsi="Calibri"/>
                <w:b/>
                <w:i w:val="0"/>
                <w:color w:val="1F4D78"/>
                <w:sz w:val="22"/>
              </w:rPr>
              <w:t xml:space="preserve">Conclusión principal. </w:t>
            </w:r>
            <w:r>
              <w:rPr>
                <w:rFonts w:ascii="Calibri" w:hAnsi="Calibri"/>
                <w:b w:val="0"/>
                <w:i w:val="0"/>
                <w:color w:val="1F2937"/>
                <w:sz w:val="22"/>
              </w:rPr>
              <w:t>El corpus es una fuente atractiva por su escala reportada y por estar centrado en comentarios estudiantiles sobre docentes. Sin embargo, la validez del fine-tuning depende de verificar el idioma, la unidad real de cada instancia, el balance de clases, los aspectos anotados y la ausencia de duplicados o fugas entre particiones.</w:t>
            </w:r>
          </w:p>
        </w:tc>
      </w:tr>
    </w:tbl>
    <w:p>
      <w:pPr>
        <w:spacing w:after="60"/>
      </w:pPr>
    </w:p>
    <w:p>
      <w:pPr>
        <w:pStyle w:val="Heading1"/>
      </w:pPr>
      <w:r>
        <w:t>1. Propósito y alcance</w:t>
      </w:r>
    </w:p>
    <w:p>
      <w:pPr>
        <w:spacing w:before="0" w:after="120" w:line="264" w:lineRule="auto"/>
      </w:pPr>
      <w:r>
        <w:rPr>
          <w:rFonts w:ascii="Calibri" w:hAnsi="Calibri"/>
          <w:b w:val="0"/>
          <w:i w:val="0"/>
          <w:color w:val="1F2937"/>
          <w:sz w:val="22"/>
        </w:rPr>
        <w:t>Este informe documenta el conjunto de datos seleccionado para ajustar un modelo de sentimiento aplicado a la evaluación del desempeño docente. Su objetivo es dejar una trazabilidad técnica del origen del corpus, la tarea de aprendizaje, las decisiones mínimas de preparación y los riesgos que afectan la interpretación del modelo.</w:t>
      </w:r>
    </w:p>
    <w:p>
      <w:pPr>
        <w:spacing w:before="0" w:after="120" w:line="264" w:lineRule="auto"/>
      </w:pPr>
      <w:r>
        <w:rPr>
          <w:rFonts w:ascii="Calibri" w:hAnsi="Calibri"/>
          <w:b w:val="0"/>
          <w:i w:val="0"/>
          <w:color w:val="1F2937"/>
          <w:sz w:val="22"/>
        </w:rPr>
        <w:t>El análisis utiliza únicamente la información suministrada en la ficha de selección. Como los archivos originales y el registro de entrenamiento no fueron aportados, no se calculan estadísticas que no puedan verificarse. Esta distinción evita presentar como observadas cifras que todavía son supuestos de trabajo.</w:t>
      </w:r>
    </w:p>
    <w:p>
      <w:pPr>
        <w:pStyle w:val="Heading1"/>
      </w:pPr>
      <w:r>
        <w:t>2. Identificación del conjunto de datos</w:t>
      </w:r>
    </w:p>
    <w:tbl>
      <w:tblPr>
        <w:tblW w:type="dxa" w:w="9360"/>
        <w:jc w:val="center"/>
        <w:tblLayout w:type="fixed"/>
        <w:tblLook w:firstColumn="1" w:firstRow="1" w:lastColumn="0" w:lastRow="0" w:noHBand="0" w:noVBand="1" w:val="04A0"/>
        <w:tblInd w:w="120" w:type="dxa"/>
        <w:tblBorders>
          <w:top w:val="single" w:sz="6" w:color="C9CED6"/>
          <w:left w:val="single" w:sz="6" w:color="C9CED6"/>
          <w:bottom w:val="single" w:sz="6" w:color="C9CED6"/>
          <w:right w:val="single" w:sz="6" w:color="C9CED6"/>
          <w:insideH w:val="single" w:sz="6" w:color="C9CED6"/>
          <w:insideV w:val="single" w:sz="6" w:color="C9CED6"/>
        </w:tblBorders>
      </w:tblPr>
      <w:tblGrid>
        <w:gridCol w:w="2200"/>
        <w:gridCol w:w="4750"/>
        <w:gridCol w:w="2410"/>
      </w:tblGrid>
      <w:tr>
        <w:trPr>
          <w:tblHeader w:val="true"/>
        </w:trPr>
        <w:tc>
          <w:tcPr>
            <w:tcW w:type="dxa" w:w="220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Elemento</w:t>
            </w:r>
          </w:p>
        </w:tc>
        <w:tc>
          <w:tcPr>
            <w:tcW w:type="dxa" w:w="475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Valor</w:t>
            </w:r>
          </w:p>
        </w:tc>
        <w:tc>
          <w:tcPr>
            <w:tcW w:type="dxa" w:w="241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Evidencia</w:t>
            </w:r>
          </w:p>
        </w:tc>
      </w:tr>
      <w:tr>
        <w:tc>
          <w:tcPr>
            <w:tcW w:type="dxa" w:w="22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Nombre</w:t>
            </w:r>
          </w:p>
        </w:tc>
        <w:tc>
          <w:tcPr>
            <w:tcW w:type="dxa" w:w="475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A Novel Dataset for ABSA for Teacher Performance Evaluation</w:t>
            </w:r>
          </w:p>
        </w:tc>
        <w:tc>
          <w:tcPr>
            <w:tcW w:type="dxa" w:w="241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Confirmado por la selección</w:t>
            </w:r>
          </w:p>
        </w:tc>
      </w:tr>
      <w:tr>
        <w:tc>
          <w:tcPr>
            <w:tcW w:type="dxa" w:w="22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Institución / repositorio</w:t>
            </w:r>
          </w:p>
        </w:tc>
        <w:tc>
          <w:tcPr>
            <w:tcW w:type="dxa" w:w="475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American International University-Bangladesh / Mendeley Data</w:t>
            </w:r>
          </w:p>
        </w:tc>
        <w:tc>
          <w:tcPr>
            <w:tcW w:type="dxa" w:w="241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Confirmado por la selección</w:t>
            </w:r>
          </w:p>
        </w:tc>
      </w:tr>
      <w:tr>
        <w:tc>
          <w:tcPr>
            <w:tcW w:type="dxa" w:w="22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País y nivel</w:t>
            </w:r>
          </w:p>
        </w:tc>
        <w:tc>
          <w:tcPr>
            <w:tcW w:type="dxa" w:w="475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Bangladesh / universidad</w:t>
            </w:r>
          </w:p>
        </w:tc>
        <w:tc>
          <w:tcPr>
            <w:tcW w:type="dxa" w:w="241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Confirmado por la selección</w:t>
            </w:r>
          </w:p>
        </w:tc>
      </w:tr>
      <w:tr>
        <w:tc>
          <w:tcPr>
            <w:tcW w:type="dxa" w:w="22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Población temática</w:t>
            </w:r>
          </w:p>
        </w:tc>
        <w:tc>
          <w:tcPr>
            <w:tcW w:type="dxa" w:w="475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Comentarios de estudiantes sobre desempeño docente</w:t>
            </w:r>
          </w:p>
        </w:tc>
        <w:tc>
          <w:tcPr>
            <w:tcW w:type="dxa" w:w="241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Confirmado por la selección</w:t>
            </w:r>
          </w:p>
        </w:tc>
      </w:tr>
      <w:tr>
        <w:tc>
          <w:tcPr>
            <w:tcW w:type="dxa" w:w="22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Etiquetas</w:t>
            </w:r>
          </w:p>
        </w:tc>
        <w:tc>
          <w:tcPr>
            <w:tcW w:type="dxa" w:w="475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Positivo, negativo y neutral</w:t>
            </w:r>
          </w:p>
        </w:tc>
        <w:tc>
          <w:tcPr>
            <w:tcW w:type="dxa" w:w="241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Confirmado por la selección</w:t>
            </w:r>
          </w:p>
        </w:tc>
      </w:tr>
      <w:tr>
        <w:tc>
          <w:tcPr>
            <w:tcW w:type="dxa" w:w="22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Cobertura</w:t>
            </w:r>
          </w:p>
        </w:tc>
        <w:tc>
          <w:tcPr>
            <w:tcW w:type="dxa" w:w="475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Más de 2.000.000 de instancias</w:t>
            </w:r>
          </w:p>
        </w:tc>
        <w:tc>
          <w:tcPr>
            <w:tcW w:type="dxa" w:w="241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Cifra reportada; falta conteo directo</w:t>
            </w:r>
          </w:p>
        </w:tc>
      </w:tr>
      <w:tr>
        <w:tc>
          <w:tcPr>
            <w:tcW w:type="dxa" w:w="22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Acceso</w:t>
            </w:r>
          </w:p>
        </w:tc>
        <w:tc>
          <w:tcPr>
            <w:tcW w:type="dxa" w:w="475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Descarga desde Mendeley Data</w:t>
            </w:r>
          </w:p>
        </w:tc>
        <w:tc>
          <w:tcPr>
            <w:tcW w:type="dxa" w:w="241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Enlace identificado</w:t>
            </w:r>
          </w:p>
        </w:tc>
      </w:tr>
      <w:tr>
        <w:tc>
          <w:tcPr>
            <w:tcW w:type="dxa" w:w="22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Licencia</w:t>
            </w:r>
          </w:p>
        </w:tc>
        <w:tc>
          <w:tcPr>
            <w:tcW w:type="dxa" w:w="475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CC BY-NC 3.0</w:t>
            </w:r>
          </w:p>
        </w:tc>
        <w:tc>
          <w:tcPr>
            <w:tcW w:type="dxa" w:w="241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Reportada en la ficha; revisar condiciones del archivo</w:t>
            </w:r>
          </w:p>
        </w:tc>
      </w:tr>
    </w:tbl>
    <w:p>
      <w:pPr>
        <w:spacing w:after="60"/>
      </w:pPr>
    </w:p>
    <w:p>
      <w:pPr>
        <w:spacing w:before="80" w:after="120"/>
      </w:pPr>
      <w:r>
        <w:rPr>
          <w:rFonts w:ascii="Calibri" w:hAnsi="Calibri"/>
          <w:b w:val="0"/>
          <w:i/>
          <w:color w:val="5B6573"/>
          <w:sz w:val="18"/>
        </w:rPr>
        <w:t>Fuente informada: Mendeley Data, https://data.mendeley.com/datasets/b2yhc95rnx/1</w:t>
      </w:r>
    </w:p>
    <w:p>
      <w:pPr>
        <w:pStyle w:val="Heading1"/>
      </w:pPr>
      <w:r>
        <w:t>3. Naturaleza analítica del corpus</w:t>
      </w:r>
    </w:p>
    <w:p>
      <w:pPr>
        <w:spacing w:before="0" w:after="120" w:line="264" w:lineRule="auto"/>
      </w:pPr>
      <w:r>
        <w:rPr>
          <w:rFonts w:ascii="Calibri" w:hAnsi="Calibri"/>
          <w:b w:val="0"/>
          <w:i w:val="0"/>
          <w:color w:val="1F2937"/>
          <w:sz w:val="22"/>
        </w:rPr>
        <w:t>El recurso está planteado para ABSA (Aspect-Based Sentiment Analysis). En una tarea de sentimiento general, cada comentario o segmento se asigna a una polaridad global. En ABSA, además de la polaridad, se identifica el aspecto evaluado, por ejemplo una dimensión de la enseñanza. Esta diferencia debe reflejarse en las columnas de entrada y salida del modelo.</w:t>
      </w:r>
    </w:p>
    <w:tbl>
      <w:tblPr>
        <w:tblW w:type="dxa" w:w="9360"/>
        <w:jc w:val="center"/>
        <w:tblLayout w:type="fixed"/>
        <w:tblLook w:firstColumn="1" w:firstRow="1" w:lastColumn="0" w:lastRow="0" w:noHBand="0" w:noVBand="1" w:val="04A0"/>
        <w:tblInd w:w="120" w:type="dxa"/>
        <w:tblBorders>
          <w:top w:val="single" w:sz="6" w:color="C9CED6"/>
          <w:left w:val="single" w:sz="6" w:color="C9CED6"/>
          <w:bottom w:val="single" w:sz="6" w:color="C9CED6"/>
          <w:right w:val="single" w:sz="6" w:color="C9CED6"/>
          <w:insideH w:val="single" w:sz="6" w:color="C9CED6"/>
          <w:insideV w:val="single" w:sz="6" w:color="C9CED6"/>
        </w:tblBorders>
      </w:tblPr>
      <w:tblGrid>
        <w:gridCol w:w="1750"/>
        <w:gridCol w:w="2750"/>
        <w:gridCol w:w="2300"/>
        <w:gridCol w:w="2560"/>
      </w:tblGrid>
      <w:tr>
        <w:trPr>
          <w:tblHeader w:val="true"/>
        </w:trPr>
        <w:tc>
          <w:tcPr>
            <w:tcW w:type="dxa" w:w="175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Nivel</w:t>
            </w:r>
          </w:p>
        </w:tc>
        <w:tc>
          <w:tcPr>
            <w:tcW w:type="dxa" w:w="275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Entrada esperada</w:t>
            </w:r>
          </w:p>
        </w:tc>
        <w:tc>
          <w:tcPr>
            <w:tcW w:type="dxa" w:w="230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Salida esperada</w:t>
            </w:r>
          </w:p>
        </w:tc>
        <w:tc>
          <w:tcPr>
            <w:tcW w:type="dxa" w:w="256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Uso</w:t>
            </w:r>
          </w:p>
        </w:tc>
      </w:tr>
      <w:tr>
        <w:tc>
          <w:tcPr>
            <w:tcW w:type="dxa" w:w="175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Sentimiento global</w:t>
            </w:r>
          </w:p>
        </w:tc>
        <w:tc>
          <w:tcPr>
            <w:tcW w:type="dxa" w:w="275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Comentario o segmento textual</w:t>
            </w:r>
          </w:p>
        </w:tc>
        <w:tc>
          <w:tcPr>
            <w:tcW w:type="dxa" w:w="23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Positivo / negativo / neutral</w:t>
            </w:r>
          </w:p>
        </w:tc>
        <w:tc>
          <w:tcPr>
            <w:tcW w:type="dxa" w:w="256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Clasificación de polaridad</w:t>
            </w:r>
          </w:p>
        </w:tc>
      </w:tr>
      <w:tr>
        <w:tc>
          <w:tcPr>
            <w:tcW w:type="dxa" w:w="175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ABSA</w:t>
            </w:r>
          </w:p>
        </w:tc>
        <w:tc>
          <w:tcPr>
            <w:tcW w:type="dxa" w:w="275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Texto + aspecto explícito o anotado</w:t>
            </w:r>
          </w:p>
        </w:tc>
        <w:tc>
          <w:tcPr>
            <w:tcW w:type="dxa" w:w="23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Aspecto + polaridad</w:t>
            </w:r>
          </w:p>
        </w:tc>
        <w:tc>
          <w:tcPr>
            <w:tcW w:type="dxa" w:w="256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Diagnóstico de dimensiones docentes</w:t>
            </w:r>
          </w:p>
        </w:tc>
      </w:tr>
    </w:tbl>
    <w:p>
      <w:pPr>
        <w:spacing w:after="60"/>
      </w:pPr>
    </w:p>
    <w:tbl>
      <w:tblPr>
        <w:tblW w:type="dxa" w:w="9360"/>
        <w:jc w:val="center"/>
        <w:tblLayout w:type="fixed"/>
        <w:tblLook w:firstColumn="1" w:firstRow="1" w:lastColumn="0" w:lastRow="0" w:noHBand="0" w:noVBand="1" w:val="04A0"/>
        <w:tblInd w:w="120" w:type="dxa"/>
        <w:tblBorders>
          <w:top w:val="single" w:sz="4" w:color="FFF4CE"/>
          <w:left w:val="single" w:sz="4" w:color="FFF4CE"/>
          <w:bottom w:val="single" w:sz="4" w:color="FFF4CE"/>
          <w:right w:val="single" w:sz="4" w:color="FFF4CE"/>
          <w:insideH w:val="single" w:sz="4" w:color="FFF4CE"/>
          <w:insideV w:val="single" w:sz="4" w:color="FFF4CE"/>
        </w:tblBorders>
      </w:tblPr>
      <w:tblGrid>
        <w:gridCol w:w="9360"/>
      </w:tblGrid>
      <w:tr>
        <w:tc>
          <w:tcPr>
            <w:tcW w:type="dxa" w:w="9360"/>
            <w:tcMar>
              <w:top w:w="90" w:type="dxa"/>
              <w:start w:w="120" w:type="dxa"/>
              <w:bottom w:w="90" w:type="dxa"/>
              <w:end w:w="120" w:type="dxa"/>
            </w:tcMar>
            <w:vAlign w:val="center"/>
            <w:shd w:fill="FFF4CE"/>
          </w:tcPr>
          <w:p>
            <w:pPr>
              <w:spacing w:before="20" w:after="20" w:line="259" w:lineRule="auto"/>
            </w:pPr>
            <w:r>
              <w:rPr>
                <w:rFonts w:ascii="Calibri" w:hAnsi="Calibri"/>
                <w:b/>
                <w:i w:val="0"/>
                <w:color w:val="7A5A00"/>
                <w:sz w:val="22"/>
              </w:rPr>
              <w:t xml:space="preserve">Criterio de consistencia. </w:t>
            </w:r>
            <w:r>
              <w:rPr>
                <w:rFonts w:ascii="Calibri" w:hAnsi="Calibri"/>
                <w:b w:val="0"/>
                <w:i w:val="0"/>
                <w:color w:val="1F2937"/>
                <w:sz w:val="22"/>
              </w:rPr>
              <w:t>Si el entrenamiento utilizó solo las tres polaridades y descartó la variable de aspecto, el resultado debe describirse como clasificación de sentimiento con datos provenientes de un corpus ABSA, no como un modelo ABSA completo.</w:t>
            </w:r>
          </w:p>
        </w:tc>
      </w:tr>
    </w:tbl>
    <w:p>
      <w:pPr>
        <w:spacing w:after="60"/>
      </w:pPr>
    </w:p>
    <w:p>
      <w:pPr>
        <w:pStyle w:val="Heading1"/>
      </w:pPr>
      <w:r>
        <w:t>4. Variable objetivo y esquema de clases</w:t>
      </w:r>
    </w:p>
    <w:p>
      <w:pPr>
        <w:spacing w:before="0" w:after="120" w:line="264" w:lineRule="auto"/>
      </w:pPr>
      <w:r>
        <w:rPr>
          <w:rFonts w:ascii="Calibri" w:hAnsi="Calibri"/>
          <w:b w:val="0"/>
          <w:i w:val="0"/>
          <w:color w:val="1F2937"/>
          <w:sz w:val="22"/>
        </w:rPr>
        <w:t>La variable objetivo informada tiene tres categorías mutuamente excluyentes. Antes del entrenamiento debe existir una tabla de mapeo estable entre la etiqueta textual y el identificador numérico usado por el modelo.</w:t>
      </w:r>
    </w:p>
    <w:tbl>
      <w:tblPr>
        <w:tblW w:type="dxa" w:w="9360"/>
        <w:jc w:val="center"/>
        <w:tblLayout w:type="fixed"/>
        <w:tblLook w:firstColumn="1" w:firstRow="1" w:lastColumn="0" w:lastRow="0" w:noHBand="0" w:noVBand="1" w:val="04A0"/>
        <w:tblInd w:w="120" w:type="dxa"/>
        <w:tblBorders>
          <w:top w:val="single" w:sz="6" w:color="C9CED6"/>
          <w:left w:val="single" w:sz="6" w:color="C9CED6"/>
          <w:bottom w:val="single" w:sz="6" w:color="C9CED6"/>
          <w:right w:val="single" w:sz="6" w:color="C9CED6"/>
          <w:insideH w:val="single" w:sz="6" w:color="C9CED6"/>
          <w:insideV w:val="single" w:sz="6" w:color="C9CED6"/>
        </w:tblBorders>
      </w:tblPr>
      <w:tblGrid>
        <w:gridCol w:w="1600"/>
        <w:gridCol w:w="3900"/>
        <w:gridCol w:w="3860"/>
      </w:tblGrid>
      <w:tr>
        <w:trPr>
          <w:tblHeader w:val="true"/>
        </w:trPr>
        <w:tc>
          <w:tcPr>
            <w:tcW w:type="dxa" w:w="160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Clase</w:t>
            </w:r>
          </w:p>
        </w:tc>
        <w:tc>
          <w:tcPr>
            <w:tcW w:type="dxa" w:w="390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Interpretación operativa</w:t>
            </w:r>
          </w:p>
        </w:tc>
        <w:tc>
          <w:tcPr>
            <w:tcW w:type="dxa" w:w="386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Riesgo de anotación</w:t>
            </w:r>
          </w:p>
        </w:tc>
      </w:tr>
      <w:tr>
        <w:tc>
          <w:tcPr>
            <w:tcW w:type="dxa" w:w="16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Positivo</w:t>
            </w:r>
          </w:p>
        </w:tc>
        <w:tc>
          <w:tcPr>
            <w:tcW w:type="dxa" w:w="39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Aprobación, satisfacción o valoración favorable del desempeño</w:t>
            </w:r>
          </w:p>
        </w:tc>
        <w:tc>
          <w:tcPr>
            <w:tcW w:type="dxa" w:w="386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La cortesía puede confundirse con valoración real</w:t>
            </w:r>
          </w:p>
        </w:tc>
      </w:tr>
      <w:tr>
        <w:tc>
          <w:tcPr>
            <w:tcW w:type="dxa" w:w="16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Negativo</w:t>
            </w:r>
          </w:p>
        </w:tc>
        <w:tc>
          <w:tcPr>
            <w:tcW w:type="dxa" w:w="39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Crítica, insatisfacción o valoración desfavorable</w:t>
            </w:r>
          </w:p>
        </w:tc>
        <w:tc>
          <w:tcPr>
            <w:tcW w:type="dxa" w:w="386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La negación y la ironía pueden invertir la polaridad</w:t>
            </w:r>
          </w:p>
        </w:tc>
      </w:tr>
      <w:tr>
        <w:tc>
          <w:tcPr>
            <w:tcW w:type="dxa" w:w="16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Neutral</w:t>
            </w:r>
          </w:p>
        </w:tc>
        <w:tc>
          <w:tcPr>
            <w:tcW w:type="dxa" w:w="39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Ausencia de polaridad clara o descripción factual</w:t>
            </w:r>
          </w:p>
        </w:tc>
        <w:tc>
          <w:tcPr>
            <w:tcW w:type="dxa" w:w="386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Suele funcionar como clase residual y perder coherencia</w:t>
            </w:r>
          </w:p>
        </w:tc>
      </w:tr>
    </w:tbl>
    <w:p>
      <w:pPr>
        <w:spacing w:after="60"/>
      </w:pPr>
    </w:p>
    <w:p>
      <w:pPr>
        <w:spacing w:before="0" w:after="120" w:line="264" w:lineRule="auto"/>
      </w:pPr>
      <w:r>
        <w:rPr>
          <w:rFonts w:ascii="Calibri" w:hAnsi="Calibri"/>
          <w:b w:val="0"/>
          <w:i w:val="0"/>
          <w:color w:val="1F2937"/>
          <w:sz w:val="22"/>
        </w:rPr>
        <w:t>El informe definitivo del experimento debe conservar el mapeo exacto, por ejemplo {0: negativo, 1: neutral, 2: positivo}, únicamente si coincide con el código utilizado. Cambiar el orden durante la evaluación produciría métricas aparentemente correctas con interpretaciones equivocadas.</w:t>
      </w:r>
    </w:p>
    <w:p>
      <w:pPr>
        <w:pStyle w:val="Heading1"/>
      </w:pPr>
      <w:r>
        <w:t>5. Perfil estadístico requerido</w:t>
      </w:r>
    </w:p>
    <w:p>
      <w:pPr>
        <w:spacing w:before="0" w:after="120" w:line="264" w:lineRule="auto"/>
      </w:pPr>
      <w:r>
        <w:rPr>
          <w:rFonts w:ascii="Calibri" w:hAnsi="Calibri"/>
          <w:b w:val="0"/>
          <w:i w:val="0"/>
          <w:color w:val="1F2937"/>
          <w:sz w:val="22"/>
        </w:rPr>
        <w:t>La escala reportada —más de dos millones de instancias— puede favorecer la estabilidad del ajuste, pero el volumen por sí solo no garantiza diversidad ni calidad. Deben calcularse los siguientes indicadores sobre el archivo exacto usado:</w:t>
      </w:r>
    </w:p>
    <w:p>
      <w:pPr>
        <w:pStyle w:val="ListBullet"/>
        <w:spacing w:after="100" w:line="264" w:lineRule="auto"/>
      </w:pPr>
      <w:r>
        <w:rPr>
          <w:rFonts w:ascii="Calibri" w:hAnsi="Calibri"/>
          <w:b w:val="0"/>
          <w:i w:val="0"/>
          <w:color w:val="1F2937"/>
          <w:sz w:val="22"/>
        </w:rPr>
        <w:t>Número exacto de filas antes y después de la limpieza, y número de textos únicos.</w:t>
      </w:r>
    </w:p>
    <w:p>
      <w:pPr>
        <w:pStyle w:val="ListBullet"/>
        <w:spacing w:after="100" w:line="264" w:lineRule="auto"/>
      </w:pPr>
      <w:r>
        <w:rPr>
          <w:rFonts w:ascii="Calibri" w:hAnsi="Calibri"/>
          <w:b w:val="0"/>
          <w:i w:val="0"/>
          <w:color w:val="1F2937"/>
          <w:sz w:val="22"/>
        </w:rPr>
        <w:t>Distribución absoluta y porcentual por clase, por aspecto y por sus combinaciones.</w:t>
      </w:r>
    </w:p>
    <w:p>
      <w:pPr>
        <w:pStyle w:val="ListBullet"/>
        <w:spacing w:after="100" w:line="264" w:lineRule="auto"/>
      </w:pPr>
      <w:r>
        <w:rPr>
          <w:rFonts w:ascii="Calibri" w:hAnsi="Calibri"/>
          <w:b w:val="0"/>
          <w:i w:val="0"/>
          <w:color w:val="1F2937"/>
          <w:sz w:val="22"/>
        </w:rPr>
        <w:t>Longitud de los textos en caracteres y tokens: media, mediana, percentiles 5, 95 y máximo.</w:t>
      </w:r>
    </w:p>
    <w:p>
      <w:pPr>
        <w:pStyle w:val="ListBullet"/>
        <w:spacing w:after="100" w:line="264" w:lineRule="auto"/>
      </w:pPr>
      <w:r>
        <w:rPr>
          <w:rFonts w:ascii="Calibri" w:hAnsi="Calibri"/>
          <w:b w:val="0"/>
          <w:i w:val="0"/>
          <w:color w:val="1F2937"/>
          <w:sz w:val="22"/>
        </w:rPr>
        <w:t>Porcentaje de valores faltantes, textos vacíos, etiquetas desconocidas y caracteres anómalos.</w:t>
      </w:r>
    </w:p>
    <w:p>
      <w:pPr>
        <w:pStyle w:val="ListBullet"/>
        <w:spacing w:after="100" w:line="264" w:lineRule="auto"/>
      </w:pPr>
      <w:r>
        <w:rPr>
          <w:rFonts w:ascii="Calibri" w:hAnsi="Calibri"/>
          <w:b w:val="0"/>
          <w:i w:val="0"/>
          <w:color w:val="1F2937"/>
          <w:sz w:val="22"/>
        </w:rPr>
        <w:t>Duplicados exactos y casi duplicados; comentarios repetidos con etiquetas contradictorias.</w:t>
      </w:r>
    </w:p>
    <w:p>
      <w:pPr>
        <w:pStyle w:val="ListBullet"/>
        <w:spacing w:after="100" w:line="264" w:lineRule="auto"/>
      </w:pPr>
      <w:r>
        <w:rPr>
          <w:rFonts w:ascii="Calibri" w:hAnsi="Calibri"/>
          <w:b w:val="0"/>
          <w:i w:val="0"/>
          <w:color w:val="1F2937"/>
          <w:sz w:val="22"/>
        </w:rPr>
        <w:t>Idioma detectado y proporción por idioma; presencia de transliteración o mezcla de códigos.</w:t>
      </w:r>
    </w:p>
    <w:p>
      <w:pPr>
        <w:pStyle w:val="ListBullet"/>
        <w:spacing w:after="100" w:line="264" w:lineRule="auto"/>
      </w:pPr>
      <w:r>
        <w:rPr>
          <w:rFonts w:ascii="Calibri" w:hAnsi="Calibri"/>
          <w:b w:val="0"/>
          <w:i w:val="0"/>
          <w:color w:val="1F2937"/>
          <w:sz w:val="22"/>
        </w:rPr>
        <w:t>Número de docentes, asignaturas, departamentos, periodos o instituciones, si tales campos existen.</w:t>
      </w:r>
    </w:p>
    <w:p>
      <w:pPr>
        <w:pStyle w:val="Heading1"/>
      </w:pPr>
      <w:r>
        <w:t>6. Matriz de evidencia y campos pendientes</w:t>
      </w:r>
    </w:p>
    <w:tbl>
      <w:tblPr>
        <w:tblW w:type="dxa" w:w="9360"/>
        <w:jc w:val="center"/>
        <w:tblLayout w:type="fixed"/>
        <w:tblLook w:firstColumn="1" w:firstRow="1" w:lastColumn="0" w:lastRow="0" w:noHBand="0" w:noVBand="1" w:val="04A0"/>
        <w:tblInd w:w="120" w:type="dxa"/>
        <w:tblBorders>
          <w:top w:val="single" w:sz="6" w:color="C9CED6"/>
          <w:left w:val="single" w:sz="6" w:color="C9CED6"/>
          <w:bottom w:val="single" w:sz="6" w:color="C9CED6"/>
          <w:right w:val="single" w:sz="6" w:color="C9CED6"/>
          <w:insideH w:val="single" w:sz="6" w:color="C9CED6"/>
          <w:insideV w:val="single" w:sz="6" w:color="C9CED6"/>
        </w:tblBorders>
      </w:tblPr>
      <w:tblGrid>
        <w:gridCol w:w="2700"/>
        <w:gridCol w:w="1700"/>
        <w:gridCol w:w="4960"/>
      </w:tblGrid>
      <w:tr>
        <w:trPr>
          <w:tblHeader w:val="true"/>
        </w:trPr>
        <w:tc>
          <w:tcPr>
            <w:tcW w:type="dxa" w:w="270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Variable</w:t>
            </w:r>
          </w:p>
        </w:tc>
        <w:tc>
          <w:tcPr>
            <w:tcW w:type="dxa" w:w="170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Estado</w:t>
            </w:r>
          </w:p>
        </w:tc>
        <w:tc>
          <w:tcPr>
            <w:tcW w:type="dxa" w:w="496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Acción necesaria</w:t>
            </w:r>
          </w:p>
        </w:tc>
      </w:tr>
      <w:tr>
        <w:tc>
          <w:tcPr>
            <w:tcW w:type="dxa" w:w="27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Nombre, institución y enlace</w:t>
            </w:r>
          </w:p>
        </w:tc>
        <w:tc>
          <w:tcPr>
            <w:tcW w:type="dxa" w:w="17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Disponible</w:t>
            </w:r>
          </w:p>
        </w:tc>
        <w:tc>
          <w:tcPr>
            <w:tcW w:type="dxa" w:w="496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Conservar en la ficha de datos y la referencia</w:t>
            </w:r>
          </w:p>
        </w:tc>
      </w:tr>
      <w:tr>
        <w:tc>
          <w:tcPr>
            <w:tcW w:type="dxa" w:w="27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Tarea y tres polaridades</w:t>
            </w:r>
          </w:p>
        </w:tc>
        <w:tc>
          <w:tcPr>
            <w:tcW w:type="dxa" w:w="17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Disponible</w:t>
            </w:r>
          </w:p>
        </w:tc>
        <w:tc>
          <w:tcPr>
            <w:tcW w:type="dxa" w:w="496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Confirmar codificación exacta en el archivo</w:t>
            </w:r>
          </w:p>
        </w:tc>
      </w:tr>
      <w:tr>
        <w:tc>
          <w:tcPr>
            <w:tcW w:type="dxa" w:w="27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Volumen</w:t>
            </w:r>
          </w:p>
        </w:tc>
        <w:tc>
          <w:tcPr>
            <w:tcW w:type="dxa" w:w="17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Parcial</w:t>
            </w:r>
          </w:p>
        </w:tc>
        <w:tc>
          <w:tcPr>
            <w:tcW w:type="dxa" w:w="496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Contar filas, textos únicos y unidades tras segmentación</w:t>
            </w:r>
          </w:p>
        </w:tc>
      </w:tr>
      <w:tr>
        <w:tc>
          <w:tcPr>
            <w:tcW w:type="dxa" w:w="27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Idioma</w:t>
            </w:r>
          </w:p>
        </w:tc>
        <w:tc>
          <w:tcPr>
            <w:tcW w:type="dxa" w:w="17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No verificado</w:t>
            </w:r>
          </w:p>
        </w:tc>
        <w:tc>
          <w:tcPr>
            <w:tcW w:type="dxa" w:w="496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Detectar idioma sobre una muestra y sobre el total</w:t>
            </w:r>
          </w:p>
        </w:tc>
      </w:tr>
      <w:tr>
        <w:tc>
          <w:tcPr>
            <w:tcW w:type="dxa" w:w="27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Columnas y tipos</w:t>
            </w:r>
          </w:p>
        </w:tc>
        <w:tc>
          <w:tcPr>
            <w:tcW w:type="dxa" w:w="17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No verificado</w:t>
            </w:r>
          </w:p>
        </w:tc>
        <w:tc>
          <w:tcPr>
            <w:tcW w:type="dxa" w:w="496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Generar diccionario de datos</w:t>
            </w:r>
          </w:p>
        </w:tc>
      </w:tr>
      <w:tr>
        <w:tc>
          <w:tcPr>
            <w:tcW w:type="dxa" w:w="27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Aspectos ABSA</w:t>
            </w:r>
          </w:p>
        </w:tc>
        <w:tc>
          <w:tcPr>
            <w:tcW w:type="dxa" w:w="17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No verificado</w:t>
            </w:r>
          </w:p>
        </w:tc>
        <w:tc>
          <w:tcPr>
            <w:tcW w:type="dxa" w:w="496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Listar categorías, frecuencias y casos multiaspecto</w:t>
            </w:r>
          </w:p>
        </w:tc>
      </w:tr>
      <w:tr>
        <w:tc>
          <w:tcPr>
            <w:tcW w:type="dxa" w:w="27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Balance de clases</w:t>
            </w:r>
          </w:p>
        </w:tc>
        <w:tc>
          <w:tcPr>
            <w:tcW w:type="dxa" w:w="17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No verificado</w:t>
            </w:r>
          </w:p>
        </w:tc>
        <w:tc>
          <w:tcPr>
            <w:tcW w:type="dxa" w:w="496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Calcular frecuencias y ponderación si corresponde</w:t>
            </w:r>
          </w:p>
        </w:tc>
      </w:tr>
      <w:tr>
        <w:tc>
          <w:tcPr>
            <w:tcW w:type="dxa" w:w="27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Calidad de anotación</w:t>
            </w:r>
          </w:p>
        </w:tc>
        <w:tc>
          <w:tcPr>
            <w:tcW w:type="dxa" w:w="17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No verificado</w:t>
            </w:r>
          </w:p>
        </w:tc>
        <w:tc>
          <w:tcPr>
            <w:tcW w:type="dxa" w:w="496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Auditar muestra estratificada y desacuerdos</w:t>
            </w:r>
          </w:p>
        </w:tc>
      </w:tr>
      <w:tr>
        <w:tc>
          <w:tcPr>
            <w:tcW w:type="dxa" w:w="27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Particiones</w:t>
            </w:r>
          </w:p>
        </w:tc>
        <w:tc>
          <w:tcPr>
            <w:tcW w:type="dxa" w:w="170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No verificado</w:t>
            </w:r>
          </w:p>
        </w:tc>
        <w:tc>
          <w:tcPr>
            <w:tcW w:type="dxa" w:w="496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Documentar train/validation/test y semilla</w:t>
            </w:r>
          </w:p>
        </w:tc>
      </w:tr>
      <w:tr>
        <w:tc>
          <w:tcPr>
            <w:tcW w:type="dxa" w:w="27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Licencia</w:t>
            </w:r>
          </w:p>
        </w:tc>
        <w:tc>
          <w:tcPr>
            <w:tcW w:type="dxa" w:w="17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Reportada</w:t>
            </w:r>
          </w:p>
        </w:tc>
        <w:tc>
          <w:tcPr>
            <w:tcW w:type="dxa" w:w="496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Archivar versión y texto legal aplicable</w:t>
            </w:r>
          </w:p>
        </w:tc>
      </w:tr>
    </w:tbl>
    <w:p>
      <w:pPr>
        <w:spacing w:after="60"/>
      </w:pPr>
    </w:p>
    <w:p>
      <w:pPr>
        <w:pStyle w:val="Heading1"/>
      </w:pPr>
      <w:r>
        <w:t>7. Preparación recomendada para el fine-tuning</w:t>
      </w:r>
    </w:p>
    <w:p>
      <w:pPr>
        <w:pStyle w:val="ListNumber"/>
        <w:spacing w:after="100" w:line="264" w:lineRule="auto"/>
      </w:pPr>
      <w:r>
        <w:rPr>
          <w:rFonts w:ascii="Calibri" w:hAnsi="Calibri"/>
          <w:b w:val="0"/>
          <w:i w:val="0"/>
          <w:color w:val="1F2937"/>
          <w:sz w:val="22"/>
        </w:rPr>
        <w:t>Congelar una copia inmutable del archivo original y registrar nombre, versión, fecha de descarga y una suma de comprobación.</w:t>
      </w:r>
    </w:p>
    <w:p>
      <w:pPr>
        <w:pStyle w:val="ListNumber"/>
        <w:spacing w:after="100" w:line="264" w:lineRule="auto"/>
      </w:pPr>
      <w:r>
        <w:rPr>
          <w:rFonts w:ascii="Calibri" w:hAnsi="Calibri"/>
          <w:b w:val="0"/>
          <w:i w:val="0"/>
          <w:color w:val="1F2937"/>
          <w:sz w:val="22"/>
        </w:rPr>
        <w:t>Normalizar espacios y codificación Unicode sin eliminar negaciones, signos de puntuación ni marcas que aporten polaridad.</w:t>
      </w:r>
    </w:p>
    <w:p>
      <w:pPr>
        <w:pStyle w:val="ListNumber"/>
        <w:spacing w:after="100" w:line="264" w:lineRule="auto"/>
      </w:pPr>
      <w:r>
        <w:rPr>
          <w:rFonts w:ascii="Calibri" w:hAnsi="Calibri"/>
          <w:b w:val="0"/>
          <w:i w:val="0"/>
          <w:color w:val="1F2937"/>
          <w:sz w:val="22"/>
        </w:rPr>
        <w:t>Eliminar filas vacías y resolver etiquetas fuera del esquema; mantener un registro de exclusiones.</w:t>
      </w:r>
    </w:p>
    <w:p>
      <w:pPr>
        <w:pStyle w:val="ListNumber"/>
        <w:spacing w:after="100" w:line="264" w:lineRule="auto"/>
      </w:pPr>
      <w:r>
        <w:rPr>
          <w:rFonts w:ascii="Calibri" w:hAnsi="Calibri"/>
          <w:b w:val="0"/>
          <w:i w:val="0"/>
          <w:color w:val="1F2937"/>
          <w:sz w:val="22"/>
        </w:rPr>
        <w:t>Detectar duplicados antes de dividir. Agrupar textos equivalentes para impedir que el mismo contenido aparezca en entrenamiento y prueba.</w:t>
      </w:r>
    </w:p>
    <w:p>
      <w:pPr>
        <w:pStyle w:val="ListNumber"/>
        <w:spacing w:after="100" w:line="264" w:lineRule="auto"/>
      </w:pPr>
      <w:r>
        <w:rPr>
          <w:rFonts w:ascii="Calibri" w:hAnsi="Calibri"/>
          <w:b w:val="0"/>
          <w:i w:val="0"/>
          <w:color w:val="1F2937"/>
          <w:sz w:val="22"/>
        </w:rPr>
        <w:t>Crear particiones estratificadas por etiqueta. Si existen identificadores de docente, curso o periodo, dividir por grupo para medir generalización real.</w:t>
      </w:r>
    </w:p>
    <w:p>
      <w:pPr>
        <w:pStyle w:val="ListNumber"/>
        <w:spacing w:after="100" w:line="264" w:lineRule="auto"/>
      </w:pPr>
      <w:r>
        <w:rPr>
          <w:rFonts w:ascii="Calibri" w:hAnsi="Calibri"/>
          <w:b w:val="0"/>
          <w:i w:val="0"/>
          <w:color w:val="1F2937"/>
          <w:sz w:val="22"/>
        </w:rPr>
        <w:t>Tokenizar con el tokenizador del modelo base y documentar longitud máxima, truncamiento, relleno y porcentaje de textos truncados.</w:t>
      </w:r>
    </w:p>
    <w:p>
      <w:pPr>
        <w:pStyle w:val="ListNumber"/>
        <w:spacing w:after="100" w:line="264" w:lineRule="auto"/>
      </w:pPr>
      <w:r>
        <w:rPr>
          <w:rFonts w:ascii="Calibri" w:hAnsi="Calibri"/>
          <w:b w:val="0"/>
          <w:i w:val="0"/>
          <w:color w:val="1F2937"/>
          <w:sz w:val="22"/>
        </w:rPr>
        <w:t>Evaluar con macro-F1, F1 por clase, precisión, exhaustividad, matriz de confusión y soporte; no depender únicamente de accuracy.</w:t>
      </w:r>
    </w:p>
    <w:p>
      <w:pPr>
        <w:pStyle w:val="Heading1"/>
      </w:pPr>
      <w:r>
        <w:t>8. Riesgos de validez y mitigaciones</w:t>
      </w:r>
    </w:p>
    <w:tbl>
      <w:tblPr>
        <w:tblW w:type="dxa" w:w="9360"/>
        <w:jc w:val="center"/>
        <w:tblLayout w:type="fixed"/>
        <w:tblLook w:firstColumn="1" w:firstRow="1" w:lastColumn="0" w:lastRow="0" w:noHBand="0" w:noVBand="1" w:val="04A0"/>
        <w:tblInd w:w="120" w:type="dxa"/>
        <w:tblBorders>
          <w:top w:val="single" w:sz="6" w:color="C9CED6"/>
          <w:left w:val="single" w:sz="6" w:color="C9CED6"/>
          <w:bottom w:val="single" w:sz="6" w:color="C9CED6"/>
          <w:right w:val="single" w:sz="6" w:color="C9CED6"/>
          <w:insideH w:val="single" w:sz="6" w:color="C9CED6"/>
          <w:insideV w:val="single" w:sz="6" w:color="C9CED6"/>
        </w:tblBorders>
      </w:tblPr>
      <w:tblGrid>
        <w:gridCol w:w="2200"/>
        <w:gridCol w:w="3200"/>
        <w:gridCol w:w="3960"/>
      </w:tblGrid>
      <w:tr>
        <w:trPr>
          <w:tblHeader w:val="true"/>
        </w:trPr>
        <w:tc>
          <w:tcPr>
            <w:tcW w:type="dxa" w:w="220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7"/>
              </w:rPr>
              <w:t>Riesgo</w:t>
            </w:r>
          </w:p>
        </w:tc>
        <w:tc>
          <w:tcPr>
            <w:tcW w:type="dxa" w:w="320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7"/>
              </w:rPr>
              <w:t>Efecto posible</w:t>
            </w:r>
          </w:p>
        </w:tc>
        <w:tc>
          <w:tcPr>
            <w:tcW w:type="dxa" w:w="396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7"/>
              </w:rPr>
              <w:t>Control recomendado</w:t>
            </w:r>
          </w:p>
        </w:tc>
      </w:tr>
      <w:tr>
        <w:tc>
          <w:tcPr>
            <w:tcW w:type="dxa" w:w="2200"/>
            <w:tcMar>
              <w:top w:w="90" w:type="dxa"/>
              <w:start w:w="120" w:type="dxa"/>
              <w:bottom w:w="90" w:type="dxa"/>
              <w:end w:w="120" w:type="dxa"/>
            </w:tcMar>
            <w:vAlign w:val="center"/>
          </w:tcPr>
          <w:p>
            <w:pPr>
              <w:spacing w:before="0" w:after="0" w:line="240" w:lineRule="auto"/>
            </w:pPr>
            <w:r>
              <w:rPr>
                <w:rFonts w:ascii="Calibri" w:hAnsi="Calibri"/>
                <w:b w:val="0"/>
                <w:i w:val="0"/>
                <w:color w:val="1F2937"/>
                <w:sz w:val="17"/>
              </w:rPr>
              <w:t>Desbalance de clases</w:t>
            </w:r>
          </w:p>
        </w:tc>
        <w:tc>
          <w:tcPr>
            <w:tcW w:type="dxa" w:w="3200"/>
            <w:tcMar>
              <w:top w:w="90" w:type="dxa"/>
              <w:start w:w="120" w:type="dxa"/>
              <w:bottom w:w="90" w:type="dxa"/>
              <w:end w:w="120" w:type="dxa"/>
            </w:tcMar>
            <w:vAlign w:val="center"/>
          </w:tcPr>
          <w:p>
            <w:pPr>
              <w:spacing w:before="0" w:after="0" w:line="240" w:lineRule="auto"/>
            </w:pPr>
            <w:r>
              <w:rPr>
                <w:rFonts w:ascii="Calibri" w:hAnsi="Calibri"/>
                <w:b w:val="0"/>
                <w:i w:val="0"/>
                <w:color w:val="1F2937"/>
                <w:sz w:val="17"/>
              </w:rPr>
              <w:t>El modelo favorece la polaridad mayoritaria</w:t>
            </w:r>
          </w:p>
        </w:tc>
        <w:tc>
          <w:tcPr>
            <w:tcW w:type="dxa" w:w="3960"/>
            <w:tcMar>
              <w:top w:w="90" w:type="dxa"/>
              <w:start w:w="120" w:type="dxa"/>
              <w:bottom w:w="90" w:type="dxa"/>
              <w:end w:w="120" w:type="dxa"/>
            </w:tcMar>
            <w:vAlign w:val="center"/>
          </w:tcPr>
          <w:p>
            <w:pPr>
              <w:spacing w:before="0" w:after="0" w:line="240" w:lineRule="auto"/>
            </w:pPr>
            <w:r>
              <w:rPr>
                <w:rFonts w:ascii="Calibri" w:hAnsi="Calibri"/>
                <w:b w:val="0"/>
                <w:i w:val="0"/>
                <w:color w:val="1F2937"/>
                <w:sz w:val="17"/>
              </w:rPr>
              <w:t>Macro-F1, ponderación o muestreo documentado</w:t>
            </w:r>
          </w:p>
        </w:tc>
      </w:tr>
      <w:tr>
        <w:tc>
          <w:tcPr>
            <w:tcW w:type="dxa" w:w="22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7"/>
              </w:rPr>
              <w:t>Duplicación masiva</w:t>
            </w:r>
          </w:p>
        </w:tc>
        <w:tc>
          <w:tcPr>
            <w:tcW w:type="dxa" w:w="32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7"/>
              </w:rPr>
              <w:t>Métricas infladas y baja generalización</w:t>
            </w:r>
          </w:p>
        </w:tc>
        <w:tc>
          <w:tcPr>
            <w:tcW w:type="dxa" w:w="396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7"/>
              </w:rPr>
              <w:t>Deduplicar antes de dividir; agrupar equivalentes</w:t>
            </w:r>
          </w:p>
        </w:tc>
      </w:tr>
      <w:tr>
        <w:tc>
          <w:tcPr>
            <w:tcW w:type="dxa" w:w="2200"/>
            <w:tcMar>
              <w:top w:w="90" w:type="dxa"/>
              <w:start w:w="120" w:type="dxa"/>
              <w:bottom w:w="90" w:type="dxa"/>
              <w:end w:w="120" w:type="dxa"/>
            </w:tcMar>
            <w:vAlign w:val="center"/>
          </w:tcPr>
          <w:p>
            <w:pPr>
              <w:spacing w:before="0" w:after="0" w:line="240" w:lineRule="auto"/>
            </w:pPr>
            <w:r>
              <w:rPr>
                <w:rFonts w:ascii="Calibri" w:hAnsi="Calibri"/>
                <w:b w:val="0"/>
                <w:i w:val="0"/>
                <w:color w:val="1F2937"/>
                <w:sz w:val="17"/>
              </w:rPr>
              <w:t>Anotación inconsistente</w:t>
            </w:r>
          </w:p>
        </w:tc>
        <w:tc>
          <w:tcPr>
            <w:tcW w:type="dxa" w:w="3200"/>
            <w:tcMar>
              <w:top w:w="90" w:type="dxa"/>
              <w:start w:w="120" w:type="dxa"/>
              <w:bottom w:w="90" w:type="dxa"/>
              <w:end w:w="120" w:type="dxa"/>
            </w:tcMar>
            <w:vAlign w:val="center"/>
          </w:tcPr>
          <w:p>
            <w:pPr>
              <w:spacing w:before="0" w:after="0" w:line="240" w:lineRule="auto"/>
            </w:pPr>
            <w:r>
              <w:rPr>
                <w:rFonts w:ascii="Calibri" w:hAnsi="Calibri"/>
                <w:b w:val="0"/>
                <w:i w:val="0"/>
                <w:color w:val="1F2937"/>
                <w:sz w:val="17"/>
              </w:rPr>
              <w:t>Techo de desempeño bajo y errores sistemáticos</w:t>
            </w:r>
          </w:p>
        </w:tc>
        <w:tc>
          <w:tcPr>
            <w:tcW w:type="dxa" w:w="3960"/>
            <w:tcMar>
              <w:top w:w="90" w:type="dxa"/>
              <w:start w:w="120" w:type="dxa"/>
              <w:bottom w:w="90" w:type="dxa"/>
              <w:end w:w="120" w:type="dxa"/>
            </w:tcMar>
            <w:vAlign w:val="center"/>
          </w:tcPr>
          <w:p>
            <w:pPr>
              <w:spacing w:before="0" w:after="0" w:line="240" w:lineRule="auto"/>
            </w:pPr>
            <w:r>
              <w:rPr>
                <w:rFonts w:ascii="Calibri" w:hAnsi="Calibri"/>
                <w:b w:val="0"/>
                <w:i w:val="0"/>
                <w:color w:val="1F2937"/>
                <w:sz w:val="17"/>
              </w:rPr>
              <w:t>Auditoría humana estratificada y reglas de etiqueta</w:t>
            </w:r>
          </w:p>
        </w:tc>
      </w:tr>
      <w:tr>
        <w:tc>
          <w:tcPr>
            <w:tcW w:type="dxa" w:w="22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7"/>
              </w:rPr>
              <w:t>Cambio de dominio</w:t>
            </w:r>
          </w:p>
        </w:tc>
        <w:tc>
          <w:tcPr>
            <w:tcW w:type="dxa" w:w="32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7"/>
              </w:rPr>
              <w:t>Peor desempeño en otra universidad o país</w:t>
            </w:r>
          </w:p>
        </w:tc>
        <w:tc>
          <w:tcPr>
            <w:tcW w:type="dxa" w:w="396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7"/>
              </w:rPr>
              <w:t>Prueba externa y reporte por subgrupo</w:t>
            </w:r>
          </w:p>
        </w:tc>
      </w:tr>
      <w:tr>
        <w:tc>
          <w:tcPr>
            <w:tcW w:type="dxa" w:w="2200"/>
            <w:tcMar>
              <w:top w:w="90" w:type="dxa"/>
              <w:start w:w="120" w:type="dxa"/>
              <w:bottom w:w="90" w:type="dxa"/>
              <w:end w:w="120" w:type="dxa"/>
            </w:tcMar>
            <w:vAlign w:val="center"/>
          </w:tcPr>
          <w:p>
            <w:pPr>
              <w:spacing w:before="0" w:after="0" w:line="240" w:lineRule="auto"/>
            </w:pPr>
            <w:r>
              <w:rPr>
                <w:rFonts w:ascii="Calibri" w:hAnsi="Calibri"/>
                <w:b w:val="0"/>
                <w:i w:val="0"/>
                <w:color w:val="1F2937"/>
                <w:sz w:val="17"/>
              </w:rPr>
              <w:t>Idioma incompatible</w:t>
            </w:r>
          </w:p>
        </w:tc>
        <w:tc>
          <w:tcPr>
            <w:tcW w:type="dxa" w:w="3200"/>
            <w:tcMar>
              <w:top w:w="90" w:type="dxa"/>
              <w:start w:w="120" w:type="dxa"/>
              <w:bottom w:w="90" w:type="dxa"/>
              <w:end w:w="120" w:type="dxa"/>
            </w:tcMar>
            <w:vAlign w:val="center"/>
          </w:tcPr>
          <w:p>
            <w:pPr>
              <w:spacing w:before="0" w:after="0" w:line="240" w:lineRule="auto"/>
            </w:pPr>
            <w:r>
              <w:rPr>
                <w:rFonts w:ascii="Calibri" w:hAnsi="Calibri"/>
                <w:b w:val="0"/>
                <w:i w:val="0"/>
                <w:color w:val="1F2937"/>
                <w:sz w:val="17"/>
              </w:rPr>
              <w:t>Representaciones subóptimas y errores léxicos</w:t>
            </w:r>
          </w:p>
        </w:tc>
        <w:tc>
          <w:tcPr>
            <w:tcW w:type="dxa" w:w="3960"/>
            <w:tcMar>
              <w:top w:w="90" w:type="dxa"/>
              <w:start w:w="120" w:type="dxa"/>
              <w:bottom w:w="90" w:type="dxa"/>
              <w:end w:w="120" w:type="dxa"/>
            </w:tcMar>
            <w:vAlign w:val="center"/>
          </w:tcPr>
          <w:p>
            <w:pPr>
              <w:spacing w:before="0" w:after="0" w:line="240" w:lineRule="auto"/>
            </w:pPr>
            <w:r>
              <w:rPr>
                <w:rFonts w:ascii="Calibri" w:hAnsi="Calibri"/>
                <w:b w:val="0"/>
                <w:i w:val="0"/>
                <w:color w:val="1F2937"/>
                <w:sz w:val="17"/>
              </w:rPr>
              <w:t>Comprobar idioma y escoger un modelo base compatible</w:t>
            </w:r>
          </w:p>
        </w:tc>
      </w:tr>
      <w:tr>
        <w:tc>
          <w:tcPr>
            <w:tcW w:type="dxa" w:w="22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7"/>
              </w:rPr>
              <w:t>Fuga por docente/curso</w:t>
            </w:r>
          </w:p>
        </w:tc>
        <w:tc>
          <w:tcPr>
            <w:tcW w:type="dxa" w:w="320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7"/>
              </w:rPr>
              <w:t>El modelo memoriza patrones del grupo</w:t>
            </w:r>
          </w:p>
        </w:tc>
        <w:tc>
          <w:tcPr>
            <w:tcW w:type="dxa" w:w="396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7"/>
              </w:rPr>
              <w:t>Separar particiones por entidad cuando sea posible</w:t>
            </w:r>
          </w:p>
        </w:tc>
      </w:tr>
      <w:tr>
        <w:tc>
          <w:tcPr>
            <w:tcW w:type="dxa" w:w="2200"/>
            <w:tcMar>
              <w:top w:w="90" w:type="dxa"/>
              <w:start w:w="120" w:type="dxa"/>
              <w:bottom w:w="90" w:type="dxa"/>
              <w:end w:w="120" w:type="dxa"/>
            </w:tcMar>
            <w:vAlign w:val="center"/>
          </w:tcPr>
          <w:p>
            <w:pPr>
              <w:spacing w:before="0" w:after="0" w:line="240" w:lineRule="auto"/>
            </w:pPr>
            <w:r>
              <w:rPr>
                <w:rFonts w:ascii="Calibri" w:hAnsi="Calibri"/>
                <w:b w:val="0"/>
                <w:i w:val="0"/>
                <w:color w:val="1F2937"/>
                <w:sz w:val="17"/>
              </w:rPr>
              <w:t>Sesgo estudiantil</w:t>
            </w:r>
          </w:p>
        </w:tc>
        <w:tc>
          <w:tcPr>
            <w:tcW w:type="dxa" w:w="3200"/>
            <w:tcMar>
              <w:top w:w="90" w:type="dxa"/>
              <w:start w:w="120" w:type="dxa"/>
              <w:bottom w:w="90" w:type="dxa"/>
              <w:end w:w="120" w:type="dxa"/>
            </w:tcMar>
            <w:vAlign w:val="center"/>
          </w:tcPr>
          <w:p>
            <w:pPr>
              <w:spacing w:before="0" w:after="0" w:line="240" w:lineRule="auto"/>
            </w:pPr>
            <w:r>
              <w:rPr>
                <w:rFonts w:ascii="Calibri" w:hAnsi="Calibri"/>
                <w:b w:val="0"/>
                <w:i w:val="0"/>
                <w:color w:val="1F2937"/>
                <w:sz w:val="17"/>
              </w:rPr>
              <w:t>La polaridad refleja factores ajenos a la docencia</w:t>
            </w:r>
          </w:p>
        </w:tc>
        <w:tc>
          <w:tcPr>
            <w:tcW w:type="dxa" w:w="3960"/>
            <w:tcMar>
              <w:top w:w="90" w:type="dxa"/>
              <w:start w:w="120" w:type="dxa"/>
              <w:bottom w:w="90" w:type="dxa"/>
              <w:end w:w="120" w:type="dxa"/>
            </w:tcMar>
            <w:vAlign w:val="center"/>
          </w:tcPr>
          <w:p>
            <w:pPr>
              <w:spacing w:before="0" w:after="0" w:line="240" w:lineRule="auto"/>
            </w:pPr>
            <w:r>
              <w:rPr>
                <w:rFonts w:ascii="Calibri" w:hAnsi="Calibri"/>
                <w:b w:val="0"/>
                <w:i w:val="0"/>
                <w:color w:val="1F2937"/>
                <w:sz w:val="17"/>
              </w:rPr>
              <w:t>Interpretación agregada; no usar como juicio individual automático</w:t>
            </w:r>
          </w:p>
        </w:tc>
      </w:tr>
    </w:tbl>
    <w:p>
      <w:pPr>
        <w:spacing w:after="60"/>
      </w:pPr>
    </w:p>
    <w:p>
      <w:pPr>
        <w:pStyle w:val="Heading1"/>
      </w:pPr>
      <w:r>
        <w:t>9. Compatibilidad con RoBERTuito</w:t>
      </w:r>
    </w:p>
    <w:tbl>
      <w:tblPr>
        <w:tblW w:type="dxa" w:w="9360"/>
        <w:jc w:val="center"/>
        <w:tblLayout w:type="fixed"/>
        <w:tblLook w:firstColumn="1" w:firstRow="1" w:lastColumn="0" w:lastRow="0" w:noHBand="0" w:noVBand="1" w:val="04A0"/>
        <w:tblInd w:w="120" w:type="dxa"/>
        <w:tblBorders>
          <w:top w:val="single" w:sz="4" w:color="FDECEC"/>
          <w:left w:val="single" w:sz="4" w:color="FDECEC"/>
          <w:bottom w:val="single" w:sz="4" w:color="FDECEC"/>
          <w:right w:val="single" w:sz="4" w:color="FDECEC"/>
          <w:insideH w:val="single" w:sz="4" w:color="FDECEC"/>
          <w:insideV w:val="single" w:sz="4" w:color="FDECEC"/>
        </w:tblBorders>
      </w:tblPr>
      <w:tblGrid>
        <w:gridCol w:w="9360"/>
      </w:tblGrid>
      <w:tr>
        <w:tc>
          <w:tcPr>
            <w:tcW w:type="dxa" w:w="9360"/>
            <w:tcMar>
              <w:top w:w="90" w:type="dxa"/>
              <w:start w:w="120" w:type="dxa"/>
              <w:bottom w:w="90" w:type="dxa"/>
              <w:end w:w="120" w:type="dxa"/>
            </w:tcMar>
            <w:vAlign w:val="center"/>
            <w:shd w:fill="FDECEC"/>
          </w:tcPr>
          <w:p>
            <w:pPr>
              <w:spacing w:before="20" w:after="20" w:line="259" w:lineRule="auto"/>
            </w:pPr>
            <w:r>
              <w:rPr>
                <w:rFonts w:ascii="Calibri" w:hAnsi="Calibri"/>
                <w:b/>
                <w:i w:val="0"/>
                <w:color w:val="9B1C1C"/>
                <w:sz w:val="22"/>
              </w:rPr>
              <w:t xml:space="preserve">Punto crítico. </w:t>
            </w:r>
            <w:r>
              <w:rPr>
                <w:rFonts w:ascii="Calibri" w:hAnsi="Calibri"/>
                <w:b w:val="0"/>
                <w:i w:val="0"/>
                <w:color w:val="1F2937"/>
                <w:sz w:val="22"/>
              </w:rPr>
              <w:t>RoBERTuito está orientado al español y al dominio de redes sociales. Si los comentarios del corpus están principalmente en inglés, bengalí u otro idioma, su uso introduce una incompatibilidad entre el preentrenamiento y los datos. El idioma exacto debe verificarse antes de justificar la elección del modelo.</w:t>
            </w:r>
          </w:p>
        </w:tc>
      </w:tr>
    </w:tbl>
    <w:p>
      <w:pPr>
        <w:spacing w:after="60"/>
      </w:pPr>
    </w:p>
    <w:p>
      <w:pPr>
        <w:spacing w:before="0" w:after="120" w:line="264" w:lineRule="auto"/>
      </w:pPr>
      <w:r>
        <w:rPr>
          <w:rFonts w:ascii="Calibri" w:hAnsi="Calibri"/>
          <w:b w:val="0"/>
          <w:i w:val="0"/>
          <w:color w:val="1F2937"/>
          <w:sz w:val="22"/>
        </w:rPr>
        <w:t>Si el corpus no está en español, deben compararse modelos multilingües o del idioma dominante usando la misma partición y las mismas métricas. Si los textos fueron traducidos, el informe debe indicar el sistema de traducción, el momento de la traducción —antes o después de dividir— y una auditoría de preservación de polaridad y negaciones.</w:t>
      </w:r>
    </w:p>
    <w:p>
      <w:pPr>
        <w:spacing w:before="0" w:after="120" w:line="264" w:lineRule="auto"/>
      </w:pPr>
      <w:r>
        <w:rPr>
          <w:rFonts w:ascii="Calibri" w:hAnsi="Calibri"/>
          <w:b w:val="0"/>
          <w:i w:val="0"/>
          <w:color w:val="1F2937"/>
          <w:sz w:val="22"/>
        </w:rPr>
        <w:t>Si el corpus sí está en español, todavía existe un cambio de dominio entre lenguaje docente y publicaciones sociales. La comparación con un modelo general en español permite demostrar si la especialización de RoBERTuito aporta o perjudica.</w:t>
      </w:r>
    </w:p>
    <w:p>
      <w:pPr>
        <w:pStyle w:val="Heading1"/>
      </w:pPr>
      <w:r>
        <w:t>10. Evaluación del modelo y reporte mínimo</w:t>
      </w:r>
    </w:p>
    <w:tbl>
      <w:tblPr>
        <w:tblW w:type="dxa" w:w="9360"/>
        <w:jc w:val="center"/>
        <w:tblLayout w:type="fixed"/>
        <w:tblLook w:firstColumn="1" w:firstRow="1" w:lastColumn="0" w:lastRow="0" w:noHBand="0" w:noVBand="1" w:val="04A0"/>
        <w:tblInd w:w="120" w:type="dxa"/>
        <w:tblBorders>
          <w:top w:val="single" w:sz="6" w:color="C9CED6"/>
          <w:left w:val="single" w:sz="6" w:color="C9CED6"/>
          <w:bottom w:val="single" w:sz="6" w:color="C9CED6"/>
          <w:right w:val="single" w:sz="6" w:color="C9CED6"/>
          <w:insideH w:val="single" w:sz="6" w:color="C9CED6"/>
          <w:insideV w:val="single" w:sz="6" w:color="C9CED6"/>
        </w:tblBorders>
      </w:tblPr>
      <w:tblGrid>
        <w:gridCol w:w="2250"/>
        <w:gridCol w:w="7110"/>
      </w:tblGrid>
      <w:tr>
        <w:trPr>
          <w:tblHeader w:val="true"/>
        </w:trPr>
        <w:tc>
          <w:tcPr>
            <w:tcW w:type="dxa" w:w="225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Componente</w:t>
            </w:r>
          </w:p>
        </w:tc>
        <w:tc>
          <w:tcPr>
            <w:tcW w:type="dxa" w:w="7110"/>
            <w:tcMar>
              <w:top w:w="90" w:type="dxa"/>
              <w:start w:w="120" w:type="dxa"/>
              <w:bottom w:w="90" w:type="dxa"/>
              <w:end w:w="120" w:type="dxa"/>
            </w:tcMar>
            <w:vAlign w:val="center"/>
            <w:shd w:fill="F2F4F7"/>
          </w:tcPr>
          <w:p>
            <w:pPr>
              <w:spacing w:before="0" w:after="0" w:line="240" w:lineRule="auto"/>
            </w:pPr>
            <w:r>
              <w:rPr>
                <w:rFonts w:ascii="Calibri" w:hAnsi="Calibri"/>
                <w:b/>
                <w:i w:val="0"/>
                <w:color w:val="1F4D78"/>
                <w:sz w:val="18"/>
              </w:rPr>
              <w:t>Contenido que debe registrarse</w:t>
            </w:r>
          </w:p>
        </w:tc>
      </w:tr>
      <w:tr>
        <w:tc>
          <w:tcPr>
            <w:tcW w:type="dxa" w:w="225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Modelo</w:t>
            </w:r>
          </w:p>
        </w:tc>
        <w:tc>
          <w:tcPr>
            <w:tcW w:type="dxa" w:w="711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Nombre y versión del modelo base; número de parámetros; tokenizador</w:t>
            </w:r>
          </w:p>
        </w:tc>
      </w:tr>
      <w:tr>
        <w:tc>
          <w:tcPr>
            <w:tcW w:type="dxa" w:w="225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Entrenamiento</w:t>
            </w:r>
          </w:p>
        </w:tc>
        <w:tc>
          <w:tcPr>
            <w:tcW w:type="dxa" w:w="711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Épocas, batch size, tasa de aprendizaje, optimizador, scheduler, semilla y hardware</w:t>
            </w:r>
          </w:p>
        </w:tc>
      </w:tr>
      <w:tr>
        <w:tc>
          <w:tcPr>
            <w:tcW w:type="dxa" w:w="225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Datos</w:t>
            </w:r>
          </w:p>
        </w:tc>
        <w:tc>
          <w:tcPr>
            <w:tcW w:type="dxa" w:w="711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Conteos por partición y clase; filtros; deduplicación; longitud máxima</w:t>
            </w:r>
          </w:p>
        </w:tc>
      </w:tr>
      <w:tr>
        <w:tc>
          <w:tcPr>
            <w:tcW w:type="dxa" w:w="225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Selección</w:t>
            </w:r>
          </w:p>
        </w:tc>
        <w:tc>
          <w:tcPr>
            <w:tcW w:type="dxa" w:w="711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Criterio de early stopping y checkpoint elegido</w:t>
            </w:r>
          </w:p>
        </w:tc>
      </w:tr>
      <w:tr>
        <w:tc>
          <w:tcPr>
            <w:tcW w:type="dxa" w:w="225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Resultados</w:t>
            </w:r>
          </w:p>
        </w:tc>
        <w:tc>
          <w:tcPr>
            <w:tcW w:type="dxa" w:w="711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Macro-F1, weighted-F1, accuracy, métricas por clase y matriz de confusión</w:t>
            </w:r>
          </w:p>
        </w:tc>
      </w:tr>
      <w:tr>
        <w:tc>
          <w:tcPr>
            <w:tcW w:type="dxa" w:w="225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Comparación</w:t>
            </w:r>
          </w:p>
        </w:tc>
        <w:tc>
          <w:tcPr>
            <w:tcW w:type="dxa" w:w="7110"/>
            <w:tcMar>
              <w:top w:w="90" w:type="dxa"/>
              <w:start w:w="120" w:type="dxa"/>
              <w:bottom w:w="90" w:type="dxa"/>
              <w:end w:w="120" w:type="dxa"/>
            </w:tcMar>
            <w:vAlign w:val="center"/>
            <w:shd w:fill="FAFBFC"/>
          </w:tcPr>
          <w:p>
            <w:pPr>
              <w:spacing w:before="0" w:after="0" w:line="240" w:lineRule="auto"/>
            </w:pPr>
            <w:r>
              <w:rPr>
                <w:rFonts w:ascii="Calibri" w:hAnsi="Calibri"/>
                <w:b w:val="0"/>
                <w:i w:val="0"/>
                <w:color w:val="1F2937"/>
                <w:sz w:val="18"/>
              </w:rPr>
              <w:t>Baseline mayoritario y, preferiblemente, un modelo base alternativo</w:t>
            </w:r>
          </w:p>
        </w:tc>
      </w:tr>
      <w:tr>
        <w:tc>
          <w:tcPr>
            <w:tcW w:type="dxa" w:w="225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Errores</w:t>
            </w:r>
          </w:p>
        </w:tc>
        <w:tc>
          <w:tcPr>
            <w:tcW w:type="dxa" w:w="7110"/>
            <w:tcMar>
              <w:top w:w="90" w:type="dxa"/>
              <w:start w:w="120" w:type="dxa"/>
              <w:bottom w:w="90" w:type="dxa"/>
              <w:end w:w="120" w:type="dxa"/>
            </w:tcMar>
            <w:vAlign w:val="center"/>
          </w:tcPr>
          <w:p>
            <w:pPr>
              <w:spacing w:before="0" w:after="0" w:line="240" w:lineRule="auto"/>
            </w:pPr>
            <w:r>
              <w:rPr>
                <w:rFonts w:ascii="Calibri" w:hAnsi="Calibri"/>
                <w:b w:val="0"/>
                <w:i w:val="0"/>
                <w:color w:val="1F2937"/>
                <w:sz w:val="18"/>
              </w:rPr>
              <w:t>Muestra de negaciones, ironía, comentarios mixtos, neutralidad y aspectos ambiguos</w:t>
            </w:r>
          </w:p>
        </w:tc>
      </w:tr>
    </w:tbl>
    <w:p>
      <w:pPr>
        <w:spacing w:after="60"/>
      </w:pPr>
    </w:p>
    <w:p>
      <w:pPr>
        <w:pStyle w:val="Heading1"/>
      </w:pPr>
      <w:r>
        <w:t>11. Licencia, ética y protección de datos</w:t>
      </w:r>
    </w:p>
    <w:p>
      <w:pPr>
        <w:spacing w:before="0" w:after="120" w:line="264" w:lineRule="auto"/>
      </w:pPr>
      <w:r>
        <w:rPr>
          <w:rFonts w:ascii="Calibri" w:hAnsi="Calibri"/>
          <w:b w:val="0"/>
          <w:i w:val="0"/>
          <w:color w:val="1F2937"/>
          <w:sz w:val="22"/>
        </w:rPr>
        <w:t>La ficha proporcionada reporta una licencia CC BY-NC 3.0. Por tanto, la reutilización debe mantener la atribución, indicar cambios y respetar la restricción de uso no comercial. La versión y el texto de licencia asociados a la descarga deben archivarse junto con el experimento, porque las condiciones pueden depender de la versión del depósito.</w:t>
      </w:r>
    </w:p>
    <w:p>
      <w:pPr>
        <w:spacing w:before="0" w:after="120" w:line="264" w:lineRule="auto"/>
      </w:pPr>
      <w:r>
        <w:rPr>
          <w:rFonts w:ascii="Calibri" w:hAnsi="Calibri"/>
          <w:b w:val="0"/>
          <w:i w:val="0"/>
          <w:color w:val="1F2937"/>
          <w:sz w:val="22"/>
        </w:rPr>
        <w:t>Aunque se trate de datos públicos, los comentarios estudiantiles pueden contener nombres, cursos u otros identificadores. Se recomienda eliminar o seudonimizar referencias personales, restringir la publicación de ejemplos textuales y reportar resultados de manera agregada. Un clasificador de sentimiento no debe convertirse en el único insumo para decisiones laborales sobre docentes.</w:t>
      </w:r>
    </w:p>
    <w:p>
      <w:pPr>
        <w:pStyle w:val="Heading1"/>
      </w:pPr>
      <w:r>
        <w:t>12. Conclusiones</w:t>
      </w:r>
    </w:p>
    <w:p>
      <w:pPr>
        <w:spacing w:before="0" w:after="120" w:line="264" w:lineRule="auto"/>
      </w:pPr>
      <w:r>
        <w:rPr>
          <w:rFonts w:ascii="Calibri" w:hAnsi="Calibri"/>
          <w:b w:val="0"/>
          <w:i w:val="0"/>
          <w:color w:val="1F2937"/>
          <w:sz w:val="22"/>
        </w:rPr>
        <w:t>El dataset seleccionado presenta una alineación temática alta con la evaluación docente y una escala potencialmente valiosa para fine-tuning. Las tres clases permiten formular una tarea de clasificación clara, y el origen universitario mejora la pertinencia respecto de corpus genéricos de reseñas o redes sociales.</w:t>
      </w:r>
    </w:p>
    <w:p>
      <w:pPr>
        <w:spacing w:before="0" w:after="120" w:line="264" w:lineRule="auto"/>
      </w:pPr>
      <w:r>
        <w:rPr>
          <w:rFonts w:ascii="Calibri" w:hAnsi="Calibri"/>
          <w:b w:val="0"/>
          <w:i w:val="0"/>
          <w:color w:val="1F2937"/>
          <w:sz w:val="22"/>
        </w:rPr>
        <w:t>La principal limitación del informe actual es la ausencia del archivo exacto y del registro de entrenamiento. Hasta completar el perfil estadístico, no puede afirmarse el idioma, el equilibrio, la calidad de anotación, la cobertura de aspectos ni la independencia de las particiones. Estas verificaciones son necesarias para sostener que el desempeño medido refleja generalización y no repetición o fuga de información.</w:t>
      </w:r>
    </w:p>
    <w:tbl>
      <w:tblPr>
        <w:tblW w:type="dxa" w:w="9360"/>
        <w:jc w:val="center"/>
        <w:tblLayout w:type="fixed"/>
        <w:tblLook w:firstColumn="1" w:firstRow="1" w:lastColumn="0" w:lastRow="0" w:noHBand="0" w:noVBand="1" w:val="04A0"/>
        <w:tblInd w:w="120" w:type="dxa"/>
        <w:tblBorders>
          <w:top w:val="single" w:sz="4" w:color="EAF6EF"/>
          <w:left w:val="single" w:sz="4" w:color="EAF6EF"/>
          <w:bottom w:val="single" w:sz="4" w:color="EAF6EF"/>
          <w:right w:val="single" w:sz="4" w:color="EAF6EF"/>
          <w:insideH w:val="single" w:sz="4" w:color="EAF6EF"/>
          <w:insideV w:val="single" w:sz="4" w:color="EAF6EF"/>
        </w:tblBorders>
      </w:tblPr>
      <w:tblGrid>
        <w:gridCol w:w="9360"/>
      </w:tblGrid>
      <w:tr>
        <w:tc>
          <w:tcPr>
            <w:tcW w:type="dxa" w:w="9360"/>
            <w:tcMar>
              <w:top w:w="90" w:type="dxa"/>
              <w:start w:w="120" w:type="dxa"/>
              <w:bottom w:w="90" w:type="dxa"/>
              <w:end w:w="120" w:type="dxa"/>
            </w:tcMar>
            <w:vAlign w:val="center"/>
            <w:shd w:fill="EAF6EF"/>
          </w:tcPr>
          <w:p>
            <w:pPr>
              <w:spacing w:before="20" w:after="20" w:line="259" w:lineRule="auto"/>
            </w:pPr>
            <w:r>
              <w:rPr>
                <w:rFonts w:ascii="Calibri" w:hAnsi="Calibri"/>
                <w:b/>
                <w:i w:val="0"/>
                <w:color w:val="287A52"/>
                <w:sz w:val="22"/>
              </w:rPr>
              <w:t xml:space="preserve">Dictamen técnico. </w:t>
            </w:r>
            <w:r>
              <w:rPr>
                <w:rFonts w:ascii="Calibri" w:hAnsi="Calibri"/>
                <w:b w:val="0"/>
                <w:i w:val="0"/>
                <w:color w:val="1F2937"/>
                <w:sz w:val="22"/>
              </w:rPr>
              <w:t>Adecuado como corpus candidato y posiblemente fuerte por volumen; su idoneidad definitiva para el modelo ajustado queda condicionada a la verificación del idioma, la estructura ABSA, la calidad de etiquetas y el protocolo de partición.</w:t>
            </w:r>
          </w:p>
        </w:tc>
      </w:tr>
    </w:tbl>
    <w:p>
      <w:pPr>
        <w:spacing w:after="60"/>
      </w:pPr>
    </w:p>
    <w:p>
      <w:pPr>
        <w:pStyle w:val="Heading1"/>
      </w:pPr>
      <w:r>
        <w:t>Anexo A. Texto metodológico adaptable</w:t>
      </w:r>
    </w:p>
    <w:p>
      <w:pPr>
        <w:spacing w:before="0" w:after="120" w:line="264" w:lineRule="auto"/>
      </w:pPr>
      <w:r>
        <w:rPr>
          <w:rFonts w:ascii="Calibri" w:hAnsi="Calibri"/>
          <w:b w:val="0"/>
          <w:i w:val="0"/>
          <w:color w:val="1F2937"/>
          <w:sz w:val="22"/>
        </w:rPr>
        <w:t>Se utilizó el conjunto de datos “A Novel Dataset for ABSA for Teacher Performance Evaluation”, publicado por American International University-Bangladesh a través de Mendeley Data. El recurso reúne más de dos millones de instancias reportadas de comentarios estudiantiles sobre desempeño docente y emplea tres categorías de polaridad: positiva, negativa y neutral. El corpus fue seleccionado por su escala y su correspondencia temática con el problema de evaluación docente.</w:t>
      </w:r>
    </w:p>
    <w:p>
      <w:pPr>
        <w:spacing w:before="0" w:after="120" w:line="264" w:lineRule="auto"/>
      </w:pPr>
      <w:r>
        <w:rPr>
          <w:rFonts w:ascii="Calibri" w:hAnsi="Calibri"/>
          <w:b w:val="0"/>
          <w:i w:val="0"/>
          <w:color w:val="1F2937"/>
          <w:sz w:val="22"/>
        </w:rPr>
        <w:t>Antes del ajuste del modelo, los registros se sometieron a [describir limpieza y deduplicación]. La información se dividió en entrenamiento, validación y prueba en proporciones [indicar porcentajes], con semilla [indicar valor] y estratificación por [indicar variable]. Se utilizó [modelo y versión], con longitud máxima de [n] tokens, tasa de aprendizaje [valor], batch size [valor] y [n] épocas. El rendimiento se evaluó mediante [métricas] y se complementó con una matriz de confusión y análisis de errores por clase.</w:t>
      </w:r>
    </w:p>
    <w:tbl>
      <w:tblPr>
        <w:tblW w:type="dxa" w:w="9360"/>
        <w:jc w:val="center"/>
        <w:tblLayout w:type="fixed"/>
        <w:tblLook w:firstColumn="1" w:firstRow="1" w:lastColumn="0" w:lastRow="0" w:noHBand="0" w:noVBand="1" w:val="04A0"/>
        <w:tblInd w:w="120" w:type="dxa"/>
        <w:tblBorders>
          <w:top w:val="single" w:sz="4" w:color="FFF4CE"/>
          <w:left w:val="single" w:sz="4" w:color="FFF4CE"/>
          <w:bottom w:val="single" w:sz="4" w:color="FFF4CE"/>
          <w:right w:val="single" w:sz="4" w:color="FFF4CE"/>
          <w:insideH w:val="single" w:sz="4" w:color="FFF4CE"/>
          <w:insideV w:val="single" w:sz="4" w:color="FFF4CE"/>
        </w:tblBorders>
      </w:tblPr>
      <w:tblGrid>
        <w:gridCol w:w="9360"/>
      </w:tblGrid>
      <w:tr>
        <w:tc>
          <w:tcPr>
            <w:tcW w:type="dxa" w:w="9360"/>
            <w:tcMar>
              <w:top w:w="90" w:type="dxa"/>
              <w:start w:w="120" w:type="dxa"/>
              <w:bottom w:w="90" w:type="dxa"/>
              <w:end w:w="120" w:type="dxa"/>
            </w:tcMar>
            <w:vAlign w:val="center"/>
            <w:shd w:fill="FFF4CE"/>
          </w:tcPr>
          <w:p>
            <w:pPr>
              <w:spacing w:before="20" w:after="20" w:line="259" w:lineRule="auto"/>
            </w:pPr>
            <w:r>
              <w:rPr>
                <w:rFonts w:ascii="Calibri" w:hAnsi="Calibri"/>
                <w:b/>
                <w:i w:val="0"/>
                <w:color w:val="7A5A00"/>
                <w:sz w:val="22"/>
              </w:rPr>
              <w:t xml:space="preserve">Uso del anexo. </w:t>
            </w:r>
            <w:r>
              <w:rPr>
                <w:rFonts w:ascii="Calibri" w:hAnsi="Calibri"/>
                <w:b w:val="0"/>
                <w:i w:val="0"/>
                <w:color w:val="1F2937"/>
                <w:sz w:val="22"/>
              </w:rPr>
              <w:t>Los campos entre corchetes deben reemplazarse con la configuración real. El primer párrafo también debe actualizarse con el conteo exacto y el idioma comprobado en los archivos.</w:t>
            </w:r>
          </w:p>
        </w:tc>
      </w:tr>
    </w:tbl>
    <w:p>
      <w:pPr>
        <w:spacing w:after="60"/>
      </w:pPr>
    </w:p>
    <w:p>
      <w:pPr>
        <w:pStyle w:val="Heading1"/>
      </w:pPr>
      <w:r>
        <w:t>Anexo B. Referencia de la fuente</w:t>
      </w:r>
    </w:p>
    <w:p>
      <w:pPr>
        <w:spacing w:before="0" w:after="120" w:line="264" w:lineRule="auto"/>
      </w:pPr>
      <w:r>
        <w:rPr>
          <w:rFonts w:ascii="Calibri" w:hAnsi="Calibri"/>
          <w:b w:val="0"/>
          <w:i w:val="0"/>
          <w:color w:val="1F2937"/>
          <w:sz w:val="22"/>
        </w:rPr>
        <w:t>A Novel Dataset for ABSA for Teacher Performance Evaluation. Mendeley Data, versión 1. American International University-Bangladesh. https://data.mendeley.com/datasets/b2yhc95rnx/1</w:t>
      </w:r>
    </w:p>
    <w:p>
      <w:pPr>
        <w:spacing w:before="0" w:after="120" w:line="264" w:lineRule="auto"/>
      </w:pPr>
      <w:r>
        <w:rPr>
          <w:rFonts w:ascii="Calibri" w:hAnsi="Calibri"/>
          <w:b w:val="0"/>
          <w:i/>
          <w:color w:val="5B6573"/>
          <w:sz w:val="22"/>
        </w:rPr>
        <w:t>Nota de evidencia: la autoría individual, la fecha de publicación, el DOI visible, el contenido de los archivos y el diccionario de variables no se verificaron en esta ejecución. Deben incorporarse desde la ficha oficial y la descarga antes de una entrega académica definitiva.</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7"/>
      </w:rPr>
      <w:t xml:space="preserve">Evaluación docente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3"/>
        <w:sz w:val="17"/>
      </w:rPr>
      <w:t>INFORME TÉCNICO DE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del dataset ABSA para evaluación docente</dc:title>
  <dc:subject>Datos para fine-tuning de un modelo de sentimiento</dc:subject>
  <dc:creator/>
  <cp:keywords>ABSA, sentimiento, evaluación docente, fine-tuning, Mendeley Data</cp:keywords>
  <dc:description>generated by python-docx</dc:description>
  <cp:lastModifiedBy/>
  <cp:revision>1</cp:revision>
  <dcterms:created xsi:type="dcterms:W3CDTF">2013-12-23T23:15:00Z</dcterms:created>
  <dcterms:modified xsi:type="dcterms:W3CDTF">2013-12-23T23:15:00Z</dcterms:modified>
  <cp:category/>
</cp:coreProperties>
</file>