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46B" w:rsidRDefault="002F346B" w:rsidP="002F346B">
      <w:pPr>
        <w:ind w:right="-94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iLearnCentral</w:t>
      </w:r>
      <w:r w:rsidRPr="000C0E4E">
        <w:rPr>
          <w:rFonts w:ascii="Times New Roman" w:hAnsi="Times New Roman" w:cs="Times New Roman"/>
          <w:b/>
          <w:bCs/>
        </w:rPr>
        <w:t xml:space="preserve"> - LEAN CANVAS</w:t>
      </w:r>
    </w:p>
    <w:p w:rsidR="002F346B" w:rsidRPr="002F346B" w:rsidRDefault="002F346B" w:rsidP="002F346B">
      <w:pPr>
        <w:jc w:val="both"/>
        <w:rPr>
          <w:rFonts w:ascii="Times New Roman" w:hAnsi="Times New Roman" w:cs="Times New Roman"/>
          <w:b/>
        </w:rPr>
      </w:pPr>
    </w:p>
    <w:p w:rsidR="000755EE" w:rsidRDefault="002F346B" w:rsidP="002F346B">
      <w:pPr>
        <w:jc w:val="center"/>
        <w:rPr>
          <w:rFonts w:ascii="Times New Roman" w:hAnsi="Times New Roman" w:cs="Times New Roman"/>
          <w:b/>
        </w:rPr>
      </w:pPr>
      <w:r w:rsidRPr="002F346B">
        <w:rPr>
          <w:rFonts w:ascii="Times New Roman" w:hAnsi="Times New Roman" w:cs="Times New Roman"/>
          <w:b/>
          <w:bCs/>
          <w:lang w:val="en-US" w:eastAsia="ja-JP"/>
        </w:rPr>
        <w:drawing>
          <wp:inline distT="0" distB="0" distL="0" distR="0" wp14:anchorId="3CE0E7D2" wp14:editId="1B2A3796">
            <wp:extent cx="590550" cy="351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0" cy="3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6B" w:rsidRPr="000F26A8" w:rsidRDefault="000F26A8" w:rsidP="002F346B">
      <w:pPr>
        <w:jc w:val="center"/>
        <w:rPr>
          <w:rFonts w:ascii="Times New Roman" w:hAnsi="Times New Roman" w:cs="Times New Roman"/>
        </w:rPr>
      </w:pPr>
      <w:r w:rsidRPr="000F26A8">
        <w:rPr>
          <w:rFonts w:ascii="Times New Roman" w:hAnsi="Times New Roman" w:cs="Times New Roman"/>
        </w:rPr>
        <w:t>University of Cebu</w:t>
      </w:r>
    </w:p>
    <w:p w:rsidR="000F26A8" w:rsidRPr="000F26A8" w:rsidRDefault="000F26A8" w:rsidP="002F346B">
      <w:pPr>
        <w:jc w:val="center"/>
        <w:rPr>
          <w:rFonts w:ascii="Times New Roman" w:hAnsi="Times New Roman" w:cs="Times New Roman"/>
        </w:rPr>
      </w:pPr>
      <w:r w:rsidRPr="000F26A8">
        <w:rPr>
          <w:rFonts w:ascii="Times New Roman" w:hAnsi="Times New Roman" w:cs="Times New Roman"/>
        </w:rPr>
        <w:t>College of Computer Studies</w:t>
      </w:r>
    </w:p>
    <w:p w:rsidR="002F346B" w:rsidRPr="000F26A8" w:rsidRDefault="000F26A8" w:rsidP="002F346B">
      <w:pPr>
        <w:jc w:val="center"/>
        <w:rPr>
          <w:rFonts w:ascii="Times New Roman" w:hAnsi="Times New Roman" w:cs="Times New Roman"/>
        </w:rPr>
      </w:pPr>
      <w:r w:rsidRPr="000F26A8">
        <w:rPr>
          <w:rFonts w:ascii="Times New Roman" w:hAnsi="Times New Roman" w:cs="Times New Roman"/>
        </w:rPr>
        <w:t>Cebu City</w:t>
      </w:r>
    </w:p>
    <w:tbl>
      <w:tblPr>
        <w:tblStyle w:val="TableGrid"/>
        <w:tblpPr w:leftFromText="180" w:rightFromText="180" w:vertAnchor="text" w:horzAnchor="margin" w:tblpXSpec="center" w:tblpY="187"/>
        <w:tblW w:w="1351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1499"/>
        <w:gridCol w:w="922"/>
        <w:gridCol w:w="2160"/>
        <w:gridCol w:w="2700"/>
      </w:tblGrid>
      <w:tr w:rsidR="002F346B" w:rsidRPr="000C0E4E" w:rsidTr="000F26A8">
        <w:trPr>
          <w:trHeight w:val="530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Problem</w:t>
            </w:r>
          </w:p>
        </w:tc>
        <w:tc>
          <w:tcPr>
            <w:tcW w:w="3118" w:type="dxa"/>
            <w:tcBorders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Solution</w:t>
            </w:r>
          </w:p>
        </w:tc>
        <w:tc>
          <w:tcPr>
            <w:tcW w:w="2421" w:type="dxa"/>
            <w:gridSpan w:val="2"/>
            <w:tcBorders>
              <w:bottom w:val="nil"/>
            </w:tcBorders>
            <w:shd w:val="clear" w:color="auto" w:fill="FFFFFF"/>
          </w:tcPr>
          <w:p w:rsidR="000F26A8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 xml:space="preserve">Unique Value </w:t>
            </w:r>
          </w:p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Proposition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Unfair Advantage</w:t>
            </w:r>
          </w:p>
        </w:tc>
        <w:tc>
          <w:tcPr>
            <w:tcW w:w="2700" w:type="dxa"/>
            <w:tcBorders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Customer Segments</w:t>
            </w:r>
          </w:p>
        </w:tc>
      </w:tr>
      <w:tr w:rsidR="002F346B" w:rsidRPr="000C0E4E" w:rsidTr="000F26A8">
        <w:trPr>
          <w:trHeight w:val="2677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FFFFF"/>
          </w:tcPr>
          <w:p w:rsidR="002F346B" w:rsidRPr="000F26A8" w:rsidRDefault="002F346B" w:rsidP="002F346B">
            <w:pPr>
              <w:ind w:left="7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- </w:t>
            </w:r>
            <w:r w:rsidRPr="000F26A8">
              <w:rPr>
                <w:rFonts w:ascii="Times New Roman" w:hAnsi="Times New Roman" w:cs="Times New Roman"/>
                <w:sz w:val="22"/>
              </w:rPr>
              <w:t>Small and Medium sized Learning Centers can’t afford in-house IT professionals and solutions to automate operations.</w:t>
            </w:r>
          </w:p>
          <w:p w:rsidR="002F346B" w:rsidRPr="000F26A8" w:rsidRDefault="002F346B" w:rsidP="002F346B">
            <w:pPr>
              <w:ind w:left="7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- </w:t>
            </w:r>
            <w:r w:rsidRPr="000F26A8">
              <w:rPr>
                <w:rFonts w:ascii="Times New Roman" w:hAnsi="Times New Roman" w:cs="Times New Roman"/>
                <w:sz w:val="22"/>
              </w:rPr>
              <w:t>Finding qualified educators on short notice.</w:t>
            </w:r>
          </w:p>
          <w:p w:rsidR="002F346B" w:rsidRPr="000F26A8" w:rsidRDefault="002F346B" w:rsidP="002F346B">
            <w:pPr>
              <w:ind w:left="7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- </w:t>
            </w:r>
            <w:r w:rsidRPr="000F26A8">
              <w:rPr>
                <w:rFonts w:ascii="Times New Roman" w:hAnsi="Times New Roman" w:cs="Times New Roman"/>
                <w:sz w:val="22"/>
              </w:rPr>
              <w:t>Teachers would not have access to resources like laptop to help with daily preparations.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FFFFFF"/>
          </w:tcPr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Hosting modular applications catering to specific operational needs of Learning Centers.</w:t>
            </w:r>
          </w:p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Profile repository for prospective teachers to match qualifications.</w:t>
            </w:r>
          </w:p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assistant tools for teacher’s daily needs(lesson plans and reports) using mobile technology</w:t>
            </w:r>
          </w:p>
        </w:tc>
        <w:tc>
          <w:tcPr>
            <w:tcW w:w="242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One-stop-shop solutions for Learning Centers’ operational needs and assistance to their educators</w:t>
            </w:r>
          </w:p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/>
          </w:tcPr>
          <w:p w:rsidR="002F346B" w:rsidRPr="000F26A8" w:rsidRDefault="002F346B" w:rsidP="002F346B">
            <w:pPr>
              <w:ind w:right="-10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Customizable feature list based on the needs of the establishment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FFFFFF"/>
          </w:tcPr>
          <w:p w:rsidR="000F26A8" w:rsidRPr="000F26A8" w:rsidRDefault="002F346B" w:rsidP="002F346B">
            <w:pPr>
              <w:ind w:right="-18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- Small and Medium </w:t>
            </w:r>
          </w:p>
          <w:p w:rsidR="002F346B" w:rsidRPr="000F26A8" w:rsidRDefault="002F346B" w:rsidP="002F346B">
            <w:pPr>
              <w:ind w:right="-18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Scale Learning Centers</w:t>
            </w:r>
          </w:p>
          <w:p w:rsidR="002F346B" w:rsidRPr="000F26A8" w:rsidRDefault="002F346B" w:rsidP="002F346B">
            <w:pPr>
              <w:ind w:right="-18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- Professional Educators </w:t>
            </w:r>
          </w:p>
          <w:p w:rsidR="002F346B" w:rsidRPr="000F26A8" w:rsidRDefault="002F346B" w:rsidP="002F346B">
            <w:pPr>
              <w:ind w:right="-18"/>
              <w:rPr>
                <w:rFonts w:ascii="Times New Roman" w:hAnsi="Times New Roman" w:cs="Times New Roman"/>
                <w:sz w:val="22"/>
              </w:rPr>
            </w:pPr>
          </w:p>
        </w:tc>
      </w:tr>
      <w:tr w:rsidR="002F346B" w:rsidRPr="000C0E4E" w:rsidTr="000F26A8">
        <w:trPr>
          <w:trHeight w:val="264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</w:rPr>
            </w:pPr>
            <w:r w:rsidRPr="000C0E4E">
              <w:rPr>
                <w:rFonts w:ascii="Times New Roman" w:hAnsi="Times New Roman" w:cs="Times New Roman"/>
                <w:b/>
              </w:rPr>
              <w:t>Existing Alternatives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Key Metrics</w:t>
            </w:r>
          </w:p>
        </w:tc>
        <w:tc>
          <w:tcPr>
            <w:tcW w:w="242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High-Level Concept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Channels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</w:rPr>
            </w:pPr>
            <w:r w:rsidRPr="000C0E4E">
              <w:rPr>
                <w:rFonts w:ascii="Times New Roman" w:hAnsi="Times New Roman" w:cs="Times New Roman"/>
                <w:b/>
              </w:rPr>
              <w:t>Early Adopters</w:t>
            </w:r>
          </w:p>
        </w:tc>
      </w:tr>
      <w:tr w:rsidR="002F346B" w:rsidRPr="000C0E4E" w:rsidTr="000F26A8">
        <w:trPr>
          <w:trHeight w:val="2052"/>
        </w:trPr>
        <w:tc>
          <w:tcPr>
            <w:tcW w:w="3119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:rsidR="002F346B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OrangeApps</w:t>
            </w:r>
          </w:p>
          <w:p w:rsidR="002F346B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Edunext</w:t>
            </w:r>
          </w:p>
        </w:tc>
        <w:tc>
          <w:tcPr>
            <w:tcW w:w="3118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Number of learning centers using the services</w:t>
            </w:r>
          </w:p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Number of Professional educators’ profiles</w:t>
            </w:r>
          </w:p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Gross Profit</w:t>
            </w:r>
          </w:p>
        </w:tc>
        <w:tc>
          <w:tcPr>
            <w:tcW w:w="2421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:rsidR="002F346B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60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:rsidR="002F346B" w:rsidRPr="000F26A8" w:rsidRDefault="002F346B" w:rsidP="002F346B">
            <w:pPr>
              <w:ind w:right="-10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Visits to Establishments</w:t>
            </w:r>
          </w:p>
          <w:p w:rsidR="002F346B" w:rsidRPr="000F26A8" w:rsidRDefault="002F346B" w:rsidP="002F346B">
            <w:pPr>
              <w:ind w:right="-10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Company Website </w:t>
            </w:r>
          </w:p>
          <w:p w:rsidR="002F346B" w:rsidRPr="000F26A8" w:rsidRDefault="002F346B" w:rsidP="002F346B">
            <w:pPr>
              <w:ind w:right="-10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Social Media Ads</w:t>
            </w:r>
          </w:p>
          <w:p w:rsidR="002F346B" w:rsidRPr="000F26A8" w:rsidRDefault="002F346B" w:rsidP="002F346B">
            <w:pPr>
              <w:ind w:right="-10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Word of Mouth</w:t>
            </w:r>
          </w:p>
        </w:tc>
        <w:tc>
          <w:tcPr>
            <w:tcW w:w="2700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:rsidR="000F26A8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- Small and Medium </w:t>
            </w:r>
          </w:p>
          <w:p w:rsidR="000F26A8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scale Learning Centers </w:t>
            </w:r>
          </w:p>
          <w:p w:rsidR="002F346B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using manual</w:t>
            </w:r>
            <w:r w:rsidR="000F26A8" w:rsidRPr="000F26A8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0F26A8">
              <w:rPr>
                <w:rFonts w:ascii="Times New Roman" w:hAnsi="Times New Roman" w:cs="Times New Roman"/>
                <w:sz w:val="22"/>
              </w:rPr>
              <w:t>transactions.</w:t>
            </w:r>
          </w:p>
          <w:p w:rsidR="000F26A8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- Professional Educators </w:t>
            </w:r>
          </w:p>
          <w:p w:rsidR="002F346B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looking for jobs </w:t>
            </w:r>
          </w:p>
          <w:p w:rsidR="000F26A8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- Working Educators </w:t>
            </w:r>
          </w:p>
          <w:p w:rsidR="000F26A8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needing automated </w:t>
            </w:r>
          </w:p>
          <w:p w:rsidR="002F346B" w:rsidRPr="000F26A8" w:rsidRDefault="002F346B" w:rsidP="000F26A8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assistance tools</w:t>
            </w:r>
          </w:p>
        </w:tc>
      </w:tr>
      <w:tr w:rsidR="002F346B" w:rsidRPr="000C0E4E" w:rsidTr="000F26A8">
        <w:trPr>
          <w:trHeight w:val="279"/>
        </w:trPr>
        <w:tc>
          <w:tcPr>
            <w:tcW w:w="7736" w:type="dxa"/>
            <w:gridSpan w:val="3"/>
            <w:tcBorders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Cost Structure</w:t>
            </w:r>
          </w:p>
        </w:tc>
        <w:tc>
          <w:tcPr>
            <w:tcW w:w="5782" w:type="dxa"/>
            <w:gridSpan w:val="3"/>
            <w:tcBorders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Revenue Structure</w:t>
            </w:r>
          </w:p>
        </w:tc>
      </w:tr>
      <w:tr w:rsidR="002F346B" w:rsidRPr="000C0E4E" w:rsidTr="000F26A8">
        <w:trPr>
          <w:trHeight w:val="1350"/>
        </w:trPr>
        <w:tc>
          <w:tcPr>
            <w:tcW w:w="7736" w:type="dxa"/>
            <w:gridSpan w:val="3"/>
            <w:tcBorders>
              <w:top w:val="nil"/>
            </w:tcBorders>
            <w:shd w:val="clear" w:color="auto" w:fill="FFFFFF"/>
          </w:tcPr>
          <w:p w:rsidR="002F346B" w:rsidRPr="000F26A8" w:rsidRDefault="002F346B" w:rsidP="002F346B">
            <w:pPr>
              <w:ind w:right="-3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Customer acquisition costs</w:t>
            </w:r>
          </w:p>
          <w:p w:rsidR="002F346B" w:rsidRPr="000F26A8" w:rsidRDefault="002F346B" w:rsidP="002F346B">
            <w:pPr>
              <w:ind w:right="-3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Hosting</w:t>
            </w:r>
          </w:p>
          <w:p w:rsidR="002F346B" w:rsidRPr="000F26A8" w:rsidRDefault="002F346B" w:rsidP="002F346B">
            <w:pPr>
              <w:ind w:right="-3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Research and Development</w:t>
            </w:r>
          </w:p>
          <w:p w:rsidR="002F346B" w:rsidRPr="000F26A8" w:rsidRDefault="002F346B" w:rsidP="002F346B">
            <w:pPr>
              <w:ind w:right="-3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Marketing and Advertising</w:t>
            </w:r>
          </w:p>
          <w:p w:rsidR="002F346B" w:rsidRPr="000F26A8" w:rsidRDefault="002F346B" w:rsidP="002F346B">
            <w:pPr>
              <w:ind w:right="-3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Operations and Maintainance</w:t>
            </w:r>
          </w:p>
        </w:tc>
        <w:tc>
          <w:tcPr>
            <w:tcW w:w="5782" w:type="dxa"/>
            <w:gridSpan w:val="3"/>
            <w:tcBorders>
              <w:top w:val="nil"/>
            </w:tcBorders>
            <w:shd w:val="clear" w:color="auto" w:fill="FFFFFF"/>
          </w:tcPr>
          <w:p w:rsidR="002F346B" w:rsidRPr="000F26A8" w:rsidRDefault="002F346B" w:rsidP="002F346B">
            <w:pPr>
              <w:ind w:right="-18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Subsciption based on feature packages</w:t>
            </w:r>
          </w:p>
          <w:p w:rsidR="002F346B" w:rsidRPr="000F26A8" w:rsidRDefault="002F346B" w:rsidP="002F346B">
            <w:pPr>
              <w:ind w:right="-18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Ad Revenue from free or trial users</w:t>
            </w:r>
          </w:p>
        </w:tc>
      </w:tr>
    </w:tbl>
    <w:p w:rsidR="002F346B" w:rsidRDefault="002F346B" w:rsidP="002F346B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2F346B" w:rsidRPr="002F346B" w:rsidRDefault="002F346B" w:rsidP="002F346B">
      <w:pPr>
        <w:jc w:val="both"/>
        <w:rPr>
          <w:rFonts w:ascii="Times New Roman" w:hAnsi="Times New Roman" w:cs="Times New Roman"/>
          <w:b/>
        </w:rPr>
      </w:pPr>
    </w:p>
    <w:sectPr w:rsidR="002F346B" w:rsidRPr="002F346B" w:rsidSect="000F26A8"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93A95"/>
    <w:multiLevelType w:val="hybridMultilevel"/>
    <w:tmpl w:val="4088F6F0"/>
    <w:lvl w:ilvl="0" w:tplc="FA7AA7F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6B"/>
    <w:rsid w:val="000755EE"/>
    <w:rsid w:val="000F26A8"/>
    <w:rsid w:val="002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6B"/>
    <w:pPr>
      <w:spacing w:after="0" w:line="240" w:lineRule="auto"/>
    </w:pPr>
    <w:rPr>
      <w:noProof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46B"/>
    <w:pPr>
      <w:spacing w:after="0" w:line="240" w:lineRule="auto"/>
    </w:pPr>
    <w:rPr>
      <w:sz w:val="24"/>
      <w:szCs w:val="24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6B"/>
    <w:pPr>
      <w:spacing w:after="0" w:line="240" w:lineRule="auto"/>
    </w:pPr>
    <w:rPr>
      <w:noProof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46B"/>
    <w:pPr>
      <w:spacing w:after="0" w:line="240" w:lineRule="auto"/>
    </w:pPr>
    <w:rPr>
      <w:sz w:val="24"/>
      <w:szCs w:val="24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1</cp:revision>
  <dcterms:created xsi:type="dcterms:W3CDTF">2019-09-23T06:13:00Z</dcterms:created>
  <dcterms:modified xsi:type="dcterms:W3CDTF">2019-09-23T06:30:00Z</dcterms:modified>
</cp:coreProperties>
</file>