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bookmarkStart w:id="0" w:name="_GoBack"/>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bookmarkEnd w:id="0"/>
    <w:p w14:paraId="45CC25C6" w14:textId="77777777" w:rsidR="009B0C8D" w:rsidRPr="008268CC" w:rsidRDefault="009B0C8D" w:rsidP="00D36B93">
      <w:pPr>
        <w:spacing w:after="0" w:line="480" w:lineRule="auto"/>
        <w:jc w:val="both"/>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D36B93">
      <w:pPr>
        <w:spacing w:after="0" w:line="480" w:lineRule="auto"/>
        <w:jc w:val="both"/>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457598"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7E9F877B" w:rsidR="009B0C8D"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457598">
        <w:rPr>
          <w:rFonts w:ascii="Times New Roman" w:hAnsi="Times New Roman" w:cs="Times New Roman"/>
          <w:sz w:val="24"/>
          <w:szCs w:val="24"/>
          <w:shd w:val="clear" w:color="auto" w:fill="FFFFFF"/>
        </w:rPr>
        <w:t>iLearnCentral</w:t>
      </w:r>
      <w:proofErr w:type="spellEnd"/>
      <w:r w:rsidRPr="00457598">
        <w:rPr>
          <w:rFonts w:ascii="Times New Roman" w:hAnsi="Times New Roman" w:cs="Times New Roman"/>
          <w:sz w:val="24"/>
          <w:szCs w:val="24"/>
          <w:shd w:val="clear" w:color="auto" w:fill="FFFFFF"/>
        </w:rPr>
        <w:t xml:space="preserve">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reduced. </w:t>
      </w:r>
      <w:proofErr w:type="spellStart"/>
      <w:r>
        <w:rPr>
          <w:rFonts w:ascii="Times New Roman" w:hAnsi="Times New Roman" w:cs="Times New Roman"/>
          <w:sz w:val="24"/>
          <w:szCs w:val="24"/>
          <w:shd w:val="clear" w:color="auto" w:fill="FFFFFF"/>
        </w:rPr>
        <w:t>iLearnCentral</w:t>
      </w:r>
      <w:proofErr w:type="spellEnd"/>
      <w:r>
        <w:rPr>
          <w:rFonts w:ascii="Times New Roman" w:hAnsi="Times New Roman" w:cs="Times New Roman"/>
          <w:sz w:val="24"/>
          <w:szCs w:val="24"/>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491D6834" w14:textId="083369BC" w:rsid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07DB46FB" w14:textId="77777777" w:rsidR="00A3553A" w:rsidRDefault="00A3553A" w:rsidP="00D36B93">
      <w:pPr>
        <w:spacing w:line="480" w:lineRule="auto"/>
        <w:jc w:val="both"/>
        <w:rPr>
          <w:rFonts w:ascii="Times New Roman" w:hAnsi="Times New Roman" w:cs="Times New Roman"/>
          <w:b/>
          <w:bCs/>
          <w:sz w:val="24"/>
          <w:szCs w:val="24"/>
        </w:rPr>
      </w:pPr>
      <w:r w:rsidRPr="0053660A">
        <w:rPr>
          <w:rFonts w:ascii="Times New Roman" w:hAnsi="Times New Roman" w:cs="Times New Roman"/>
          <w:b/>
          <w:bCs/>
          <w:sz w:val="24"/>
          <w:szCs w:val="24"/>
        </w:rPr>
        <w:lastRenderedPageBreak/>
        <w:t xml:space="preserve">Related </w:t>
      </w:r>
      <w:r>
        <w:rPr>
          <w:rFonts w:ascii="Times New Roman" w:hAnsi="Times New Roman" w:cs="Times New Roman"/>
          <w:b/>
          <w:bCs/>
          <w:sz w:val="24"/>
          <w:szCs w:val="24"/>
        </w:rPr>
        <w:t>Literature</w:t>
      </w:r>
    </w:p>
    <w:p w14:paraId="201BD4C9" w14:textId="77777777" w:rsidR="00D36B93" w:rsidRPr="00D36B93"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D36B93">
        <w:rPr>
          <w:rFonts w:ascii="Times New Roman" w:hAnsi="Times New Roman" w:cs="Times New Roman"/>
          <w:sz w:val="24"/>
          <w:szCs w:val="24"/>
        </w:rPr>
        <w:t>Zaslow</w:t>
      </w:r>
      <w:proofErr w:type="spellEnd"/>
      <w:r w:rsidRPr="00D36B93">
        <w:rPr>
          <w:rFonts w:ascii="Times New Roman" w:hAnsi="Times New Roman" w:cs="Times New Roman"/>
          <w:sz w:val="24"/>
          <w:szCs w:val="24"/>
        </w:rPr>
        <w:t>, 2006).</w:t>
      </w:r>
    </w:p>
    <w:p w14:paraId="59570A2B" w14:textId="05C9481C" w:rsidR="00A3553A"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only its forms (i.e., </w:t>
      </w:r>
      <w:r w:rsidRPr="00D36B93">
        <w:rPr>
          <w:rFonts w:ascii="Times New Roman" w:hAnsi="Times New Roman" w:cs="Times New Roman"/>
          <w:sz w:val="24"/>
          <w:szCs w:val="24"/>
        </w:rPr>
        <w:lastRenderedPageBreak/>
        <w:t>methods, structures, or delivery approaches) but also its processes (i.e.,</w:t>
      </w:r>
      <w:r>
        <w:rPr>
          <w:rFonts w:ascii="Times New Roman" w:hAnsi="Times New Roman" w:cs="Times New Roman"/>
          <w:sz w:val="24"/>
          <w:szCs w:val="24"/>
        </w:rPr>
        <w:t xml:space="preserve"> u</w:t>
      </w:r>
      <w:r w:rsidRPr="00D36B93">
        <w:rPr>
          <w:rFonts w:ascii="Times New Roman" w:hAnsi="Times New Roman" w:cs="Times New Roman"/>
          <w:sz w:val="24"/>
          <w:szCs w:val="24"/>
        </w:rPr>
        <w:t>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(e.g., findings of the outcomes of different pieces of training,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w:t>
      </w:r>
      <w:r>
        <w:rPr>
          <w:rFonts w:ascii="Times New Roman" w:hAnsi="Times New Roman" w:cs="Times New Roman"/>
          <w:sz w:val="24"/>
          <w:szCs w:val="24"/>
        </w:rPr>
        <w:t xml:space="preserve"> </w:t>
      </w:r>
      <w:r w:rsidRPr="00D36B93">
        <w:rPr>
          <w:rFonts w:ascii="Times New Roman" w:hAnsi="Times New Roman" w:cs="Times New Roman"/>
          <w:sz w:val="24"/>
          <w:szCs w:val="24"/>
        </w:rPr>
        <w:t xml:space="preserve">The number of children going to preschool and the number of licensed educators has proportionally increased. This gives Learning Centers the liberty of selecting the best available educator basing on their underlying professional development – skills, behaviors, and qualifications. Learning Centers can turn to </w:t>
      </w:r>
      <w:proofErr w:type="spellStart"/>
      <w:r w:rsidRPr="00D36B93">
        <w:rPr>
          <w:rFonts w:ascii="Times New Roman" w:hAnsi="Times New Roman" w:cs="Times New Roman"/>
          <w:sz w:val="24"/>
          <w:szCs w:val="24"/>
        </w:rPr>
        <w:t>iLearnCentral</w:t>
      </w:r>
      <w:proofErr w:type="spellEnd"/>
      <w:r w:rsidRPr="00D36B93">
        <w:rPr>
          <w:rFonts w:ascii="Times New Roman" w:hAnsi="Times New Roman" w:cs="Times New Roman"/>
          <w:sz w:val="24"/>
          <w:szCs w:val="24"/>
        </w:rPr>
        <w:t xml:space="preserve"> to achieve this in a lesser amount of time.</w:t>
      </w:r>
    </w:p>
    <w:p w14:paraId="219ACD87" w14:textId="77777777" w:rsidR="00405554" w:rsidRP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3178FB15" w14:textId="77777777" w:rsidR="00091319" w:rsidRDefault="00405554" w:rsidP="00D36B93">
      <w:pPr>
        <w:spacing w:after="0" w:line="480" w:lineRule="auto"/>
        <w:jc w:val="both"/>
      </w:pPr>
      <w:r>
        <w:rPr>
          <w:rFonts w:ascii="Times New Roman" w:hAnsi="Times New Roman" w:cs="Times New Roman"/>
          <w:b/>
          <w:bCs/>
          <w:sz w:val="24"/>
          <w:szCs w:val="24"/>
          <w:shd w:val="clear" w:color="auto" w:fill="FFFFFF"/>
        </w:rPr>
        <w:t xml:space="preserve">Related </w:t>
      </w:r>
      <w:r w:rsidR="00A3553A">
        <w:rPr>
          <w:rFonts w:ascii="Times New Roman" w:hAnsi="Times New Roman" w:cs="Times New Roman"/>
          <w:b/>
          <w:bCs/>
          <w:sz w:val="24"/>
          <w:szCs w:val="24"/>
          <w:shd w:val="clear" w:color="auto" w:fill="FFFFFF"/>
        </w:rPr>
        <w:t>Studies</w:t>
      </w:r>
      <w:r w:rsidR="00091319" w:rsidRPr="00091319">
        <w:t xml:space="preserve"> </w:t>
      </w:r>
    </w:p>
    <w:p w14:paraId="77DAFAF0"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Similar studies conducted on the simplification of the hiring process of employees have emerged. The foundation of a high-impact workforce relies on the quality of its employees, but we can’t build successful teams with antiquated recruiting processes. As the demand for talented individuals goes up and pressures on recruiting teams simmer, talent acquisition professionals are constantly in search of better ways to hire.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4CD2BFC5" w14:textId="08893BB0" w:rsidR="0087494E"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 xml:space="preserve">In May 2018, </w:t>
      </w:r>
      <w:proofErr w:type="spellStart"/>
      <w:r w:rsidRPr="00D36B93">
        <w:rPr>
          <w:rFonts w:ascii="Times New Roman" w:hAnsi="Times New Roman" w:cs="Times New Roman"/>
          <w:sz w:val="24"/>
          <w:szCs w:val="24"/>
          <w:shd w:val="clear" w:color="auto" w:fill="FFFFFF"/>
        </w:rPr>
        <w:t>Reija</w:t>
      </w:r>
      <w:proofErr w:type="spellEnd"/>
      <w:r w:rsidRPr="00D36B93">
        <w:rPr>
          <w:rFonts w:ascii="Times New Roman" w:hAnsi="Times New Roman" w:cs="Times New Roman"/>
          <w:sz w:val="24"/>
          <w:szCs w:val="24"/>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2F99C47C" w14:textId="3913A00A" w:rsidR="0087494E" w:rsidRDefault="0087494E" w:rsidP="00D36B93">
      <w:pPr>
        <w:spacing w:after="0" w:line="480" w:lineRule="auto"/>
        <w:ind w:firstLine="720"/>
        <w:jc w:val="both"/>
        <w:rPr>
          <w:rFonts w:ascii="Times New Roman" w:hAnsi="Times New Roman" w:cs="Times New Roman"/>
          <w:sz w:val="24"/>
          <w:szCs w:val="24"/>
          <w:shd w:val="clear" w:color="auto" w:fill="FFFFFF"/>
        </w:rPr>
      </w:pPr>
    </w:p>
    <w:p w14:paraId="7DA7C538" w14:textId="5363B6AB" w:rsidR="0053660A" w:rsidRDefault="0053660A" w:rsidP="00D36B93">
      <w:pPr>
        <w:pStyle w:val="Heading2"/>
        <w:spacing w:line="480" w:lineRule="auto"/>
        <w:ind w:left="720" w:hanging="720"/>
        <w:jc w:val="both"/>
      </w:pPr>
      <w:r w:rsidRPr="0053660A">
        <w:rPr>
          <w:rStyle w:val="authors"/>
          <w:rFonts w:ascii="Times New Roman" w:hAnsi="Times New Roman" w:cs="Times New Roman"/>
          <w:sz w:val="24"/>
          <w:szCs w:val="24"/>
        </w:rPr>
        <w:lastRenderedPageBreak/>
        <w:t xml:space="preserve">Susan M. Sheridan, Carolyn Pope Edwards, Christine A. Marvin &amp; Lisa L. </w:t>
      </w:r>
      <w:proofErr w:type="spellStart"/>
      <w:r w:rsidRPr="0053660A">
        <w:rPr>
          <w:rStyle w:val="authors"/>
          <w:rFonts w:ascii="Times New Roman" w:hAnsi="Times New Roman" w:cs="Times New Roman"/>
          <w:sz w:val="24"/>
          <w:szCs w:val="24"/>
        </w:rPr>
        <w:t>Knoche</w:t>
      </w:r>
      <w:proofErr w:type="spellEnd"/>
      <w:r w:rsidRPr="0053660A">
        <w:t xml:space="preserve"> </w:t>
      </w:r>
      <w:r w:rsidRPr="0053660A">
        <w:rPr>
          <w:rStyle w:val="Date1"/>
          <w:rFonts w:ascii="Times New Roman" w:hAnsi="Times New Roman" w:cs="Times New Roman"/>
          <w:sz w:val="24"/>
          <w:szCs w:val="24"/>
        </w:rPr>
        <w:t>(2009)</w:t>
      </w:r>
      <w:r w:rsidRPr="0053660A">
        <w:t xml:space="preserve"> </w:t>
      </w:r>
      <w:r w:rsidRPr="0053660A">
        <w:rPr>
          <w:rStyle w:val="arttitle"/>
          <w:rFonts w:ascii="Times New Roman" w:hAnsi="Times New Roman" w:cs="Times New Roman"/>
          <w:sz w:val="24"/>
          <w:szCs w:val="24"/>
        </w:rPr>
        <w:t>Professional Development in Early Childhood Programs: Process Issues and Research Needs,</w:t>
      </w:r>
      <w:r w:rsidRPr="0053660A">
        <w:t xml:space="preserve"> </w:t>
      </w:r>
      <w:r w:rsidRPr="0053660A">
        <w:rPr>
          <w:rStyle w:val="serialtitle"/>
          <w:rFonts w:ascii="Times New Roman" w:hAnsi="Times New Roman" w:cs="Times New Roman"/>
          <w:sz w:val="24"/>
          <w:szCs w:val="24"/>
        </w:rPr>
        <w:t>Early Education and Development,</w:t>
      </w:r>
      <w:r w:rsidRPr="0053660A">
        <w:t xml:space="preserve"> </w:t>
      </w:r>
      <w:r w:rsidRPr="0053660A">
        <w:rPr>
          <w:rStyle w:val="volumeissue"/>
          <w:rFonts w:ascii="Times New Roman" w:hAnsi="Times New Roman" w:cs="Times New Roman"/>
          <w:sz w:val="24"/>
          <w:szCs w:val="24"/>
        </w:rPr>
        <w:t>20:3,</w:t>
      </w:r>
      <w:r w:rsidRPr="0053660A">
        <w:t xml:space="preserve"> </w:t>
      </w:r>
      <w:r w:rsidRPr="0053660A">
        <w:rPr>
          <w:rStyle w:val="pagerange"/>
          <w:rFonts w:ascii="Times New Roman" w:hAnsi="Times New Roman" w:cs="Times New Roman"/>
          <w:sz w:val="24"/>
          <w:szCs w:val="24"/>
        </w:rPr>
        <w:t>377-401,</w:t>
      </w:r>
      <w:r w:rsidRPr="0053660A">
        <w:t xml:space="preserve"> </w:t>
      </w:r>
      <w:r w:rsidRPr="0053660A">
        <w:rPr>
          <w:rStyle w:val="doilink"/>
          <w:rFonts w:ascii="Times New Roman" w:hAnsi="Times New Roman" w:cs="Times New Roman"/>
          <w:sz w:val="24"/>
          <w:szCs w:val="24"/>
        </w:rPr>
        <w:t xml:space="preserve">DOI: </w:t>
      </w:r>
      <w:hyperlink r:id="rId4" w:history="1">
        <w:r w:rsidRPr="0053660A">
          <w:rPr>
            <w:rStyle w:val="Hyperlink"/>
            <w:rFonts w:ascii="Times New Roman" w:hAnsi="Times New Roman" w:cs="Times New Roman"/>
            <w:sz w:val="24"/>
            <w:szCs w:val="24"/>
          </w:rPr>
          <w:t>10.1080/10409280802582795</w:t>
        </w:r>
      </w:hyperlink>
      <w:r w:rsidRPr="0053660A">
        <w:t xml:space="preserve"> </w:t>
      </w:r>
    </w:p>
    <w:p w14:paraId="336393B1" w14:textId="52AE5783" w:rsidR="00CD4E32" w:rsidRPr="00CD4E32" w:rsidRDefault="00CD4E32" w:rsidP="00D36B93">
      <w:pPr>
        <w:spacing w:line="480" w:lineRule="auto"/>
        <w:ind w:left="720" w:hanging="720"/>
        <w:jc w:val="both"/>
        <w:rPr>
          <w:rFonts w:ascii="Times New Roman" w:hAnsi="Times New Roman" w:cs="Times New Roman"/>
          <w:sz w:val="24"/>
          <w:szCs w:val="24"/>
        </w:rPr>
      </w:pPr>
      <w:r w:rsidRPr="00CD4E32">
        <w:rPr>
          <w:rFonts w:ascii="Times New Roman" w:hAnsi="Times New Roman" w:cs="Times New Roman"/>
          <w:sz w:val="24"/>
          <w:szCs w:val="24"/>
        </w:rPr>
        <w:t>Bruce, Christine S., Hughes, Hilary E., &amp; Somerville, Mary M. (2012) Supporting informed learners in the 21st century. Library Trends, 60(3).</w:t>
      </w:r>
    </w:p>
    <w:p w14:paraId="63E70172" w14:textId="3CCB1BB5" w:rsidR="0053660A" w:rsidRDefault="0055372A"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Martinez-Beck &amp;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2006 Martinez-Beck, I. and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M. 2006. “Introduction: The context for critical issues in early childhood professional development.”. In Critical issues in early childhood professional development 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1–16. Baltimore: Brookes.</w:t>
      </w:r>
    </w:p>
    <w:p w14:paraId="56F2B4D0" w14:textId="503CC8D4" w:rsidR="00C931AD" w:rsidRDefault="00C931AD"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Welch-Ross, Wolf,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&amp;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2006 Welch-Ross, M., Wolf, A.,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M. and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C. 2006. “Improving connections between professional development research and early childhood policies.”. In Critical issues in early childhood professional development 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369–394. Baltimore: Brookes.</w:t>
      </w:r>
    </w:p>
    <w:p w14:paraId="46F13D30" w14:textId="392AD716" w:rsidR="0087494E" w:rsidRDefault="0087494E" w:rsidP="00D36B93">
      <w:pPr>
        <w:spacing w:line="480" w:lineRule="auto"/>
        <w:ind w:left="810" w:hanging="810"/>
        <w:jc w:val="both"/>
        <w:rPr>
          <w:rFonts w:ascii="Times New Roman" w:hAnsi="Times New Roman" w:cs="Times New Roman"/>
          <w:sz w:val="24"/>
          <w:szCs w:val="24"/>
        </w:rPr>
      </w:pPr>
      <w:r w:rsidRPr="0087494E">
        <w:rPr>
          <w:rFonts w:ascii="Times New Roman" w:hAnsi="Times New Roman" w:cs="Times New Roman"/>
          <w:sz w:val="24"/>
          <w:szCs w:val="24"/>
        </w:rPr>
        <w:t>Buckley, Patrick &amp; Minette, Kathleen &amp; Joy, Dennis &amp; Michaels, Jeff. (2004). The Use of an Automated Employment Recruiting and Screening System for Temporary Professional Employees: A Case Study. Human Resource Management. 43. 233 - 241. 10.1002/hrm.20017.</w:t>
      </w:r>
    </w:p>
    <w:p w14:paraId="3B8A46AD" w14:textId="7B33507F" w:rsidR="0087494E" w:rsidRDefault="00AC40AC" w:rsidP="00D36B93">
      <w:p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Oksanen, R. “</w:t>
      </w:r>
      <w:r w:rsidRPr="00AC40AC">
        <w:rPr>
          <w:rFonts w:ascii="Times New Roman" w:hAnsi="Times New Roman" w:cs="Times New Roman"/>
          <w:sz w:val="24"/>
          <w:szCs w:val="24"/>
        </w:rPr>
        <w:t>New technology-based recruitment methods</w:t>
      </w:r>
      <w:r>
        <w:rPr>
          <w:rFonts w:ascii="Times New Roman" w:hAnsi="Times New Roman" w:cs="Times New Roman"/>
          <w:sz w:val="24"/>
          <w:szCs w:val="24"/>
        </w:rPr>
        <w:t xml:space="preserve">” Research Gate. </w:t>
      </w:r>
      <w:r w:rsidR="0087494E">
        <w:rPr>
          <w:rFonts w:ascii="Times New Roman" w:hAnsi="Times New Roman" w:cs="Times New Roman"/>
          <w:sz w:val="24"/>
          <w:szCs w:val="24"/>
        </w:rPr>
        <w:t xml:space="preserve">Retrieved </w:t>
      </w:r>
      <w:r>
        <w:rPr>
          <w:rFonts w:ascii="Times New Roman" w:hAnsi="Times New Roman" w:cs="Times New Roman"/>
          <w:sz w:val="24"/>
          <w:szCs w:val="24"/>
        </w:rPr>
        <w:t xml:space="preserve">September 30, 2019, from </w:t>
      </w:r>
      <w:hyperlink r:id="rId5" w:history="1">
        <w:r w:rsidRPr="00F67AD0">
          <w:rPr>
            <w:rStyle w:val="Hyperlink"/>
            <w:rFonts w:ascii="Times New Roman" w:hAnsi="Times New Roman" w:cs="Times New Roman"/>
            <w:sz w:val="24"/>
            <w:szCs w:val="24"/>
          </w:rPr>
          <w:t>https://www.researchgate.net/publication</w:t>
        </w:r>
      </w:hyperlink>
      <w:r>
        <w:rPr>
          <w:rFonts w:ascii="Times New Roman" w:hAnsi="Times New Roman" w:cs="Times New Roman"/>
          <w:sz w:val="24"/>
          <w:szCs w:val="24"/>
        </w:rPr>
        <w:t xml:space="preserve">. </w:t>
      </w:r>
    </w:p>
    <w:sectPr w:rsidR="0087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91319"/>
    <w:rsid w:val="00341BF7"/>
    <w:rsid w:val="00405554"/>
    <w:rsid w:val="0053660A"/>
    <w:rsid w:val="0055372A"/>
    <w:rsid w:val="006160F2"/>
    <w:rsid w:val="00695429"/>
    <w:rsid w:val="006D0394"/>
    <w:rsid w:val="0087494E"/>
    <w:rsid w:val="008C54C7"/>
    <w:rsid w:val="0093287E"/>
    <w:rsid w:val="00936F89"/>
    <w:rsid w:val="009B0C8D"/>
    <w:rsid w:val="00A3553A"/>
    <w:rsid w:val="00AA23D0"/>
    <w:rsid w:val="00AC40AC"/>
    <w:rsid w:val="00C931AD"/>
    <w:rsid w:val="00CD4E32"/>
    <w:rsid w:val="00D3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 TargetMode="External"/><Relationship Id="rId4" Type="http://schemas.openxmlformats.org/officeDocument/2006/relationships/hyperlink" Target="https://doi.org/10.1080/10409280802582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5</cp:revision>
  <dcterms:created xsi:type="dcterms:W3CDTF">2019-09-29T08:18:00Z</dcterms:created>
  <dcterms:modified xsi:type="dcterms:W3CDTF">2019-09-30T02:03:00Z</dcterms:modified>
</cp:coreProperties>
</file>