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D729FB">
      <w:pPr>
        <w:spacing w:after="140"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D729FB">
      <w:pPr>
        <w:spacing w:after="140"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D729FB">
      <w:pPr>
        <w:spacing w:after="140"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D729FB">
      <w:pPr>
        <w:spacing w:after="140"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resignations. Thus, the effects it will have on children will be substantially reduced. iLearnCentral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D729FB">
      <w:pPr>
        <w:spacing w:after="140"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4AEA0596" w14:textId="77777777" w:rsidR="00067CCB" w:rsidRPr="00B21719"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 xml:space="preserve">Australian Council for Educational </w:t>
      </w:r>
      <w:r w:rsidRPr="00B21719">
        <w:rPr>
          <w:rFonts w:ascii="Times New Roman" w:hAnsi="Times New Roman" w:cs="Times New Roman"/>
          <w:shd w:val="clear" w:color="auto" w:fill="FFFFFF"/>
        </w:rPr>
        <w:lastRenderedPageBreak/>
        <w:t>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D729FB">
      <w:pPr>
        <w:spacing w:after="140"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01BD4C9" w14:textId="77777777" w:rsidR="00D36B93" w:rsidRPr="000119A0" w:rsidRDefault="00D36B93" w:rsidP="00D729FB">
      <w:pPr>
        <w:spacing w:after="140"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6AD575FB" w:rsidR="00405554"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w:t>
      </w:r>
      <w:r w:rsidRPr="000119A0">
        <w:rPr>
          <w:rFonts w:ascii="Times New Roman" w:hAnsi="Times New Roman" w:cs="Times New Roman"/>
        </w:rPr>
        <w:lastRenderedPageBreak/>
        <w:t xml:space="preserve">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D729FB">
      <w:pPr>
        <w:spacing w:after="140"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w:t>
      </w:r>
      <w:r w:rsidRPr="000119A0">
        <w:rPr>
          <w:rFonts w:ascii="Times New Roman" w:hAnsi="Times New Roman" w:cs="Times New Roman"/>
          <w:shd w:val="clear" w:color="auto" w:fill="FFFFFF"/>
        </w:rPr>
        <w:lastRenderedPageBreak/>
        <w:t>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196D372B" w14:textId="0D256A8B" w:rsidR="00067CCB" w:rsidRDefault="00D36B93"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5EB450BB" w14:textId="3531CD00" w:rsidR="00292C6A" w:rsidRDefault="00292C6A" w:rsidP="00D729FB">
      <w:pPr>
        <w:spacing w:after="140"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t>R</w:t>
      </w:r>
      <w:r w:rsidR="00D17941">
        <w:rPr>
          <w:rFonts w:ascii="Times New Roman" w:hAnsi="Times New Roman" w:cs="Times New Roman"/>
          <w:b/>
          <w:bCs/>
          <w:shd w:val="clear" w:color="auto" w:fill="FFFFFF"/>
        </w:rPr>
        <w:t>elated Studies</w:t>
      </w:r>
      <w:bookmarkStart w:id="0" w:name="_GoBack"/>
      <w:bookmarkEnd w:id="0"/>
    </w:p>
    <w:p w14:paraId="46C471D1" w14:textId="667031C1"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of San Carlos (USC) - </w:t>
      </w:r>
      <w:r w:rsidRPr="00067CCB">
        <w:rPr>
          <w:rFonts w:ascii="Times New Roman" w:hAnsi="Times New Roman" w:cs="Times New Roman"/>
          <w:shd w:val="clear" w:color="auto" w:fill="FFFFFF"/>
        </w:rPr>
        <w:t xml:space="preserve">Patrick Dave </w:t>
      </w:r>
      <w:proofErr w:type="spellStart"/>
      <w:r w:rsidRPr="00067CCB">
        <w:rPr>
          <w:rFonts w:ascii="Times New Roman" w:hAnsi="Times New Roman" w:cs="Times New Roman"/>
          <w:shd w:val="clear" w:color="auto" w:fill="FFFFFF"/>
        </w:rPr>
        <w:t>Woogue</w:t>
      </w:r>
      <w:proofErr w:type="spellEnd"/>
      <w:r w:rsidRPr="00067CCB">
        <w:rPr>
          <w:rFonts w:ascii="Times New Roman" w:hAnsi="Times New Roman" w:cs="Times New Roman"/>
          <w:shd w:val="clear" w:color="auto" w:fill="FFFFFF"/>
        </w:rPr>
        <w:t xml:space="preserve">, </w:t>
      </w:r>
      <w:proofErr w:type="spellStart"/>
      <w:r w:rsidRPr="00067CCB">
        <w:rPr>
          <w:rFonts w:ascii="Times New Roman" w:hAnsi="Times New Roman" w:cs="Times New Roman"/>
          <w:shd w:val="clear" w:color="auto" w:fill="FFFFFF"/>
        </w:rPr>
        <w:t>Cris</w:t>
      </w:r>
      <w:proofErr w:type="spellEnd"/>
      <w:r w:rsidRPr="00067CCB">
        <w:rPr>
          <w:rFonts w:ascii="Times New Roman" w:hAnsi="Times New Roman" w:cs="Times New Roman"/>
          <w:shd w:val="clear" w:color="auto" w:fill="FFFFFF"/>
        </w:rPr>
        <w:t xml:space="preserve"> Lawrence Adrian </w:t>
      </w:r>
      <w:proofErr w:type="spellStart"/>
      <w:r w:rsidRPr="00067CCB">
        <w:rPr>
          <w:rFonts w:ascii="Times New Roman" w:hAnsi="Times New Roman" w:cs="Times New Roman"/>
          <w:shd w:val="clear" w:color="auto" w:fill="FFFFFF"/>
        </w:rPr>
        <w:t>Militante</w:t>
      </w:r>
      <w:proofErr w:type="spellEnd"/>
      <w:r w:rsidRPr="00067CCB">
        <w:rPr>
          <w:rFonts w:ascii="Times New Roman" w:hAnsi="Times New Roman" w:cs="Times New Roman"/>
          <w:shd w:val="clear" w:color="auto" w:fill="FFFFFF"/>
        </w:rPr>
        <w:t>,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w:t>
      </w:r>
      <w:proofErr w:type="spellStart"/>
      <w:r>
        <w:rPr>
          <w:rFonts w:ascii="Times New Roman" w:hAnsi="Times New Roman" w:cs="Times New Roman"/>
          <w:shd w:val="clear" w:color="auto" w:fill="FFFFFF"/>
        </w:rPr>
        <w:t>Eryl</w:t>
      </w:r>
      <w:proofErr w:type="spellEnd"/>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xml:space="preserve">. It is a mobile online tutorial </w:t>
      </w:r>
      <w:r>
        <w:rPr>
          <w:rFonts w:ascii="Times New Roman" w:hAnsi="Times New Roman" w:cs="Times New Roman"/>
          <w:shd w:val="clear" w:color="auto" w:fill="FFFFFF"/>
        </w:rPr>
        <w:lastRenderedPageBreak/>
        <w:t>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3D5F0428" w14:textId="1E251029" w:rsidR="00067CCB" w:rsidRPr="00067CCB" w:rsidRDefault="00067CCB" w:rsidP="00D729FB">
      <w:pPr>
        <w:spacing w:after="140"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proofErr w:type="spellStart"/>
      <w:r w:rsidRPr="00067CCB">
        <w:rPr>
          <w:rFonts w:ascii="Times New Roman" w:hAnsi="Times New Roman" w:cs="Times New Roman"/>
        </w:rPr>
        <w:t>OrangeApps</w:t>
      </w:r>
      <w:proofErr w:type="spellEnd"/>
      <w:r w:rsidRPr="00067CCB">
        <w:rPr>
          <w:rFonts w:ascii="Times New Roman" w:hAnsi="Times New Roman" w:cs="Times New Roman"/>
        </w:rPr>
        <w:t xml:space="preserve">, a school management application, has been officially released in 2014 by then 19-year old Gian </w:t>
      </w:r>
      <w:proofErr w:type="spellStart"/>
      <w:r w:rsidRPr="00067CCB">
        <w:rPr>
          <w:rFonts w:ascii="Times New Roman" w:hAnsi="Times New Roman" w:cs="Times New Roman"/>
        </w:rPr>
        <w:t>Javelona</w:t>
      </w:r>
      <w:proofErr w:type="spellEnd"/>
      <w:r w:rsidRPr="00067CCB">
        <w:rPr>
          <w:rFonts w:ascii="Times New Roman" w:hAnsi="Times New Roman" w:cs="Times New Roman"/>
        </w:rPr>
        <w:t xml:space="preserve">. It has since become a huge technology company that builds products that focuses on solving problems in education. Schools of every size use </w:t>
      </w:r>
      <w:r w:rsidR="0025466D">
        <w:rPr>
          <w:rFonts w:ascii="Times New Roman" w:hAnsi="Times New Roman" w:cs="Times New Roman"/>
        </w:rPr>
        <w:t>the</w:t>
      </w:r>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2F80483F" w14:textId="0A8B6E34" w:rsidR="00292C6A" w:rsidRDefault="002861B0"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D729FB">
      <w:pPr>
        <w:spacing w:after="140" w:line="360" w:lineRule="auto"/>
        <w:rPr>
          <w:rFonts w:ascii="Times New Roman" w:hAnsi="Times New Roman" w:cs="Times New Roman"/>
          <w:shd w:val="clear" w:color="auto" w:fill="FFFFFF"/>
        </w:rPr>
      </w:pPr>
      <w:r>
        <w:rPr>
          <w:rFonts w:ascii="Times New Roman" w:hAnsi="Times New Roman" w:cs="Times New Roman"/>
          <w:shd w:val="clear" w:color="auto" w:fill="FFFFFF"/>
        </w:rPr>
        <w:tab/>
      </w:r>
      <w:proofErr w:type="spellStart"/>
      <w:r>
        <w:rPr>
          <w:rFonts w:ascii="Times New Roman" w:hAnsi="Times New Roman" w:cs="Times New Roman"/>
          <w:shd w:val="clear" w:color="auto" w:fill="FFFFFF"/>
        </w:rPr>
        <w:t>iEduCentre</w:t>
      </w:r>
      <w:proofErr w:type="spellEnd"/>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Aquarius Soft launched </w:t>
      </w:r>
      <w:proofErr w:type="spellStart"/>
      <w:r w:rsidR="00067CCB" w:rsidRPr="00067CCB">
        <w:rPr>
          <w:rFonts w:ascii="Times New Roman" w:hAnsi="Times New Roman" w:cs="Times New Roman"/>
          <w:shd w:val="clear" w:color="auto" w:fill="FFFFFF"/>
        </w:rPr>
        <w:t>iEduCentre</w:t>
      </w:r>
      <w:proofErr w:type="spellEnd"/>
      <w:r w:rsidR="00067CCB" w:rsidRPr="00067CCB">
        <w:rPr>
          <w:rFonts w:ascii="Times New Roman" w:hAnsi="Times New Roman" w:cs="Times New Roman"/>
          <w:shd w:val="clear" w:color="auto" w:fill="FFFFFF"/>
        </w:rPr>
        <w:t xml:space="preserv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45F9A9D" w14:textId="0C5AC0DC" w:rsidR="00513376" w:rsidRPr="00292C6A" w:rsidRDefault="00067CCB" w:rsidP="00D729FB">
      <w:pPr>
        <w:spacing w:after="140"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 xml:space="preserve">Accessible online as a web app, </w:t>
      </w:r>
      <w:proofErr w:type="spellStart"/>
      <w:r w:rsidRPr="00067CCB">
        <w:rPr>
          <w:rFonts w:ascii="Times New Roman" w:hAnsi="Times New Roman" w:cs="Times New Roman"/>
          <w:shd w:val="clear" w:color="auto" w:fill="FFFFFF"/>
        </w:rPr>
        <w:t>SpellWizards</w:t>
      </w:r>
      <w:proofErr w:type="spellEnd"/>
      <w:r w:rsidRPr="00067CCB">
        <w:rPr>
          <w:rFonts w:ascii="Times New Roman" w:hAnsi="Times New Roman" w:cs="Times New Roman"/>
          <w:shd w:val="clear" w:color="auto" w:fill="FFFFFF"/>
        </w:rPr>
        <w:t xml:space="preserve"> is an effective support tool which can be used by schools, teachers and parents looking to encourage and engage children to learn through play, with the added benefit of being able to track their progress online.</w:t>
      </w:r>
      <w:r w:rsidR="00F10E4A">
        <w:rPr>
          <w:rFonts w:ascii="Times New Roman" w:hAnsi="Times New Roman" w:cs="Times New Roman"/>
          <w:shd w:val="clear" w:color="auto" w:fill="FFFFFF"/>
        </w:rPr>
        <w:tab/>
      </w:r>
    </w:p>
    <w:p w14:paraId="34673CE5" w14:textId="77777777" w:rsidR="00AC440B" w:rsidRPr="000119A0" w:rsidRDefault="00AC440B" w:rsidP="00D729FB">
      <w:pPr>
        <w:spacing w:after="140"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D729FB">
      <w:pPr>
        <w:spacing w:after="140"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D729FB">
      <w:pPr>
        <w:spacing w:after="140"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lastRenderedPageBreak/>
        <w:t>Table 1</w:t>
      </w:r>
    </w:p>
    <w:p w14:paraId="242689BC" w14:textId="77777777" w:rsidR="00AC440B" w:rsidRPr="000119A0" w:rsidRDefault="00AC440B" w:rsidP="00D729FB">
      <w:pPr>
        <w:spacing w:after="140"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D729FB">
            <w:pPr>
              <w:spacing w:after="140" w:line="360" w:lineRule="auto"/>
              <w:jc w:val="both"/>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D729FB">
            <w:pPr>
              <w:spacing w:after="140" w:line="360" w:lineRule="auto"/>
              <w:jc w:val="both"/>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32A9A1"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Name: Eryl</w:t>
            </w:r>
          </w:p>
          <w:p w14:paraId="01DEBAAB" w14:textId="77777777" w:rsidR="00067CCB" w:rsidRPr="00067CCB" w:rsidRDefault="00067CCB" w:rsidP="00D729FB">
            <w:pPr>
              <w:spacing w:after="140" w:line="360" w:lineRule="auto"/>
              <w:jc w:val="both"/>
              <w:rPr>
                <w:rFonts w:ascii="Times New Roman" w:hAnsi="Times New Roman" w:cs="Times New Roman"/>
              </w:rPr>
            </w:pPr>
          </w:p>
          <w:p w14:paraId="72B5730F" w14:textId="360BE862"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URL: None</w:t>
            </w:r>
          </w:p>
          <w:p w14:paraId="5318ACD6" w14:textId="77777777" w:rsidR="00067CCB" w:rsidRPr="00067CCB" w:rsidRDefault="00067CCB" w:rsidP="00D729FB">
            <w:pPr>
              <w:spacing w:after="140" w:line="360" w:lineRule="auto"/>
              <w:jc w:val="both"/>
              <w:rPr>
                <w:rFonts w:ascii="Times New Roman" w:hAnsi="Times New Roman" w:cs="Times New Roman"/>
              </w:rPr>
            </w:pPr>
          </w:p>
          <w:p w14:paraId="67BDDA93" w14:textId="7E3106BB"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Year: July 2018</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61636C8" w14:textId="77777777"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Allows users to become students and tutors</w:t>
            </w:r>
          </w:p>
          <w:p w14:paraId="79772F7C" w14:textId="0CA9019C"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C65B270" w14:textId="27DD4751"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7B5F69" w14:textId="423C1DB0" w:rsidR="00067CCB" w:rsidRPr="000119A0" w:rsidRDefault="00067CCB" w:rsidP="00D729FB">
            <w:pPr>
              <w:spacing w:after="140" w:line="360" w:lineRule="auto"/>
              <w:jc w:val="both"/>
              <w:rPr>
                <w:rFonts w:ascii="Times New Roman" w:hAnsi="Times New Roman" w:cs="Times New Roman"/>
              </w:rPr>
            </w:pPr>
            <w:r>
              <w:rPr>
                <w:rFonts w:ascii="Times New Roman" w:hAnsi="Times New Roman" w:cs="Times New Roman"/>
              </w:rPr>
              <w:t>- None</w:t>
            </w:r>
          </w:p>
        </w:tc>
      </w:tr>
      <w:tr w:rsidR="00067CCB" w:rsidRPr="000119A0" w14:paraId="19D99659"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5A60B7E" w14:textId="77777777" w:rsidR="00067CCB" w:rsidRPr="00067CCB" w:rsidRDefault="00067CCB" w:rsidP="00D729FB">
            <w:pPr>
              <w:spacing w:after="140" w:line="360" w:lineRule="auto"/>
              <w:jc w:val="both"/>
              <w:rPr>
                <w:rFonts w:ascii="Times New Roman" w:hAnsi="Times New Roman" w:cs="Times New Roman"/>
                <w:shd w:val="clear" w:color="auto" w:fill="FFFFFF"/>
              </w:rPr>
            </w:pPr>
            <w:r w:rsidRPr="00067CCB">
              <w:rPr>
                <w:rFonts w:ascii="Times New Roman" w:hAnsi="Times New Roman" w:cs="Times New Roman"/>
              </w:rPr>
              <w:t xml:space="preserve"> Name:</w:t>
            </w:r>
            <w:r w:rsidRPr="00067CCB">
              <w:rPr>
                <w:rFonts w:ascii="Times New Roman" w:hAnsi="Times New Roman" w:cs="Times New Roman"/>
                <w:b/>
              </w:rPr>
              <w:t xml:space="preserve"> </w:t>
            </w:r>
            <w:r w:rsidRPr="00067CCB">
              <w:rPr>
                <w:rFonts w:ascii="Times New Roman" w:hAnsi="Times New Roman" w:cs="Times New Roman"/>
                <w:shd w:val="clear" w:color="auto" w:fill="FFFFFF"/>
              </w:rPr>
              <w:t>OrangeApps</w:t>
            </w:r>
          </w:p>
          <w:p w14:paraId="7E13D86E" w14:textId="77777777" w:rsidR="00067CCB" w:rsidRPr="00067CCB" w:rsidRDefault="00067CCB" w:rsidP="00D729FB">
            <w:pPr>
              <w:spacing w:after="140" w:line="360" w:lineRule="auto"/>
              <w:jc w:val="both"/>
              <w:rPr>
                <w:rFonts w:ascii="Times New Roman" w:hAnsi="Times New Roman" w:cs="Times New Roman"/>
                <w:b/>
              </w:rPr>
            </w:pPr>
          </w:p>
          <w:p w14:paraId="5A62F74F"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URL:</w:t>
            </w:r>
            <w:r w:rsidRPr="00067CCB">
              <w:rPr>
                <w:rFonts w:ascii="Times New Roman" w:hAnsi="Times New Roman" w:cs="Times New Roman"/>
                <w:b/>
              </w:rPr>
              <w:t xml:space="preserve"> </w:t>
            </w:r>
            <w:hyperlink r:id="rId7" w:history="1">
              <w:r w:rsidRPr="00067CCB">
                <w:rPr>
                  <w:rStyle w:val="Hyperlink"/>
                  <w:rFonts w:ascii="Times New Roman" w:hAnsi="Times New Roman" w:cs="Times New Roman"/>
                </w:rPr>
                <w:t>https://orangeapps.ph/</w:t>
              </w:r>
            </w:hyperlink>
            <w:r w:rsidRPr="00067CCB">
              <w:rPr>
                <w:rFonts w:ascii="Times New Roman" w:hAnsi="Times New Roman" w:cs="Times New Roman"/>
              </w:rPr>
              <w:t xml:space="preserve"> </w:t>
            </w:r>
          </w:p>
          <w:p w14:paraId="21B67B93" w14:textId="77777777" w:rsidR="00067CCB" w:rsidRPr="00067CCB" w:rsidRDefault="00067CCB" w:rsidP="00D729FB">
            <w:pPr>
              <w:spacing w:after="140" w:line="360" w:lineRule="auto"/>
              <w:jc w:val="both"/>
              <w:rPr>
                <w:rFonts w:ascii="Times New Roman" w:hAnsi="Times New Roman" w:cs="Times New Roman"/>
              </w:rPr>
            </w:pPr>
          </w:p>
          <w:p w14:paraId="70AF8320" w14:textId="77777777"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Year:</w:t>
            </w:r>
            <w:r w:rsidRPr="00067CCB">
              <w:rPr>
                <w:rFonts w:ascii="Times New Roman" w:hAnsi="Times New Roman" w:cs="Times New Roman"/>
                <w:b/>
              </w:rPr>
              <w:t xml:space="preserve"> </w:t>
            </w:r>
            <w:r w:rsidRPr="00067CCB">
              <w:rPr>
                <w:rFonts w:ascii="Times New Roman" w:hAnsi="Times New Roman" w:cs="Times New Roman"/>
              </w:rPr>
              <w:t>2014</w:t>
            </w:r>
          </w:p>
          <w:p w14:paraId="184662D4" w14:textId="77777777" w:rsidR="00067CCB" w:rsidRPr="00067CCB" w:rsidRDefault="00067CCB" w:rsidP="00D729FB">
            <w:pPr>
              <w:spacing w:after="140" w:line="360" w:lineRule="auto"/>
              <w:jc w:val="both"/>
              <w:rPr>
                <w:rFonts w:ascii="Times New Roman" w:hAnsi="Times New Roman" w:cs="Times New Roman"/>
                <w:b/>
              </w:rPr>
            </w:pPr>
          </w:p>
          <w:p w14:paraId="593EA049" w14:textId="5F4A30C3"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Proponents:</w:t>
            </w:r>
            <w:r w:rsidRPr="00067CCB">
              <w:rPr>
                <w:rFonts w:ascii="Times New Roman" w:hAnsi="Times New Roman" w:cs="Times New Roman"/>
                <w:b/>
              </w:rPr>
              <w:t xml:space="preserve"> </w:t>
            </w:r>
            <w:r w:rsidRPr="00067CC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3D8933" w14:textId="77777777" w:rsidR="00067CCB" w:rsidRPr="00067CCB" w:rsidRDefault="00067CCB" w:rsidP="00D729FB">
            <w:pPr>
              <w:spacing w:after="140" w:line="360" w:lineRule="auto"/>
              <w:rPr>
                <w:rFonts w:ascii="Times New Roman" w:hAnsi="Times New Roman" w:cs="Times New Roman"/>
              </w:rPr>
            </w:pPr>
            <w:r w:rsidRPr="00067CCB">
              <w:rPr>
                <w:rFonts w:ascii="Times New Roman" w:hAnsi="Times New Roman" w:cs="Times New Roman"/>
              </w:rPr>
              <w:t>- Admin, Teacher, Student and Parents monitorong and management system</w:t>
            </w:r>
          </w:p>
          <w:p w14:paraId="1FC533A2" w14:textId="77777777" w:rsidR="00067CCB" w:rsidRPr="00067CCB" w:rsidRDefault="00067CCB" w:rsidP="00D729FB">
            <w:pPr>
              <w:spacing w:after="140" w:line="360" w:lineRule="auto"/>
              <w:rPr>
                <w:rFonts w:ascii="Times New Roman" w:hAnsi="Times New Roman" w:cs="Times New Roman"/>
              </w:rPr>
            </w:pPr>
          </w:p>
          <w:p w14:paraId="5297FEAA" w14:textId="77777777" w:rsidR="00067CCB" w:rsidRPr="00067CCB" w:rsidRDefault="00067CCB" w:rsidP="00D729FB">
            <w:pPr>
              <w:spacing w:after="140" w:line="360" w:lineRule="auto"/>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5A99FA" w14:textId="77777777" w:rsidR="00067CCB" w:rsidRPr="00067CCB" w:rsidRDefault="00067CCB" w:rsidP="00D729FB">
            <w:pPr>
              <w:spacing w:after="140" w:line="360" w:lineRule="auto"/>
              <w:jc w:val="both"/>
              <w:rPr>
                <w:rFonts w:ascii="Times New Roman" w:hAnsi="Times New Roman" w:cs="Times New Roman"/>
              </w:rPr>
            </w:pPr>
            <w:r w:rsidRPr="00067CCB">
              <w:rPr>
                <w:rFonts w:ascii="Times New Roman" w:hAnsi="Times New Roman" w:cs="Times New Roman"/>
              </w:rPr>
              <w:t>-Intended for huge schools and universities</w:t>
            </w:r>
          </w:p>
          <w:p w14:paraId="0DD1FAA5" w14:textId="77777777" w:rsidR="00067CCB" w:rsidRPr="00067CCB" w:rsidRDefault="00067CCB" w:rsidP="00D729FB">
            <w:pPr>
              <w:spacing w:after="140" w:line="360" w:lineRule="auto"/>
              <w:jc w:val="both"/>
              <w:rPr>
                <w:rFonts w:ascii="Times New Roman" w:hAnsi="Times New Roman" w:cs="Times New Roman"/>
              </w:rPr>
            </w:pPr>
          </w:p>
          <w:p w14:paraId="2C119A0C" w14:textId="4B8931EE" w:rsidR="00067CCB" w:rsidRPr="00067CCB" w:rsidRDefault="00067CCB" w:rsidP="00D729FB">
            <w:pPr>
              <w:spacing w:after="140" w:line="360" w:lineRule="auto"/>
              <w:jc w:val="both"/>
              <w:rPr>
                <w:rFonts w:ascii="Times New Roman" w:hAnsi="Times New Roman" w:cs="Times New Roman"/>
                <w:b/>
              </w:rPr>
            </w:pPr>
            <w:r w:rsidRPr="00067CCB">
              <w:rPr>
                <w:rFonts w:ascii="Times New Roman" w:hAnsi="Times New Roman" w:cs="Times New Roman"/>
              </w:rPr>
              <w:t>-Unknown,</w:t>
            </w:r>
            <w:r w:rsidRPr="00067CCB">
              <w:rPr>
                <w:rFonts w:ascii="Times New Roman" w:hAnsi="Times New Roman" w:cs="Times New Roman"/>
                <w:color w:val="222222"/>
                <w:shd w:val="clear" w:color="auto" w:fill="FFFFFF"/>
              </w:rPr>
              <w:t xml:space="preserve"> </w:t>
            </w:r>
            <w:r w:rsidRPr="00067CCB">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A4F937B" w14:textId="694D54D2" w:rsidR="00067CCB" w:rsidRPr="000119A0" w:rsidRDefault="00067CCB" w:rsidP="00D729FB">
            <w:pPr>
              <w:spacing w:after="140" w:line="360" w:lineRule="auto"/>
              <w:jc w:val="both"/>
              <w:rPr>
                <w:rFonts w:ascii="Times New Roman" w:hAnsi="Times New Roman" w:cs="Times New Roman"/>
                <w:b/>
              </w:rPr>
            </w:pPr>
            <w:r w:rsidRPr="000119A0">
              <w:rPr>
                <w:rFonts w:ascii="Times New Roman" w:hAnsi="Times New Roman" w:cs="Times New Roman"/>
              </w:rPr>
              <w:t>-None</w:t>
            </w:r>
          </w:p>
        </w:tc>
      </w:tr>
      <w:tr w:rsidR="00067CCB"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D729FB">
            <w:pPr>
              <w:spacing w:after="140" w:line="360" w:lineRule="auto"/>
              <w:jc w:val="both"/>
              <w:rPr>
                <w:rFonts w:ascii="Times New Roman" w:hAnsi="Times New Roman" w:cs="Times New Roman"/>
              </w:rPr>
            </w:pPr>
          </w:p>
          <w:p w14:paraId="6CB35C1D"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8"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D729FB">
            <w:pPr>
              <w:spacing w:after="140" w:line="360" w:lineRule="auto"/>
              <w:jc w:val="both"/>
              <w:rPr>
                <w:rFonts w:ascii="Times New Roman" w:hAnsi="Times New Roman" w:cs="Times New Roman"/>
              </w:rPr>
            </w:pPr>
          </w:p>
          <w:p w14:paraId="59E96D2A" w14:textId="77777777" w:rsidR="00067CCB"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D729FB">
            <w:pPr>
              <w:spacing w:after="140" w:line="360" w:lineRule="auto"/>
              <w:jc w:val="both"/>
              <w:rPr>
                <w:rFonts w:ascii="Times New Roman" w:hAnsi="Times New Roman" w:cs="Times New Roman"/>
              </w:rPr>
            </w:pPr>
          </w:p>
          <w:p w14:paraId="320573D6" w14:textId="01BD9F83" w:rsidR="00067CCB" w:rsidRPr="000119A0" w:rsidRDefault="00067CCB" w:rsidP="00D729FB">
            <w:pPr>
              <w:spacing w:after="140" w:line="360" w:lineRule="auto"/>
              <w:jc w:val="both"/>
              <w:rPr>
                <w:rFonts w:ascii="Times New Roman" w:hAnsi="Times New Roman" w:cs="Times New Roman"/>
              </w:rPr>
            </w:pPr>
            <w:r>
              <w:rPr>
                <w:rFonts w:ascii="Times New Roman" w:hAnsi="Times New Roman" w:cs="Times New Roman"/>
              </w:rPr>
              <w:t xml:space="preserve">Proponents: </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D729FB">
            <w:pPr>
              <w:spacing w:after="140" w:line="360" w:lineRule="auto"/>
              <w:jc w:val="both"/>
              <w:rPr>
                <w:rFonts w:ascii="Times New Roman" w:hAnsi="Times New Roman" w:cs="Times New Roman"/>
              </w:rPr>
            </w:pPr>
          </w:p>
          <w:p w14:paraId="337EC7C3"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9"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D729FB">
            <w:pPr>
              <w:spacing w:after="140" w:line="360" w:lineRule="auto"/>
              <w:jc w:val="both"/>
              <w:rPr>
                <w:rFonts w:ascii="Times New Roman" w:hAnsi="Times New Roman" w:cs="Times New Roman"/>
              </w:rPr>
            </w:pPr>
          </w:p>
          <w:p w14:paraId="1F22EADC" w14:textId="57FF2E90"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lastRenderedPageBreak/>
              <w:t xml:space="preserve">- CRM &amp; </w:t>
            </w:r>
            <w:r w:rsidRPr="000119A0">
              <w:rPr>
                <w:rFonts w:ascii="Times New Roman" w:hAnsi="Times New Roman" w:cs="Times New Roman"/>
              </w:rPr>
              <w:lastRenderedPageBreak/>
              <w:t>Scheduling</w:t>
            </w:r>
          </w:p>
          <w:p w14:paraId="1274E695" w14:textId="22EB3AB1"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D729FB">
            <w:pPr>
              <w:spacing w:after="140"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lastRenderedPageBreak/>
              <w:t xml:space="preserve">- Only available in </w:t>
            </w:r>
            <w:r w:rsidRPr="000119A0">
              <w:rPr>
                <w:rFonts w:ascii="Times New Roman" w:hAnsi="Times New Roman" w:cs="Times New Roman"/>
              </w:rPr>
              <w:lastRenderedPageBreak/>
              <w:t>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lastRenderedPageBreak/>
              <w:t>-None</w:t>
            </w:r>
          </w:p>
        </w:tc>
      </w:tr>
      <w:tr w:rsidR="00067CC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D729FB">
            <w:pPr>
              <w:spacing w:after="140" w:line="360" w:lineRule="auto"/>
              <w:jc w:val="both"/>
              <w:rPr>
                <w:rFonts w:ascii="Times New Roman" w:hAnsi="Times New Roman" w:cs="Times New Roman"/>
              </w:rPr>
            </w:pPr>
          </w:p>
          <w:p w14:paraId="56F3673C" w14:textId="7777777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xml:space="preserve">URL: </w:t>
            </w:r>
            <w:hyperlink r:id="rId10" w:history="1">
              <w:r w:rsidRPr="000119A0">
                <w:rPr>
                  <w:rStyle w:val="Hyperlink"/>
                  <w:rFonts w:ascii="Times New Roman" w:hAnsi="Times New Roman" w:cs="Times New Roman"/>
                </w:rPr>
                <w:t>https://spellwizards.co.uk/</w:t>
              </w:r>
            </w:hyperlink>
          </w:p>
          <w:p w14:paraId="52CC561E" w14:textId="77777777" w:rsidR="00067CCB" w:rsidRPr="000119A0" w:rsidRDefault="00067CCB" w:rsidP="00D729FB">
            <w:pPr>
              <w:spacing w:after="140" w:line="360" w:lineRule="auto"/>
              <w:jc w:val="both"/>
              <w:rPr>
                <w:rFonts w:ascii="Times New Roman" w:hAnsi="Times New Roman" w:cs="Times New Roman"/>
              </w:rPr>
            </w:pPr>
          </w:p>
          <w:p w14:paraId="6F2D66E3" w14:textId="04109744"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D729FB">
            <w:pPr>
              <w:spacing w:after="140"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D729FB">
            <w:pPr>
              <w:spacing w:after="140"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D729FB">
      <w:pPr>
        <w:spacing w:after="140" w:line="360" w:lineRule="auto"/>
        <w:ind w:firstLine="720"/>
        <w:jc w:val="both"/>
        <w:rPr>
          <w:rFonts w:ascii="Times New Roman" w:hAnsi="Times New Roman" w:cs="Times New Roman"/>
          <w:shd w:val="clear" w:color="auto" w:fill="FFFFFF"/>
        </w:rPr>
      </w:pPr>
    </w:p>
    <w:p w14:paraId="5B912335" w14:textId="0ABD2E8E" w:rsidR="000119A0" w:rsidRDefault="000119A0" w:rsidP="00D729FB">
      <w:pPr>
        <w:spacing w:after="140"/>
        <w:rPr>
          <w:rFonts w:ascii="Times New Roman" w:hAnsi="Times New Roman" w:cs="Times New Roman"/>
          <w:shd w:val="clear" w:color="auto" w:fill="FFFFFF"/>
        </w:rPr>
      </w:pPr>
    </w:p>
    <w:sectPr w:rsidR="000119A0" w:rsidSect="00D729FB">
      <w:headerReference w:type="default" r:id="rId11"/>
      <w:pgSz w:w="12240" w:h="15840" w:code="1"/>
      <w:pgMar w:top="1440" w:right="1440" w:bottom="1440" w:left="216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2E646" w14:textId="77777777" w:rsidR="004F5DE6" w:rsidRDefault="004F5DE6" w:rsidP="00D729FB">
      <w:pPr>
        <w:spacing w:after="0" w:line="240" w:lineRule="auto"/>
      </w:pPr>
      <w:r>
        <w:separator/>
      </w:r>
    </w:p>
  </w:endnote>
  <w:endnote w:type="continuationSeparator" w:id="0">
    <w:p w14:paraId="44FD6F77" w14:textId="77777777" w:rsidR="004F5DE6" w:rsidRDefault="004F5DE6" w:rsidP="00D7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MS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22256" w14:textId="77777777" w:rsidR="004F5DE6" w:rsidRDefault="004F5DE6" w:rsidP="00D729FB">
      <w:pPr>
        <w:spacing w:after="0" w:line="240" w:lineRule="auto"/>
      </w:pPr>
      <w:r>
        <w:separator/>
      </w:r>
    </w:p>
  </w:footnote>
  <w:footnote w:type="continuationSeparator" w:id="0">
    <w:p w14:paraId="37F01A35" w14:textId="77777777" w:rsidR="004F5DE6" w:rsidRDefault="004F5DE6" w:rsidP="00D72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005812"/>
      <w:docPartObj>
        <w:docPartGallery w:val="Page Numbers (Top of Page)"/>
        <w:docPartUnique/>
      </w:docPartObj>
    </w:sdtPr>
    <w:sdtEndPr>
      <w:rPr>
        <w:noProof/>
      </w:rPr>
    </w:sdtEndPr>
    <w:sdtContent>
      <w:p w14:paraId="3CE5A4A1" w14:textId="2870DBEF" w:rsidR="00D729FB" w:rsidRDefault="00D729FB">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32C9E28C" w14:textId="77777777" w:rsidR="00D729FB" w:rsidRDefault="00D72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C8D"/>
    <w:rsid w:val="00007C10"/>
    <w:rsid w:val="000119A0"/>
    <w:rsid w:val="00067CCB"/>
    <w:rsid w:val="00091319"/>
    <w:rsid w:val="00125B5A"/>
    <w:rsid w:val="00131391"/>
    <w:rsid w:val="0013485D"/>
    <w:rsid w:val="0025466D"/>
    <w:rsid w:val="002861B0"/>
    <w:rsid w:val="00292C6A"/>
    <w:rsid w:val="00341BF7"/>
    <w:rsid w:val="00405554"/>
    <w:rsid w:val="0048484B"/>
    <w:rsid w:val="004F5DE6"/>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17941"/>
    <w:rsid w:val="00D2759F"/>
    <w:rsid w:val="00D36B93"/>
    <w:rsid w:val="00D729FB"/>
    <w:rsid w:val="00DB693F"/>
    <w:rsid w:val="00E40ADE"/>
    <w:rsid w:val="00F10E4A"/>
    <w:rsid w:val="00FC64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docId w15:val="{0BC4414E-C217-4C4B-A0D3-A7359714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customStyle="1" w:styleId="UnresolvedMention1">
    <w:name w:val="Unresolved Mention1"/>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 w:type="paragraph" w:styleId="Header">
    <w:name w:val="header"/>
    <w:basedOn w:val="Normal"/>
    <w:link w:val="HeaderChar"/>
    <w:uiPriority w:val="99"/>
    <w:unhideWhenUsed/>
    <w:rsid w:val="00D7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FB"/>
  </w:style>
  <w:style w:type="paragraph" w:styleId="Footer">
    <w:name w:val="footer"/>
    <w:basedOn w:val="Normal"/>
    <w:link w:val="FooterChar"/>
    <w:uiPriority w:val="99"/>
    <w:unhideWhenUsed/>
    <w:rsid w:val="00D7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olog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apps.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pellwizards.co.uk/" TargetMode="External"/><Relationship Id="rId4" Type="http://schemas.openxmlformats.org/officeDocument/2006/relationships/webSettings" Target="webSettings.xml"/><Relationship Id="rId9" Type="http://schemas.openxmlformats.org/officeDocument/2006/relationships/hyperlink" Target="https://www.ieducent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Jephunneh Mabini</cp:lastModifiedBy>
  <cp:revision>6</cp:revision>
  <dcterms:created xsi:type="dcterms:W3CDTF">2019-09-29T08:18:00Z</dcterms:created>
  <dcterms:modified xsi:type="dcterms:W3CDTF">2019-10-13T19:02:00Z</dcterms:modified>
</cp:coreProperties>
</file>