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only in the Python chat gateway and the simulator; the C implementation (Section 8) still uses the table. All results are from simulation.</w:t>
      </w: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Porting the deep agent to the C transport and testing it on the Section 8 scenarios, where the tabular agent only matched AIMD, and combining it with selective acknowledgments.</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2026-10-09T21:07:56.472Z</dcterms:created>
  <dcterms:modified xsi:type="dcterms:W3CDTF">2026-10-09T21:07:56.473Z</dcterms:modified>
</cp:coreProperties>
</file>

<file path=docProps/custom.xml><?xml version="1.0" encoding="utf-8"?>
<Properties xmlns="http://schemas.openxmlformats.org/officeDocument/2006/custom-properties" xmlns:vt="http://schemas.openxmlformats.org/officeDocument/2006/docPropsVTypes"/>
</file>