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so CUBIC is not used.</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sends more retransmissions than AIMD on the fast path (262 against 44 for 3,000 packets), which is the price of its aggressive growth into a bottleneck queue. Two limits remain: the agent was trained only for windows up to 32 and for short transfers, and all paths are emulated in the client, so none of this is a measurement of a real network.</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 It was the original strategy; the default is now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Selective Repeat.</w:t>
      </w:r>
      <w:r>
        <w:rPr>
          <w:rFonts w:ascii="Times New Roman" w:cs="Times New Roman" w:eastAsia="Times New Roman" w:hAnsi="Times New Roman"/>
          <w:sz w:val="24"/>
          <w:szCs w:val="24"/>
        </w:rPr>
        <w:t xml:space="preserve"> The receiver buffers out-of-order packets and the sender resends only the packets that are missing, each with its own timer. Here the receiver reports what it holds in a 64-bit bitmap inside every cumulative ACK.</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A neural agent trained in simulation did beat AIMD on all three paths in the C transport (by 15%, 27% and 24%), and selective acknowledgments cut retransmissions about tenfold without changing completion time significantly (Section 8.5).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Testing Selective Repeat on a real path where throughput, not the bottleneck rate, limits the transfer, and re-running the simulator studies with it as the default (RUDP_SR=1).</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Retraining the agent for larger windows (it was trained for a cap of 32) and for long transfers, and testing on a real high-bandwidth, high-delay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agent against the hand-over (so it learns when not to act), and a lower-loss-aware reward; the hybrid of Section 8.8 is a rule, not a learned policy.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Multi-flow fairness in the C transport and a less aggressive agent for long paths (Section 8.6 shows 74% share against AIMD on the 120 ms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in the C transport (it exists in the web chat gateway, Section 8.6).</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the provided netem_baselines.sh on a Linux machine to measure kernel TCP, plain UDP and RUDP on the same impaired path, and repeating the Smart-RUDP scenarios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for the base protocol, with averages and confidence intervals; this was done for the Smart-RUDP scenarios (Table 8b).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neural agent directly in the C transport and on real netem paths, since it has so far been trained only in a simulator, and testing selective acknowledgment on a path where throughput, not the bottleneck rate, limits the transfer.</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2026-10-10T14:53:10.074Z</dcterms:created>
  <dcterms:modified xsi:type="dcterms:W3CDTF">2026-10-10T14:53:10.075Z</dcterms:modified>
</cp:coreProperties>
</file>

<file path=docProps/custom.xml><?xml version="1.0" encoding="utf-8"?>
<Properties xmlns="http://schemas.openxmlformats.org/officeDocument/2006/custom-properties" xmlns:vt="http://schemas.openxmlformats.org/officeDocument/2006/docPropsVTypes"/>
</file>