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A neural agent trained in simulation did beat AIMD on all three paths in the C transport (by 15%, 27% and 24%), and selective acknowledgments cut retransmissions about tenfold without changing completion time significantly (Section 8.5).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selective acknowledgment the default and testing it on a real path where throughput, not the bottleneck rate, limits the transfer (the option exists in Section 8.5).</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Multi-flow fairness in the C transport and a less aggressive agent for long paths (Section 8.6 shows 74% share against AIMD on the 120 ms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in the C transport (it exists in the web chat gateway, Section 8.6).</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the provided netem_baselines.sh on a Linux machine to measure kernel TCP, plain UDP and RUDP on the same impaired path, and repeating the Smart-RUDP scenarios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for the base protocol, with averages and confidence intervals; this was done for the Smart-RUDP scenarios (Table 8b).</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the neural agent directly in the C transport and on real netem paths, since it has so far been trained only in a simulator, and testing selective acknowledgment on a path where throughput, not the bottleneck rate, limits the transfer.</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2026-10-10T11:25:45.383Z</dcterms:created>
  <dcterms:modified xsi:type="dcterms:W3CDTF">2026-10-10T11:25:45.383Z</dcterms:modified>
</cp:coreProperties>
</file>

<file path=docProps/custom.xml><?xml version="1.0" encoding="utf-8"?>
<Properties xmlns="http://schemas.openxmlformats.org/officeDocument/2006/custom-properties" xmlns:vt="http://schemas.openxmlformats.org/officeDocument/2006/docPropsVTypes"/>
</file>