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5A36EA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5A36EA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8658702" w14:textId="07EF7470" w:rsidR="004A1EF8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511083" w:history="1">
            <w:r w:rsidR="004A1EF8" w:rsidRPr="00105335">
              <w:rPr>
                <w:rStyle w:val="a9"/>
                <w:noProof/>
              </w:rPr>
              <w:t xml:space="preserve">1 </w:t>
            </w:r>
            <w:r w:rsidR="004A1EF8" w:rsidRPr="00105335">
              <w:rPr>
                <w:rStyle w:val="a9"/>
                <w:noProof/>
              </w:rPr>
              <w:t>介绍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9F91219" w14:textId="7B53340E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4" w:history="1">
            <w:r w:rsidR="004A1EF8" w:rsidRPr="00105335">
              <w:rPr>
                <w:rStyle w:val="a9"/>
                <w:noProof/>
              </w:rPr>
              <w:t>1.1 BioJN</w:t>
            </w:r>
            <w:r w:rsidR="004A1EF8" w:rsidRPr="00105335">
              <w:rPr>
                <w:rStyle w:val="a9"/>
                <w:noProof/>
              </w:rPr>
              <w:t>版本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3380FAB" w14:textId="5C9F6F72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5" w:history="1">
            <w:r w:rsidR="004A1EF8" w:rsidRPr="00105335">
              <w:rPr>
                <w:rStyle w:val="a9"/>
                <w:noProof/>
              </w:rPr>
              <w:t>1.2 BioJN</w:t>
            </w:r>
            <w:r w:rsidR="004A1EF8" w:rsidRPr="00105335">
              <w:rPr>
                <w:rStyle w:val="a9"/>
                <w:noProof/>
              </w:rPr>
              <w:t>特性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8BDCAA5" w14:textId="2FEB3333" w:rsidR="004A1EF8" w:rsidRDefault="005A36E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86" w:history="1">
            <w:r w:rsidR="004A1EF8" w:rsidRPr="00105335">
              <w:rPr>
                <w:rStyle w:val="a9"/>
                <w:noProof/>
              </w:rPr>
              <w:t xml:space="preserve">2 </w:t>
            </w:r>
            <w:r w:rsidR="004A1EF8" w:rsidRPr="00105335">
              <w:rPr>
                <w:rStyle w:val="a9"/>
                <w:noProof/>
              </w:rPr>
              <w:t>安装与连接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413E645" w14:textId="1CA29A55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7" w:history="1">
            <w:r w:rsidR="004A1EF8" w:rsidRPr="00105335">
              <w:rPr>
                <w:rStyle w:val="a9"/>
                <w:noProof/>
              </w:rPr>
              <w:t xml:space="preserve">2.1 </w:t>
            </w:r>
            <w:r w:rsidR="004A1EF8" w:rsidRPr="00105335">
              <w:rPr>
                <w:rStyle w:val="a9"/>
                <w:noProof/>
              </w:rPr>
              <w:t>与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 w:rsidRPr="00105335">
              <w:rPr>
                <w:rStyle w:val="a9"/>
                <w:noProof/>
              </w:rPr>
              <w:t>配合使用的计算机准则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A75C619" w14:textId="7F141398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8" w:history="1">
            <w:r w:rsidR="004A1EF8" w:rsidRPr="00105335">
              <w:rPr>
                <w:rStyle w:val="a9"/>
                <w:noProof/>
              </w:rPr>
              <w:t xml:space="preserve">2.2 </w:t>
            </w:r>
            <w:r w:rsidR="004A1EF8" w:rsidRPr="00105335">
              <w:rPr>
                <w:rStyle w:val="a9"/>
                <w:noProof/>
              </w:rPr>
              <w:t>连接设备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433D8F8A" w14:textId="3737A4B5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9" w:history="1">
            <w:r w:rsidR="004A1EF8" w:rsidRPr="00105335">
              <w:rPr>
                <w:rStyle w:val="a9"/>
                <w:noProof/>
              </w:rPr>
              <w:t>2.3</w:t>
            </w:r>
            <w:r w:rsidR="004A1EF8" w:rsidRPr="00105335">
              <w:rPr>
                <w:rStyle w:val="a9"/>
                <w:noProof/>
              </w:rPr>
              <w:t>安装后配置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BB86E89" w14:textId="2C4817AE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0" w:history="1">
            <w:r w:rsidR="004A1EF8" w:rsidRPr="00105335">
              <w:rPr>
                <w:rStyle w:val="a9"/>
                <w:noProof/>
              </w:rPr>
              <w:t xml:space="preserve">2.4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DDE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D754998" w14:textId="17001A45" w:rsidR="004A1EF8" w:rsidRDefault="005A36EA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1" w:history="1">
            <w:r w:rsidR="004A1EF8" w:rsidRPr="00105335">
              <w:rPr>
                <w:rStyle w:val="a9"/>
                <w:noProof/>
              </w:rPr>
              <w:t>2.4.1 DDE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_Toc35511091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7954586" w14:textId="3052FDC6" w:rsidR="004A1EF8" w:rsidRDefault="005A36EA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2" w:history="1">
            <w:r w:rsidR="004A1EF8" w:rsidRPr="00105335">
              <w:rPr>
                <w:rStyle w:val="a9"/>
                <w:noProof/>
              </w:rPr>
              <w:t xml:space="preserve">2.4.2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_Toc35511092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49928CE" w14:textId="31AD550B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3" w:history="1">
            <w:r w:rsidR="004A1EF8" w:rsidRPr="00105335">
              <w:rPr>
                <w:rStyle w:val="a9"/>
                <w:noProof/>
              </w:rPr>
              <w:t xml:space="preserve">2.5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OPC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2BF3BE0" w14:textId="076E66DA" w:rsidR="004A1EF8" w:rsidRDefault="005A36EA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4" w:history="1">
            <w:r w:rsidR="004A1EF8" w:rsidRPr="00105335">
              <w:rPr>
                <w:rStyle w:val="a9"/>
                <w:noProof/>
              </w:rPr>
              <w:t>2.5.1 OPC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D6906CC" w14:textId="6049020A" w:rsidR="004A1EF8" w:rsidRDefault="005A36EA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5" w:history="1">
            <w:r w:rsidR="004A1EF8" w:rsidRPr="00105335">
              <w:rPr>
                <w:rStyle w:val="a9"/>
                <w:noProof/>
              </w:rPr>
              <w:t xml:space="preserve">2.5.2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3694DB" w14:textId="2EB1F982" w:rsidR="004A1EF8" w:rsidRDefault="005A36E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96" w:history="1">
            <w:r w:rsidR="004A1EF8" w:rsidRPr="00105335">
              <w:rPr>
                <w:rStyle w:val="a9"/>
                <w:noProof/>
              </w:rPr>
              <w:t xml:space="preserve">3 </w:t>
            </w:r>
            <w:r w:rsidR="004A1EF8" w:rsidRPr="00105335">
              <w:rPr>
                <w:rStyle w:val="a9"/>
                <w:noProof/>
              </w:rPr>
              <w:t>打开并进行初始设置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5F959BF" w14:textId="23E4C70C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7" w:history="1">
            <w:r w:rsidR="004A1EF8" w:rsidRPr="00105335">
              <w:rPr>
                <w:rStyle w:val="a9"/>
                <w:noProof/>
              </w:rPr>
              <w:t xml:space="preserve">3.1 </w:t>
            </w:r>
            <w:r w:rsidR="004A1EF8" w:rsidRPr="00105335">
              <w:rPr>
                <w:rStyle w:val="a9"/>
                <w:noProof/>
              </w:rPr>
              <w:t>打开并登录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9F4B31B" w14:textId="2E34A16D" w:rsidR="004A1EF8" w:rsidRDefault="005A36EA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8" w:history="1">
            <w:r w:rsidR="004A1EF8" w:rsidRPr="00105335">
              <w:rPr>
                <w:rStyle w:val="a9"/>
                <w:noProof/>
              </w:rPr>
              <w:t xml:space="preserve">3.2 </w:t>
            </w:r>
            <w:r w:rsidR="004A1EF8" w:rsidRPr="00105335">
              <w:rPr>
                <w:rStyle w:val="a9"/>
                <w:noProof/>
              </w:rPr>
              <w:t>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B87C78F" w14:textId="1AF35602" w:rsidR="004A1EF8" w:rsidRDefault="005A36EA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9" w:history="1">
            <w:r w:rsidR="004A1EF8" w:rsidRPr="00105335">
              <w:rPr>
                <w:rStyle w:val="a9"/>
                <w:noProof/>
              </w:rPr>
              <w:t xml:space="preserve">3.2.1 </w:t>
            </w:r>
            <w:r w:rsidR="004A1EF8" w:rsidRPr="00105335">
              <w:rPr>
                <w:rStyle w:val="a9"/>
                <w:noProof/>
              </w:rPr>
              <w:t>字段设置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02FF8DFF" w14:textId="5DFFEAF8" w:rsidR="004A1EF8" w:rsidRDefault="005A36EA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100" w:history="1">
            <w:r w:rsidR="004A1EF8" w:rsidRPr="00105335">
              <w:rPr>
                <w:rStyle w:val="a9"/>
                <w:noProof/>
              </w:rPr>
              <w:t xml:space="preserve">3.2.2 </w:t>
            </w:r>
            <w:r w:rsidR="004A1EF8" w:rsidRPr="00105335">
              <w:rPr>
                <w:rStyle w:val="a9"/>
                <w:noProof/>
              </w:rPr>
              <w:t>参数设置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_Toc35511100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C9105C" w14:textId="7C0935E5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5110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5110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5110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5110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5110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5110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5110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5110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5110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5110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5110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5110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5110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5110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5110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5D53E989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51109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511099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BBBC16A" w:rsidR="006D7B65" w:rsidRDefault="00AA46F2" w:rsidP="00DD17DC">
      <w:pPr>
        <w:ind w:firstLine="440"/>
      </w:pPr>
      <w:r>
        <w:rPr>
          <w:noProof/>
        </w:rPr>
        <w:lastRenderedPageBreak/>
        <w:drawing>
          <wp:inline distT="0" distB="0" distL="0" distR="0" wp14:anchorId="1CF7FEAA" wp14:editId="2537823A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55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577D6374" w:rsidR="00D043FA" w:rsidRDefault="00AA46F2" w:rsidP="00DD17DC">
      <w:pPr>
        <w:ind w:firstLine="440"/>
      </w:pPr>
      <w:r>
        <w:rPr>
          <w:noProof/>
        </w:rPr>
        <w:drawing>
          <wp:inline distT="0" distB="0" distL="0" distR="0" wp14:anchorId="005D4830" wp14:editId="5B94A70D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A478FB">
      <w:pPr>
        <w:ind w:firstLine="440"/>
      </w:pPr>
      <w:r>
        <w:rPr>
          <w:noProof/>
        </w:rPr>
        <w:lastRenderedPageBreak/>
        <w:drawing>
          <wp:inline distT="0" distB="0" distL="0" distR="0" wp14:anchorId="0E45D961" wp14:editId="7EA868EB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3" cy="3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2" w:name="_Toc3551110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28EE8C23" w:rsidR="00DD17DC" w:rsidRDefault="00F70637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33980BEF" wp14:editId="133B9669">
            <wp:simplePos x="0" y="0"/>
            <wp:positionH relativeFrom="margin">
              <wp:align>center</wp:align>
            </wp:positionH>
            <wp:positionV relativeFrom="page">
              <wp:posOffset>5434330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  <w:r w:rsidR="00E80B32">
        <w:rPr>
          <w:rFonts w:hint="eastAsia"/>
        </w:rPr>
        <w:t>呵呵</w:t>
      </w:r>
      <w:bookmarkStart w:id="23" w:name="_GoBack"/>
      <w:bookmarkEnd w:id="23"/>
    </w:p>
    <w:p w14:paraId="2F7FA7CF" w14:textId="77777777" w:rsidR="00F70637" w:rsidRDefault="00F70637" w:rsidP="00F7063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AFF7FA1" w14:textId="3196E328" w:rsidR="00F70637" w:rsidRPr="00F70637" w:rsidRDefault="004631BD" w:rsidP="004631BD">
      <w:pPr>
        <w:ind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511B0443">
            <wp:simplePos x="0" y="0"/>
            <wp:positionH relativeFrom="margin">
              <wp:align>center</wp:align>
            </wp:positionH>
            <wp:positionV relativeFrom="paragraph">
              <wp:posOffset>456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E1C4" w14:textId="77777777" w:rsidR="005A36EA" w:rsidRDefault="005A36EA" w:rsidP="00F82848">
      <w:pPr>
        <w:ind w:firstLine="440"/>
      </w:pPr>
      <w:r>
        <w:separator/>
      </w:r>
    </w:p>
  </w:endnote>
  <w:endnote w:type="continuationSeparator" w:id="0">
    <w:p w14:paraId="0A0C9D94" w14:textId="77777777" w:rsidR="005A36EA" w:rsidRDefault="005A36EA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054ED5A5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C64" w:rsidRPr="003F5C64">
          <w:rPr>
            <w:noProof/>
            <w:lang w:val="zh-CN"/>
          </w:rPr>
          <w:t>11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98DDF" w14:textId="77777777" w:rsidR="005A36EA" w:rsidRDefault="005A36EA" w:rsidP="00F82848">
      <w:pPr>
        <w:ind w:firstLine="440"/>
      </w:pPr>
      <w:r>
        <w:separator/>
      </w:r>
    </w:p>
  </w:footnote>
  <w:footnote w:type="continuationSeparator" w:id="0">
    <w:p w14:paraId="7A964C93" w14:textId="77777777" w:rsidR="005A36EA" w:rsidRDefault="005A36EA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32AC5"/>
    <w:rsid w:val="00360C78"/>
    <w:rsid w:val="003F5C64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36EA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76B35"/>
    <w:rsid w:val="00B94138"/>
    <w:rsid w:val="00BE70E2"/>
    <w:rsid w:val="00C02935"/>
    <w:rsid w:val="00C41EF3"/>
    <w:rsid w:val="00C840C7"/>
    <w:rsid w:val="00CA3A8F"/>
    <w:rsid w:val="00CA5FF2"/>
    <w:rsid w:val="00CF5725"/>
    <w:rsid w:val="00D043FA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71644"/>
    <w:rsid w:val="00E80B32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DFA6E-A0B1-4FD6-B2C3-2E42B0C3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31</cp:revision>
  <dcterms:created xsi:type="dcterms:W3CDTF">2020-03-17T05:09:00Z</dcterms:created>
  <dcterms:modified xsi:type="dcterms:W3CDTF">2020-03-20T06:57:00Z</dcterms:modified>
</cp:coreProperties>
</file>