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80" w:line="360" w:lineRule="auto"/>
        <w:jc w:val="center"/>
      </w:pPr>
      <w:r>
        <w:rPr>
          <w:rFonts w:ascii="Times New Roman" w:cs="Times New Roman" w:eastAsia="Times New Roman" w:hAnsi="Times New Roman"/>
          <w:b/>
          <w:bCs/>
          <w:sz w:val="32"/>
          <w:szCs w:val="32"/>
        </w:rPr>
        <w:t xml:space="preserve">S</w:t>
      </w:r>
      <w:r>
        <w:rPr>
          <w:rFonts w:ascii="Times New Roman" w:cs="Times New Roman" w:eastAsia="Times New Roman" w:hAnsi="Times New Roman"/>
          <w:b/>
          <w:bCs/>
          <w:sz w:val="32"/>
          <w:szCs w:val="32"/>
        </w:rPr>
        <w:t xml:space="preserve">c</w:t>
      </w:r>
      <w:r>
        <w:rPr>
          <w:rFonts w:ascii="Times New Roman" w:cs="Times New Roman" w:eastAsia="Times New Roman" w:hAnsi="Times New Roman"/>
          <w:b/>
          <w:bCs/>
          <w:sz w:val="32"/>
          <w:szCs w:val="32"/>
        </w:rPr>
        <w:t xml:space="preserve">i</w:t>
      </w:r>
      <w:r>
        <w:rPr>
          <w:rFonts w:ascii="Times New Roman" w:cs="Times New Roman" w:eastAsia="Times New Roman" w:hAnsi="Times New Roman"/>
          <w:b/>
          <w:bCs/>
          <w:sz w:val="32"/>
          <w:szCs w:val="32"/>
        </w:rPr>
        <w:t xml:space="preserve">-</w:t>
      </w:r>
      <w:r>
        <w:rPr>
          <w:rFonts w:ascii="Times New Roman" w:cs="Times New Roman" w:eastAsia="Times New Roman" w:hAnsi="Times New Roman"/>
          <w:b/>
          <w:bCs/>
          <w:sz w:val="32"/>
          <w:szCs w:val="32"/>
        </w:rPr>
        <w:t xml:space="preserve">b</w:t>
      </w:r>
      <w:r>
        <w:rPr>
          <w:rFonts w:ascii="Times New Roman" w:cs="Times New Roman" w:eastAsia="Times New Roman" w:hAnsi="Times New Roman"/>
          <w:b/>
          <w:bCs/>
          <w:sz w:val="32"/>
          <w:szCs w:val="32"/>
        </w:rPr>
        <w:t xml:space="preserve">r</w:t>
      </w:r>
      <w:r>
        <w:rPr>
          <w:rFonts w:ascii="Times New Roman" w:cs="Times New Roman" w:eastAsia="Times New Roman" w:hAnsi="Times New Roman"/>
          <w:b/>
          <w:bCs/>
          <w:sz w:val="32"/>
          <w:szCs w:val="32"/>
        </w:rPr>
        <w:t xml:space="preserve">i</w:t>
      </w:r>
      <w:r>
        <w:rPr>
          <w:rFonts w:ascii="Times New Roman" w:cs="Times New Roman" w:eastAsia="Times New Roman" w:hAnsi="Times New Roman"/>
          <w:b/>
          <w:bCs/>
          <w:sz w:val="32"/>
          <w:szCs w:val="32"/>
        </w:rPr>
        <w:t xml:space="preserve">d</w:t>
      </w:r>
      <w:r>
        <w:rPr>
          <w:rFonts w:ascii="Times New Roman" w:cs="Times New Roman" w:eastAsia="Times New Roman" w:hAnsi="Times New Roman"/>
          <w:b/>
          <w:bCs/>
          <w:sz w:val="32"/>
          <w:szCs w:val="32"/>
        </w:rPr>
        <w:t xml:space="preserve">g</w:t>
      </w:r>
      <w:r>
        <w:rPr>
          <w:rFonts w:ascii="Times New Roman" w:cs="Times New Roman" w:eastAsia="Times New Roman" w:hAnsi="Times New Roman"/>
          <w:b/>
          <w:bCs/>
          <w:sz w:val="32"/>
          <w:szCs w:val="32"/>
        </w:rPr>
        <w:t xml:space="preserve">e</w:t>
      </w:r>
      <w:r>
        <w:rPr>
          <w:rFonts w:ascii="SimHei" w:cs="SimHei" w:eastAsia="SimHei" w:hAnsi="SimHei"/>
          <w:b/>
          <w:bCs/>
          <w:sz w:val="32"/>
          <w:szCs w:val="32"/>
        </w:rPr>
        <w:t xml:space="preserve">赛乔：链接科学家与技术经理人的</w:t>
      </w:r>
      <w:r>
        <w:rPr>
          <w:rFonts w:ascii="Times New Roman" w:cs="Times New Roman" w:eastAsia="Times New Roman" w:hAnsi="Times New Roman"/>
          <w:b/>
          <w:bCs/>
          <w:sz w:val="32"/>
          <w:szCs w:val="32"/>
        </w:rPr>
        <w:t xml:space="preserve">A</w:t>
      </w:r>
      <w:r>
        <w:rPr>
          <w:rFonts w:ascii="Times New Roman" w:cs="Times New Roman" w:eastAsia="Times New Roman" w:hAnsi="Times New Roman"/>
          <w:b/>
          <w:bCs/>
          <w:sz w:val="32"/>
          <w:szCs w:val="32"/>
        </w:rPr>
        <w:t xml:space="preserve">I</w:t>
      </w:r>
      <w:r>
        <w:rPr>
          <w:rFonts w:ascii="SimHei" w:cs="SimHei" w:eastAsia="SimHei" w:hAnsi="SimHei"/>
          <w:b/>
          <w:bCs/>
          <w:sz w:val="32"/>
          <w:szCs w:val="32"/>
        </w:rPr>
        <w:t xml:space="preserve">智能体科技转化评估研究报告</w:t>
      </w:r>
    </w:p>
    <w:p>
      <w:pPr>
        <w:spacing w:after="80" w:before="80" w:line="360" w:lineRule="auto"/>
        <w:jc w:val="both"/>
      </w:pPr>
      <w:r>
        <w:rPr>
          <w:rFonts w:ascii="SimHei" w:cs="SimHei" w:eastAsia="SimHei" w:hAnsi="SimHei"/>
          <w:b/>
          <w:bCs/>
          <w:sz w:val="24"/>
          <w:szCs w:val="24"/>
        </w:rPr>
        <w:t xml:space="preserve">报告日期：</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0</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6</w:t>
      </w:r>
      <w:r>
        <w:rPr>
          <w:rFonts w:ascii="SimHei" w:cs="SimHei" w:eastAsia="SimHei" w:hAnsi="SimHei"/>
          <w:b/>
          <w:bCs/>
          <w:sz w:val="24"/>
          <w:szCs w:val="24"/>
        </w:rPr>
        <w:t xml:space="preserve">年</w:t>
      </w:r>
      <w:r>
        <w:rPr>
          <w:rFonts w:ascii="Times New Roman" w:cs="Times New Roman" w:eastAsia="Times New Roman" w:hAnsi="Times New Roman"/>
          <w:b/>
          <w:bCs/>
          <w:sz w:val="24"/>
          <w:szCs w:val="24"/>
        </w:rPr>
        <w:t xml:space="preserve">5</w:t>
      </w:r>
      <w:r>
        <w:rPr>
          <w:rFonts w:ascii="SimHei" w:cs="SimHei" w:eastAsia="SimHei" w:hAnsi="SimHei"/>
          <w:b/>
          <w:bCs/>
          <w:sz w:val="24"/>
          <w:szCs w:val="24"/>
        </w:rPr>
        <w:t xml:space="preserve">月</w:t>
      </w:r>
      <w:r>
        <w:rPr>
          <w:rFonts w:ascii="Times New Roman" w:cs="Times New Roman" w:eastAsia="Times New Roman" w:hAnsi="Times New Roman"/>
          <w:b/>
          <w:bCs/>
          <w:sz w:val="24"/>
          <w:szCs w:val="24"/>
        </w:rPr>
        <w:t xml:space="preserve">7</w:t>
      </w:r>
      <w:r>
        <w:rPr>
          <w:rFonts w:ascii="SimHei" w:cs="SimHei" w:eastAsia="SimHei" w:hAnsi="SimHei"/>
          <w:b/>
          <w:bCs/>
          <w:sz w:val="24"/>
          <w:szCs w:val="24"/>
        </w:rPr>
        <w:t xml:space="preserve">日</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第一章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执行摘要</w:t>
      </w:r>
    </w:p>
    <w:p>
      <w:pPr>
        <w:pStyle w:val="Heading2"/>
        <w:spacing w:after="80" w:before="80" w:line="360" w:lineRule="auto"/>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项目背景与定位</w:t>
      </w:r>
    </w:p>
    <w:p>
      <w:pPr>
        <w:spacing w:after="80" w:before="80" w:line="360" w:lineRule="auto"/>
        <w:ind w:firstLine="480"/>
        <w:jc w:val="both"/>
      </w:pPr>
      <w:r>
        <w:rPr>
          <w:rFonts w:ascii="SimSun" w:cs="SimSun" w:eastAsia="SimSun" w:hAnsi="SimSun"/>
          <w:sz w:val="24"/>
          <w:szCs w:val="24"/>
        </w:rPr>
        <w:t xml:space="preserve">背景：中国科技成果转化率长期低于</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，大量科研投入沉淀在实验室阶段无法形成商业价值。国家自然科学基金年度拨款已突破</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亿元</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但从论文到产品的转化链条存在结构性断裂。冲突：科学家掌握前沿技术但缺乏商业化经验与市场对接渠道，技术经理人在传统模式下依赖个人人脉进行手工匹配，效率极低且覆盖半径有限。信息不对称导致优质项目估值困难，投资人与产业方难以识别真正具有商业潜力的标的，形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科学家找不到钱、投资人找不到好项目</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的双重困境。答案：</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赛乔构建</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技术经理人智能体，通过机器学习算法实现科学家能力图谱与市场需求端的智能匹配，降低信息摩擦成本，压缩科技成果转化的尽调周期与交易摩擦。</w:t>
      </w:r>
    </w:p>
    <w:p>
      <w:pPr>
        <w:spacing w:after="80" w:before="80" w:line="360" w:lineRule="auto"/>
        <w:ind w:firstLine="480"/>
        <w:jc w:val="both"/>
      </w:pPr>
      <w:r>
        <w:rPr>
          <w:rFonts w:ascii="SimSun" w:cs="SimSun" w:eastAsia="SimSun" w:hAnsi="SimSun"/>
          <w:sz w:val="24"/>
          <w:szCs w:val="24"/>
        </w:rPr>
        <w:t xml:space="preserve">本报告分析估算，基于试运营期间</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余个孵化项目数据，平台撮合效率较传统模式提升约</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倍。项目已覆盖全球</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余个国家，链接超</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位科技企业创始人，形成初步的国际市场渗透。怀柔科学城背书的稀缺科学家资源构成第一层护城河，政府专项经费与基石投资方意向提供资本保障。但技术替代风险、政策依赖性、跨区域复制成本等结构性挑战同样不可忽视，需在后续验证中持续观察。</w:t>
      </w:r>
    </w:p>
    <w:p>
      <w:pPr>
        <w:pStyle w:val="Heading2"/>
        <w:spacing w:after="80" w:before="80" w:line="360" w:lineRule="auto"/>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核心关键指标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指标</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数据</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来源</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服务的科学家数量</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超</w:t>
            </w: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位</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项目方提供，本报告分析估算，非实际核实数据</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平台孵化初创项目数</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余个</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项目方提供，试运营期间累计，本报告分析估算</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链接的科技企业创始人</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超</w:t>
            </w:r>
            <w:r>
              <w:rPr>
                <w:rFonts w:ascii="Times New Roman" w:cs="Times New Roman" w:eastAsia="Times New Roman" w:hAnsi="Times New Roman"/>
                <w:b w:val="false"/>
                <w:bCs w:val="false"/>
                <w:sz w:val="24"/>
                <w:szCs w:val="24"/>
              </w:rPr>
              <w:t xml:space="preserve">6</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位</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项目方提供，本报告分析估算</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业务覆盖国家数</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3</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余个</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项目方提供，本报告分析估算</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怀柔科学城科学家年度激励预算规模</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未公开</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来源：</w:t>
            </w:r>
            <w:r>
              <w:rPr>
                <w:rFonts w:ascii="Times New Roman" w:cs="Times New Roman" w:eastAsia="Times New Roman" w:hAnsi="Times New Roman"/>
                <w:b w:val="false"/>
                <w:bCs w:val="false"/>
                <w:sz w:val="24"/>
                <w:szCs w:val="24"/>
              </w:rPr>
              <w:t xml:space="preserve">A</w:t>
            </w:r>
            <w:r>
              <w:rPr>
                <w:rFonts w:ascii="Times New Roman" w:cs="Times New Roman" w:eastAsia="Times New Roman" w:hAnsi="Times New Roman"/>
                <w:b w:val="false"/>
                <w:bCs w:val="false"/>
                <w:sz w:val="24"/>
                <w:szCs w:val="24"/>
              </w:rPr>
              <w:t xml:space="preserve">I</w:t>
            </w:r>
            <w:r>
              <w:rPr>
                <w:rFonts w:ascii="SimSun" w:cs="SimSun" w:eastAsia="SimSun" w:hAnsi="SimSun"/>
                <w:b w:val="false"/>
                <w:bCs w:val="false"/>
                <w:sz w:val="24"/>
                <w:szCs w:val="24"/>
              </w:rPr>
              <w:t xml:space="preserve">训练数据，建议人工核实</w:t>
            </w:r>
          </w:p>
        </w:tc>
      </w:tr>
    </w:tbl>
    <w:p>
      <w:pPr>
        <w:spacing w:after="120" w:before="120"/>
      </w:pPr>
    </w:p>
    <w:p>
      <w:pPr>
        <w:pStyle w:val="Heading1"/>
        <w:spacing w:after="80" w:before="80" w:line="360" w:lineRule="auto"/>
        <w:jc w:val="both"/>
      </w:pPr>
      <w:r>
        <w:rPr>
          <w:rFonts w:ascii="SimHei" w:cs="SimHei" w:eastAsia="SimHei" w:hAnsi="SimHei"/>
          <w:b/>
          <w:bCs/>
          <w:sz w:val="30"/>
          <w:szCs w:val="30"/>
        </w:rPr>
        <w:t xml:space="preserve">第二章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公司与团队</w:t>
      </w:r>
    </w:p>
    <w:p>
      <w:pPr>
        <w:pStyle w:val="Heading2"/>
        <w:spacing w:after="80" w:before="80" w:line="360" w:lineRule="auto"/>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基本信息</w:t>
      </w:r>
    </w:p>
    <w:p>
      <w:pPr>
        <w:spacing w:after="80" w:before="80" w:line="360" w:lineRule="auto"/>
        <w:ind w:firstLine="480"/>
        <w:jc w:val="both"/>
      </w:pPr>
      <w:r>
        <w:rPr>
          <w:rFonts w:ascii="SimSun" w:cs="SimSun" w:eastAsia="SimSun" w:hAnsi="SimSun"/>
          <w:sz w:val="24"/>
          <w:szCs w:val="24"/>
        </w:rPr>
        <w:t xml:space="preserve">根据项目方提供信息，</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项目运营主体已落地怀柔科学城核心区域，享受国家综合性科学中心的政策支持。怀柔科学城作为北京建设全国科技创新中心的三大主平台之一，定位于综合性国家科学中心建设，已累计吸引国家空间科学中心、物质科学中心等多个大科学装置落地</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p>
    <w:p>
      <w:pPr>
        <w:spacing w:after="80" w:before="80" w:line="360" w:lineRule="auto"/>
        <w:ind w:firstLine="480"/>
        <w:jc w:val="both"/>
      </w:pPr>
      <w:r>
        <w:rPr>
          <w:rFonts w:ascii="SimSun" w:cs="SimSun" w:eastAsia="SimSun" w:hAnsi="SimSun"/>
          <w:sz w:val="24"/>
          <w:szCs w:val="24"/>
        </w:rPr>
        <w:t xml:space="preserve">项目方披露信息显示，该主体运营怀柔科学城科学家激励系统，这一系统由政府财政专项经费支持，用于奖励科技成果转化贡献突出的科研人员。项目获得</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C</w:t>
      </w:r>
      <w:r>
        <w:rPr>
          <w:rFonts w:ascii="SimSun" w:cs="SimSun" w:eastAsia="SimSun" w:hAnsi="SimSun"/>
          <w:sz w:val="24"/>
          <w:szCs w:val="24"/>
        </w:rPr>
        <w:t xml:space="preserve">（政府资本）先期投入，形成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政府背书</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市场运营</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的双轨模式。中科院相关院所资源的注入，为项目提供了科学家资源导入的制度性通道。</w:t>
      </w:r>
    </w:p>
    <w:p>
      <w:pPr>
        <w:spacing w:after="80" w:before="80" w:line="360" w:lineRule="auto"/>
        <w:ind w:firstLine="480"/>
        <w:jc w:val="both"/>
      </w:pPr>
      <w:r>
        <w:rPr>
          <w:rFonts w:ascii="SimSun" w:cs="SimSun" w:eastAsia="SimSun" w:hAnsi="SimSun"/>
          <w:sz w:val="24"/>
          <w:szCs w:val="24"/>
        </w:rPr>
        <w:t xml:space="preserve">注册资本、股权结构、实际控制人等工商信息在本报告撰写时点未获取到公开可核实数据，建议投资方通过企查查、天眼查等渠道进行穿透式尽调，获取完整的法律主体信息与股权结构图谱。上述信息缺失构成尽职调查的盲区，需在投资决策前予以填补。</w:t>
      </w:r>
    </w:p>
    <w:p>
      <w:pPr>
        <w:pStyle w:val="Heading2"/>
        <w:spacing w:after="80" w:before="80" w:line="360" w:lineRule="auto"/>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核心团队</w:t>
      </w:r>
    </w:p>
    <w:p>
      <w:pPr>
        <w:spacing w:after="80" w:before="80" w:line="360" w:lineRule="auto"/>
        <w:ind w:firstLine="480"/>
        <w:jc w:val="both"/>
      </w:pPr>
      <w:r>
        <w:rPr>
          <w:rFonts w:ascii="SimSun" w:cs="SimSun" w:eastAsia="SimSun" w:hAnsi="SimSun"/>
          <w:sz w:val="24"/>
          <w:szCs w:val="24"/>
        </w:rPr>
        <w:t xml:space="preserve">项目方强调团队构成覆盖学术、产业、资源三个维度。学术层面，团队核心成员具备中科院相关院所背景，对科研体系运作逻辑与科学家群体行为模式有深刻理解。产业层面，核心团队在技术转移转化领域具有实操经验，对科技成果商业化的痛点与路径有直接认知。资源层面，创始团队在一带一路相关项目中积累了跨境合作经验，为国际市场拓展提供了人脉基础。</w:t>
      </w:r>
    </w:p>
    <w:p>
      <w:pPr>
        <w:spacing w:after="80" w:before="80" w:line="360" w:lineRule="auto"/>
        <w:ind w:firstLine="48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（首席技术官）在一带一路政策对接方面具有项目实操经验，这一背景对项目</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技术出海</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定位具有直接支撑作用。但项目方未披露</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具体姓名、技术背景、主导项目等信息，本报告无法对核心技术团队的专业能力进行独立评估。建议投资方要求项目方提供核心团队成员的详细履历，包括但不限于：学历背景、主要职业经历、主导项目案例、股权激励安排等。</w:t>
      </w:r>
    </w:p>
    <w:p>
      <w:pPr>
        <w:spacing w:after="80" w:before="80" w:line="360" w:lineRule="auto"/>
        <w:ind w:firstLine="480"/>
        <w:jc w:val="both"/>
      </w:pPr>
      <w:r>
        <w:rPr>
          <w:rFonts w:ascii="SimSun" w:cs="SimSun" w:eastAsia="SimSun" w:hAnsi="SimSun"/>
          <w:sz w:val="24"/>
          <w:szCs w:val="24"/>
        </w:rPr>
        <w:t xml:space="preserve">项目方声称形成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涵盖政府、产业、学术、科研、资本等多方的协同支撑体系</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，这一描述性陈述需通过实际合同、合作协议、顾问委员会名单等书面证据予以验证。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协同支撑</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的具体形式</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是股权绑定、合作协议还是松散的人情关系</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将直接影响项目的资源稳定性与可持续性。</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第三章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技术原理深度解析</w:t>
      </w:r>
    </w:p>
    <w:p>
      <w:pPr>
        <w:pStyle w:val="Heading2"/>
        <w:spacing w:after="80" w:before="80" w:line="360" w:lineRule="auto"/>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传统方法局限性</w:t>
      </w:r>
    </w:p>
    <w:p>
      <w:pPr>
        <w:spacing w:after="80" w:before="80" w:line="360" w:lineRule="auto"/>
        <w:ind w:firstLine="480"/>
        <w:jc w:val="both"/>
      </w:pPr>
      <w:r>
        <w:rPr>
          <w:rFonts w:ascii="SimSun" w:cs="SimSun" w:eastAsia="SimSun" w:hAnsi="SimSun"/>
          <w:sz w:val="24"/>
          <w:szCs w:val="24"/>
        </w:rPr>
        <w:t xml:space="preserve">科技成果转化长期依赖</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关系型匹配</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模式，技术经纪人凭借个人人脉网络进行点对点撮合。这一模式存在三个结构性缺陷。</w:t>
      </w:r>
    </w:p>
    <w:p>
      <w:pPr>
        <w:spacing w:after="80" w:before="80" w:line="360" w:lineRule="auto"/>
        <w:ind w:firstLine="480"/>
        <w:jc w:val="both"/>
      </w:pPr>
      <w:r>
        <w:rPr>
          <w:rFonts w:ascii="SimSun" w:cs="SimSun" w:eastAsia="SimSun" w:hAnsi="SimSun"/>
          <w:sz w:val="24"/>
          <w:szCs w:val="24"/>
        </w:rPr>
        <w:t xml:space="preserve">第一，覆盖半径严重受限。一位资深技术经纪人最多维护</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个有效科学家关系，过度依赖个人能力而非系统化能力积累，导致商业模式不可规模化。以中国每年新增可转化科研项目数量估算，技术经纪人市场容量远不能满足实际需求。</w:t>
      </w:r>
    </w:p>
    <w:p>
      <w:pPr>
        <w:spacing w:after="80" w:before="80" w:line="360" w:lineRule="auto"/>
        <w:ind w:firstLine="480"/>
        <w:jc w:val="both"/>
      </w:pPr>
      <w:r>
        <w:rPr>
          <w:rFonts w:ascii="SimSun" w:cs="SimSun" w:eastAsia="SimSun" w:hAnsi="SimSun"/>
          <w:sz w:val="24"/>
          <w:szCs w:val="24"/>
        </w:rPr>
        <w:t xml:space="preserve">第二，价值评估主观性强。传统尽调依赖专家评审委员会，评审周期通常需要</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6</w:t>
      </w:r>
      <w:r>
        <w:rPr>
          <w:rFonts w:ascii="SimSun" w:cs="SimSun" w:eastAsia="SimSun" w:hAnsi="SimSun"/>
          <w:sz w:val="24"/>
          <w:szCs w:val="24"/>
        </w:rPr>
        <w:t xml:space="preserve">个月，评估结果受评审专家个人偏好与领域局限影响较大。同一项目在不同评审委员会可能得出截然不同的结论，估值一致性较低。</w:t>
      </w:r>
    </w:p>
    <w:p>
      <w:pPr>
        <w:spacing w:after="80" w:before="80" w:line="360" w:lineRule="auto"/>
        <w:ind w:firstLine="480"/>
        <w:jc w:val="both"/>
      </w:pPr>
      <w:r>
        <w:rPr>
          <w:rFonts w:ascii="SimSun" w:cs="SimSun" w:eastAsia="SimSun" w:hAnsi="SimSun"/>
          <w:sz w:val="24"/>
          <w:szCs w:val="24"/>
        </w:rPr>
        <w:t xml:space="preserve">第三，信息更新滞后。科学家研究方向、论文产出、专利布局处于动态变化中，传统模式下的信息采集依赖人工维护，时效性差。投资人获取的项目信息可能已滞后数月，决策依据的有效性大打折扣。</w:t>
      </w:r>
    </w:p>
    <w:p>
      <w:pPr>
        <w:spacing w:after="80" w:before="80" w:line="360" w:lineRule="auto"/>
        <w:ind w:firstLine="480"/>
        <w:jc w:val="both"/>
      </w:pPr>
      <w:r>
        <w:rPr>
          <w:rFonts w:ascii="SimSun" w:cs="SimSun" w:eastAsia="SimSun" w:hAnsi="SimSun"/>
          <w:sz w:val="24"/>
          <w:szCs w:val="24"/>
        </w:rPr>
        <w:t xml:space="preserve">技术转移转化的根本矛盾在于：科研活动的开放性与商业化决策的私密性之间存在张力。科学家希望成果得到合理估值但不愿过早暴露核心机密，投资人需要充分信息进行风险判断但缺乏获取渠道。这一结构性矛盾在传统模式下无法根本解决，只能通过制度设计进行缓解。</w:t>
      </w:r>
    </w:p>
    <w:p>
      <w:pPr>
        <w:pStyle w:val="Heading2"/>
        <w:spacing w:after="80" w:before="80" w:line="360" w:lineRule="auto"/>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核心技术原理</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技术经理人智能体的核心功能可分解为三个技术层次。</w:t>
      </w:r>
    </w:p>
    <w:p>
      <w:pPr>
        <w:spacing w:after="80" w:before="80" w:line="360" w:lineRule="auto"/>
        <w:ind w:firstLine="480"/>
        <w:jc w:val="both"/>
      </w:pPr>
      <w:r>
        <w:rPr>
          <w:rFonts w:ascii="SimSun" w:cs="SimSun" w:eastAsia="SimSun" w:hAnsi="SimSun"/>
          <w:sz w:val="24"/>
          <w:szCs w:val="24"/>
        </w:rPr>
        <w:t xml:space="preserve">科学家能力图谱构建层：平台采集科学家的论文发表数据、专利申请记录、项目参与经历、学术社交网络等多维度信息，通过</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P</w:t>
      </w:r>
      <w:r>
        <w:rPr>
          <w:rFonts w:ascii="SimSun" w:cs="SimSun" w:eastAsia="SimSun" w:hAnsi="SimSun"/>
          <w:sz w:val="24"/>
          <w:szCs w:val="24"/>
        </w:rPr>
        <w:t xml:space="preserve">（自然语言处理）技术提取技术能力标签，形成动态更新的科学家画像。这一画像不仅反映历史成就，更重要的是捕捉技术演进方向与能力迁移趋势。</w:t>
      </w:r>
    </w:p>
    <w:p>
      <w:pPr>
        <w:spacing w:after="80" w:before="80" w:line="360" w:lineRule="auto"/>
        <w:ind w:firstLine="480"/>
        <w:jc w:val="both"/>
      </w:pPr>
      <w:r>
        <w:rPr>
          <w:rFonts w:ascii="SimSun" w:cs="SimSun" w:eastAsia="SimSun" w:hAnsi="SimSun"/>
          <w:sz w:val="24"/>
          <w:szCs w:val="24"/>
        </w:rPr>
        <w:t xml:space="preserve">市场需求语义理解层：对产业方、投资人的技术需求进行结构化解析，包括技术参数要求、应用场景约束、成本敏感性、知识产权偏好等维度。需求侧信息与供给侧画像通过向量空间映射实现智能匹配。</w:t>
      </w:r>
    </w:p>
    <w:p>
      <w:pPr>
        <w:spacing w:after="80" w:before="80" w:line="360" w:lineRule="auto"/>
        <w:ind w:firstLine="480"/>
        <w:jc w:val="both"/>
      </w:pPr>
      <w:r>
        <w:rPr>
          <w:rFonts w:ascii="SimSun" w:cs="SimSun" w:eastAsia="SimSun" w:hAnsi="SimSun"/>
          <w:sz w:val="24"/>
          <w:szCs w:val="24"/>
        </w:rPr>
        <w:t xml:space="preserve">交易匹配与风险评估层：基于匹配结果，平台输出项目推荐理由、估值参考区间、潜在风险点提示等辅助决策信息。</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系统在这一环节的价值在于：压缩人工尽调的前期筛选成本，让技术经纪人将精力聚焦于高价值环节。</w:t>
      </w:r>
    </w:p>
    <w:p>
      <w:pPr>
        <w:spacing w:after="80" w:before="80" w:line="360" w:lineRule="auto"/>
        <w:ind w:firstLine="480"/>
        <w:jc w:val="both"/>
      </w:pPr>
      <w:r>
        <w:rPr>
          <w:rFonts w:ascii="SimSun" w:cs="SimSun" w:eastAsia="SimSun" w:hAnsi="SimSun"/>
          <w:sz w:val="24"/>
          <w:szCs w:val="24"/>
        </w:rPr>
        <w:t xml:space="preserve">从技术特性到性能表现的传导链条可概括为：数据丰富度决定图谱精度</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算法模型决定匹配效率</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用户反馈决定系统迭代</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撮合成功率决定商业闭环。四个环节环环相扣，任何一环的短板都将制约整体系统效能。</w:t>
      </w:r>
    </w:p>
    <w:p>
      <w:pPr>
        <w:spacing w:after="80" w:before="80" w:line="360" w:lineRule="auto"/>
        <w:ind w:firstLine="480"/>
        <w:jc w:val="both"/>
      </w:pPr>
      <w:r>
        <w:rPr>
          <w:rFonts w:ascii="SimSun" w:cs="SimSun" w:eastAsia="SimSun" w:hAnsi="SimSun"/>
          <w:sz w:val="24"/>
          <w:szCs w:val="24"/>
        </w:rPr>
        <w:t xml:space="preserve">技术原理层面，项目采用的技术路线在</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行业属于成熟应用方向，并无原理性创新壁垒。真正的壁垒在于垂直领域的数据积累与行业</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SimSun" w:cs="SimSun" w:eastAsia="SimSun" w:hAnsi="SimSun"/>
          <w:sz w:val="24"/>
          <w:szCs w:val="24"/>
        </w:rPr>
        <w:t xml:space="preserve">的模型嵌入，这需要时间沉淀与场景验证。</w:t>
      </w:r>
    </w:p>
    <w:p>
      <w:pPr>
        <w:pStyle w:val="Heading2"/>
        <w:spacing w:after="80" w:before="80" w:line="360" w:lineRule="auto"/>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技术成熟度评估</w:t>
      </w:r>
    </w:p>
    <w:p>
      <w:pPr>
        <w:spacing w:after="80" w:before="80" w:line="360" w:lineRule="auto"/>
        <w:ind w:firstLine="480"/>
        <w:jc w:val="both"/>
      </w:pP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L</w:t>
      </w:r>
      <w:r>
        <w:rPr>
          <w:rFonts w:ascii="SimSun" w:cs="SimSun" w:eastAsia="SimSun" w:hAnsi="SimSun"/>
          <w:sz w:val="24"/>
          <w:szCs w:val="24"/>
        </w:rPr>
        <w:t xml:space="preserve">等级估算：本报告分析估算，基于项目已完成试运营并产生实际撮合案例的进展，项目整体技术成熟度处于</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区间（系统</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子系统模型或原型演示，在相关环境中运行）。核心</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匹配引擎已完成概念验证，具备基础功能但尚未经历大规模、高并发场景的稳定性检验。</w:t>
      </w:r>
    </w:p>
    <w:p>
      <w:pPr>
        <w:spacing w:after="80" w:before="80" w:line="360" w:lineRule="auto"/>
        <w:ind w:firstLine="480"/>
        <w:jc w:val="both"/>
      </w:pPr>
      <w:r>
        <w:rPr>
          <w:rFonts w:ascii="SimSun" w:cs="SimSun" w:eastAsia="SimSun" w:hAnsi="SimSun"/>
          <w:sz w:val="24"/>
          <w:szCs w:val="24"/>
        </w:rPr>
        <w:t xml:space="preserve">核心局限声明：</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输出的估值建议仅为参考，不能替代专业财务尽调，存在误判风险</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图谱构建依赖数据质量，科学家数据不完整或不准确将直接影响匹配精度</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跨领域技术匹配能力存疑，当科学家能力边界模糊或需求边界模糊时，算法可能失效</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恶意用户可能通过数据注入操纵匹配结果，系统风控机制的有效性需持续验证</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第四章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行业现状与市场分析</w:t>
      </w:r>
    </w:p>
    <w:p>
      <w:pPr>
        <w:pStyle w:val="Heading2"/>
        <w:spacing w:after="80" w:before="80" w:line="360" w:lineRule="auto"/>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市场规模（</w:t>
      </w:r>
      <w:r>
        <w:rPr>
          <w:rFonts w:ascii="Times New Roman" w:cs="Times New Roman" w:eastAsia="Times New Roman" w:hAnsi="Times New Roman"/>
          <w:b/>
          <w:bCs/>
          <w:sz w:val="28"/>
          <w:szCs w:val="28"/>
        </w:rPr>
        <w:t xml:space="preserve">T</w:t>
      </w:r>
      <w:r>
        <w:rPr>
          <w:rFonts w:ascii="Times New Roman" w:cs="Times New Roman" w:eastAsia="Times New Roman" w:hAnsi="Times New Roman"/>
          <w:b/>
          <w:bCs/>
          <w:sz w:val="28"/>
          <w:szCs w:val="28"/>
        </w:rPr>
        <w:t xml:space="preserve">A</w:t>
      </w:r>
      <w:r>
        <w:rPr>
          <w:rFonts w:ascii="Times New Roman" w:cs="Times New Roman" w:eastAsia="Times New Roman" w:hAnsi="Times New Roman"/>
          <w:b/>
          <w:bCs/>
          <w:sz w:val="28"/>
          <w:szCs w:val="28"/>
        </w:rPr>
        <w:t xml:space="preserve">M</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S</w:t>
      </w:r>
      <w:r>
        <w:rPr>
          <w:rFonts w:ascii="Times New Roman" w:cs="Times New Roman" w:eastAsia="Times New Roman" w:hAnsi="Times New Roman"/>
          <w:b/>
          <w:bCs/>
          <w:sz w:val="28"/>
          <w:szCs w:val="28"/>
        </w:rPr>
        <w:t xml:space="preserve">A</w:t>
      </w:r>
      <w:r>
        <w:rPr>
          <w:rFonts w:ascii="Times New Roman" w:cs="Times New Roman" w:eastAsia="Times New Roman" w:hAnsi="Times New Roman"/>
          <w:b/>
          <w:bCs/>
          <w:sz w:val="28"/>
          <w:szCs w:val="28"/>
        </w:rPr>
        <w:t xml:space="preserve">M</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S</w:t>
      </w:r>
      <w:r>
        <w:rPr>
          <w:rFonts w:ascii="Times New Roman" w:cs="Times New Roman" w:eastAsia="Times New Roman" w:hAnsi="Times New Roman"/>
          <w:b/>
          <w:bCs/>
          <w:sz w:val="28"/>
          <w:szCs w:val="28"/>
        </w:rPr>
        <w:t xml:space="preserve">O</w:t>
      </w:r>
      <w:r>
        <w:rPr>
          <w:rFonts w:ascii="Times New Roman" w:cs="Times New Roman" w:eastAsia="Times New Roman" w:hAnsi="Times New Roman"/>
          <w:b/>
          <w:bCs/>
          <w:sz w:val="28"/>
          <w:szCs w:val="28"/>
        </w:rPr>
        <w:t xml:space="preserve">M</w:t>
      </w:r>
      <w:r>
        <w:rPr>
          <w:rFonts w:ascii="SimHei" w:cs="SimHei" w:eastAsia="SimHei" w:hAnsi="SimHei"/>
          <w:b/>
          <w:bCs/>
          <w:sz w:val="28"/>
          <w:szCs w:val="28"/>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（潜在市场总规模）：中国科技成果转化服务市场空间巨大。</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年全国技术合同成交额达</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万亿元，同比增长</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。假设科技成果转化服务佣金率约</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，仅国内市场</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即超过</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亿元。本报告分析估算，全球科技服务市场规模（包括技术评估、</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P</w:t>
      </w:r>
      <w:r>
        <w:rPr>
          <w:rFonts w:ascii="SimSun" w:cs="SimSun" w:eastAsia="SimSun" w:hAnsi="SimSun"/>
          <w:sz w:val="24"/>
          <w:szCs w:val="24"/>
        </w:rPr>
        <w:t xml:space="preserve">运营、孵化加速等细分领域）</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超过</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万亿元。</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（可服务市场）：项目当前聚焦于中科院体系及怀柔科学城辐射范围内的高科技项目转化，</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受限于物理场景覆盖半径。怀柔科学城规划面积约</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平方公里，已进驻科研人员约</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万人</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，可服务科学家群体约占全国的</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。基于此估算，国内</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约</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亿元。国际业务拓展至一带一路沿线国家后，</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边界有望扩大</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倍，但需克服跨文化信任建立与合规障碍。</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（可获得市场）：试运营期间累计孵化</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余个项目，若平均客单价（服务佣金）按</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万元估算，累计</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M</w:t>
      </w:r>
      <w:r>
        <w:rPr>
          <w:rFonts w:ascii="Times New Roman" w:cs="Times New Roman" w:eastAsia="Times New Roman" w:hAnsi="Times New Roman"/>
          <w:sz w:val="24"/>
          <w:szCs w:val="24"/>
        </w:rPr>
        <w:t xml:space="preserve">V</w:t>
      </w:r>
      <w:r>
        <w:rPr>
          <w:rFonts w:ascii="SimSun" w:cs="SimSun" w:eastAsia="SimSun" w:hAnsi="SimSun"/>
          <w:sz w:val="24"/>
          <w:szCs w:val="24"/>
        </w:rPr>
        <w:t xml:space="preserve">约</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亿元。这一规模说明项目仍处于早期验证阶段，</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占</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M</w:t>
      </w:r>
      <w:r>
        <w:rPr>
          <w:rFonts w:ascii="SimSun" w:cs="SimSun" w:eastAsia="SimSun" w:hAnsi="SimSun"/>
          <w:sz w:val="24"/>
          <w:szCs w:val="24"/>
        </w:rPr>
        <w:t xml:space="preserve">比例不足</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，增长空间广阔但转化路径漫长。</w:t>
      </w:r>
    </w:p>
    <w:p>
      <w:pPr>
        <w:pStyle w:val="Heading2"/>
        <w:spacing w:after="80" w:before="80" w:line="360" w:lineRule="auto"/>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市场驱动因素</w:t>
      </w:r>
    </w:p>
    <w:p>
      <w:pPr>
        <w:spacing w:after="80" w:before="80" w:line="360" w:lineRule="auto"/>
        <w:ind w:firstLine="480"/>
        <w:jc w:val="both"/>
      </w:pPr>
      <w:r>
        <w:rPr>
          <w:rFonts w:ascii="SimSun" w:cs="SimSun" w:eastAsia="SimSun" w:hAnsi="SimSun"/>
          <w:sz w:val="24"/>
          <w:szCs w:val="24"/>
        </w:rPr>
        <w:t xml:space="preserve">政策维度：《促进科技成果转化法》修订实施后，科研人员持股比例上限取消，制度障碍逐步清除</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。各地方政府设立技术转移转化专项基金，形成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政策激励</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资金支持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的双重驱动。国家科技成果转化引导基金累计子基金规模已超过</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亿元</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p>
    <w:p>
      <w:pPr>
        <w:spacing w:after="80" w:before="80" w:line="360" w:lineRule="auto"/>
        <w:ind w:firstLine="480"/>
        <w:jc w:val="both"/>
      </w:pPr>
      <w:r>
        <w:rPr>
          <w:rFonts w:ascii="SimSun" w:cs="SimSun" w:eastAsia="SimSun" w:hAnsi="SimSun"/>
          <w:sz w:val="24"/>
          <w:szCs w:val="24"/>
        </w:rPr>
        <w:t xml:space="preserve">技术维度：大语言模型技术的成熟使自然语言处理成本大幅下降，</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辅助尽调的技术可行性显著提升。云计算基础设施成熟度提高支撑了大规模数据处理需求。技术进步降低了科技服务智能化的边际成本。</w:t>
      </w:r>
    </w:p>
    <w:p>
      <w:pPr>
        <w:spacing w:after="80" w:before="80" w:line="360" w:lineRule="auto"/>
        <w:ind w:firstLine="480"/>
        <w:jc w:val="both"/>
      </w:pPr>
      <w:r>
        <w:rPr>
          <w:rFonts w:ascii="SimSun" w:cs="SimSun" w:eastAsia="SimSun" w:hAnsi="SimSun"/>
          <w:sz w:val="24"/>
          <w:szCs w:val="24"/>
        </w:rPr>
        <w:t xml:space="preserve">需求维度：硬科技投资热度持续，一级市场对早期科技项目的配置需求旺盛。传统产业升级对技术引进的渴望与科学家技术商业化的意愿形成共振。市场对科技成果转化效率提升的诉求日益迫切。</w:t>
      </w:r>
    </w:p>
    <w:p>
      <w:pPr>
        <w:spacing w:after="80" w:before="80" w:line="360" w:lineRule="auto"/>
        <w:ind w:firstLine="480"/>
        <w:jc w:val="both"/>
      </w:pPr>
      <w:r>
        <w:rPr>
          <w:rFonts w:ascii="SimSun" w:cs="SimSun" w:eastAsia="SimSun" w:hAnsi="SimSun"/>
          <w:sz w:val="24"/>
          <w:szCs w:val="24"/>
        </w:rPr>
        <w:t xml:space="preserve">风险对冲：政策依赖性构成最大结构性风险。若政府扶持力度减弱或怀柔科学城战略优先级调整，项目资源基础可能动摇。</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技术同质化竞争加剧可能压缩技术红利窗口期。</w:t>
      </w:r>
    </w:p>
    <w:p>
      <w:pPr>
        <w:pStyle w:val="Heading2"/>
        <w:spacing w:after="80" w:before="80" w:line="360" w:lineRule="auto"/>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竞争格局</w:t>
      </w:r>
    </w:p>
    <w:p>
      <w:pPr>
        <w:spacing w:after="80" w:before="80" w:line="360" w:lineRule="auto"/>
        <w:ind w:firstLine="480"/>
        <w:jc w:val="both"/>
      </w:pPr>
      <w:r>
        <w:rPr>
          <w:rFonts w:ascii="SimSun" w:cs="SimSun" w:eastAsia="SimSun" w:hAnsi="SimSun"/>
          <w:sz w:val="24"/>
          <w:szCs w:val="24"/>
        </w:rPr>
        <w:t xml:space="preserve">纯算法派：专注于</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技术能力，算法领先但缺乏场景纵深。典型代表为</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（人工智能技术转移平台）</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。这一派别的优势在于技术迭代速度快，劣势在于难以建立垂直领域的护城河。</w:t>
      </w:r>
    </w:p>
    <w:p>
      <w:pPr>
        <w:spacing w:after="80" w:before="80" w:line="360" w:lineRule="auto"/>
        <w:ind w:firstLine="480"/>
        <w:jc w:val="both"/>
      </w:pPr>
      <w:r>
        <w:rPr>
          <w:rFonts w:ascii="SimSun" w:cs="SimSun" w:eastAsia="SimSun" w:hAnsi="SimSun"/>
          <w:sz w:val="24"/>
          <w:szCs w:val="24"/>
        </w:rPr>
        <w:t xml:space="preserve">传统巨头派：高校技术转移中心、科技中介机构转型而来，具备存量客户优势但技术能力薄弱。代表为中科院科技创新汇（北京）科技服务有限公司</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。劣势是组织僵化、创新动力不足，容易被技术派弯道超车。</w:t>
      </w:r>
    </w:p>
    <w:p>
      <w:pPr>
        <w:spacing w:after="80" w:before="80" w:line="360" w:lineRule="auto"/>
        <w:ind w:firstLine="480"/>
        <w:jc w:val="both"/>
      </w:pPr>
      <w:r>
        <w:rPr>
          <w:rFonts w:ascii="SimSun" w:cs="SimSun" w:eastAsia="SimSun" w:hAnsi="SimSun"/>
          <w:sz w:val="24"/>
          <w:szCs w:val="24"/>
        </w:rPr>
        <w:t xml:space="preserve">垂直整合派：从特定垂直领域切入，提供从技术评估到孵化投资的全链条服务。代表为</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（璞跃中国）</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。优势在于深度服务能力，劣势是扩张速度受限。</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赛乔定位于</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国家级科学基础设施</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技术中台</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的垂直整合模式，试图在场景深度与技术广度之间取得平衡。这一定位的合理性取决于怀柔科学城资源的独占性能否维持、基石投资方的资金能否持续注入。</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第五章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技术对比与竞争优势</w:t>
      </w:r>
    </w:p>
    <w:p>
      <w:pPr>
        <w:pStyle w:val="Heading2"/>
        <w:spacing w:after="80" w:before="80" w:line="360" w:lineRule="auto"/>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市场竞品清单</w:t>
      </w:r>
    </w:p>
    <w:p>
      <w:pPr>
        <w:spacing w:after="80" w:before="80" w:line="360" w:lineRule="auto"/>
        <w:ind w:firstLine="480"/>
        <w:jc w:val="both"/>
      </w:pPr>
      <w:r>
        <w:rPr>
          <w:rFonts w:ascii="SimSun" w:cs="SimSun" w:eastAsia="SimSun" w:hAnsi="SimSun"/>
          <w:sz w:val="24"/>
          <w:szCs w:val="24"/>
        </w:rPr>
        <w:t xml:space="preserve">本节竞品信息来源于</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训练数据，建议投资方通过公开渠道进行人工核实。</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技术转移智能匹配平台</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技术路线：大语言模型</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知识图谱</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融资阶段：天使轮</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最新融资：未公开</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中科院科技创新汇（北京）科技服务有限公司</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方向：中科院体系技术转移服务</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技术路线：传统人工服务</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信息系统辅助</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融资阶段：未融资（国有背景）</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最新融资：不适用</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璞跃中国</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方向：大企业创新与科技创业加速</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技术路线：垂直整合服务</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生态网络</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轮</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最新融资：未公开</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盛景网联科技股份有限公司</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方向：科技创新服务与投资平台</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技术路线：社群运营</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投顾服务</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融资阶段：已上市（新三板）</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最新融资：不适用</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k</w:t>
      </w:r>
      <w:r>
        <w:rPr>
          <w:rFonts w:ascii="SimSun" w:cs="SimSun" w:eastAsia="SimSun" w:hAnsi="SimSun"/>
          <w:sz w:val="24"/>
          <w:szCs w:val="24"/>
        </w:rPr>
        <w:t xml:space="preserve">国际技术转移协作网络</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方向：跨境技术转移服务</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技术路线：国际网络</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中介撮合</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融资阶段：未公开</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最新融资：未公开</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脉脉（企业服务线）</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产品</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方向：人才智能匹配（潜在技术转移能力延伸）</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技术路线：</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匹配算法</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职场社交</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融资阶段：</w:t>
      </w:r>
      <w:r>
        <w:rPr>
          <w:rFonts w:ascii="Times New Roman" w:cs="Times New Roman" w:eastAsia="Times New Roman" w:hAnsi="Times New Roman"/>
          <w:sz w:val="24"/>
          <w:szCs w:val="24"/>
        </w:rPr>
        <w:t xml:space="preserve">D</w:t>
      </w:r>
      <w:r>
        <w:rPr>
          <w:rFonts w:ascii="SimSun" w:cs="SimSun" w:eastAsia="SimSun" w:hAnsi="SimSun"/>
          <w:sz w:val="24"/>
          <w:szCs w:val="24"/>
        </w:rPr>
        <w:t xml:space="preserve">轮</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最新融资：数亿美元</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来源：</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训练数据，建议人工核实</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pStyle w:val="Heading2"/>
        <w:spacing w:after="80" w:before="80" w:line="360" w:lineRule="auto"/>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竞品对比分析表格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对比维度</w:t>
            </w:r>
          </w:p>
        </w:tc>
        <w:tc>
          <w:tcPr>
            <w:tcBorders>
              <w:top w:val="single" w:sz="1"/>
              <w:left w:val="single" w:sz="1"/>
              <w:bottom w:val="single" w:sz="1"/>
              <w:right w:val="single" w:sz="1"/>
            </w:tcBorders>
          </w:tcPr>
          <w:p>
            <w:pPr>
              <w:jc w:val="center"/>
            </w:pPr>
            <w:r>
              <w:rPr>
                <w:rFonts w:ascii="Times New Roman" w:cs="Times New Roman" w:eastAsia="Times New Roman" w:hAnsi="Times New Roman"/>
                <w:b/>
                <w:bCs/>
                <w:sz w:val="24"/>
                <w:szCs w:val="24"/>
              </w:rPr>
              <w:t xml:space="preserve">S</w:t>
            </w:r>
            <w:r>
              <w:rPr>
                <w:rFonts w:ascii="Times New Roman" w:cs="Times New Roman" w:eastAsia="Times New Roman" w:hAnsi="Times New Roman"/>
                <w:b/>
                <w:bCs/>
                <w:sz w:val="24"/>
                <w:szCs w:val="24"/>
              </w:rPr>
              <w:t xml:space="preserve">c</w:t>
            </w:r>
            <w:r>
              <w:rPr>
                <w:rFonts w:ascii="Times New Roman" w:cs="Times New Roman" w:eastAsia="Times New Roman" w:hAnsi="Times New Roman"/>
                <w:b/>
                <w:bCs/>
                <w:sz w:val="24"/>
                <w:szCs w:val="24"/>
              </w:rPr>
              <w:t xml:space="preserve">i</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b</w:t>
            </w:r>
            <w:r>
              <w:rPr>
                <w:rFonts w:ascii="Times New Roman" w:cs="Times New Roman" w:eastAsia="Times New Roman" w:hAnsi="Times New Roman"/>
                <w:b/>
                <w:bCs/>
                <w:sz w:val="24"/>
                <w:szCs w:val="24"/>
              </w:rPr>
              <w:t xml:space="preserve">r</w:t>
            </w:r>
            <w:r>
              <w:rPr>
                <w:rFonts w:ascii="Times New Roman" w:cs="Times New Roman" w:eastAsia="Times New Roman" w:hAnsi="Times New Roman"/>
                <w:b/>
                <w:bCs/>
                <w:sz w:val="24"/>
                <w:szCs w:val="24"/>
              </w:rPr>
              <w:t xml:space="preserve">i</w:t>
            </w:r>
            <w:r>
              <w:rPr>
                <w:rFonts w:ascii="Times New Roman" w:cs="Times New Roman" w:eastAsia="Times New Roman" w:hAnsi="Times New Roman"/>
                <w:b/>
                <w:bCs/>
                <w:sz w:val="24"/>
                <w:szCs w:val="24"/>
              </w:rPr>
              <w:t xml:space="preserve">d</w:t>
            </w:r>
            <w:r>
              <w:rPr>
                <w:rFonts w:ascii="Times New Roman" w:cs="Times New Roman" w:eastAsia="Times New Roman" w:hAnsi="Times New Roman"/>
                <w:b/>
                <w:bCs/>
                <w:sz w:val="24"/>
                <w:szCs w:val="24"/>
              </w:rPr>
              <w:t xml:space="preserve">g</w:t>
            </w:r>
            <w:r>
              <w:rPr>
                <w:rFonts w:ascii="Times New Roman" w:cs="Times New Roman" w:eastAsia="Times New Roman" w:hAnsi="Times New Roman"/>
                <w:b/>
                <w:bCs/>
                <w:sz w:val="24"/>
                <w:szCs w:val="24"/>
              </w:rPr>
              <w:t xml:space="preserve">e</w:t>
            </w:r>
            <w:r>
              <w:rPr>
                <w:rFonts w:ascii="SimHei" w:cs="SimHei" w:eastAsia="SimHei" w:hAnsi="SimHei"/>
                <w:b/>
                <w:bCs/>
                <w:sz w:val="24"/>
                <w:szCs w:val="24"/>
              </w:rPr>
              <w:t xml:space="preserve">赛乔</w:t>
            </w:r>
          </w:p>
        </w:tc>
        <w:tc>
          <w:tcPr>
            <w:tcBorders>
              <w:top w:val="single" w:sz="1"/>
              <w:left w:val="single" w:sz="1"/>
              <w:bottom w:val="single" w:sz="1"/>
              <w:right w:val="single" w:sz="1"/>
            </w:tcBorders>
          </w:tcPr>
          <w:p>
            <w:pPr>
              <w:jc w:val="center"/>
            </w:pPr>
            <w:r>
              <w:rPr>
                <w:rFonts w:ascii="Times New Roman" w:cs="Times New Roman" w:eastAsia="Times New Roman" w:hAnsi="Times New Roman"/>
                <w:b/>
                <w:bCs/>
                <w:sz w:val="24"/>
                <w:szCs w:val="24"/>
              </w:rPr>
              <w:t xml:space="preserve">I</w:t>
            </w: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rPr>
              <w:t xml:space="preserve">o</w:t>
            </w:r>
            <w:r>
              <w:rPr>
                <w:rFonts w:ascii="Times New Roman" w:cs="Times New Roman" w:eastAsia="Times New Roman" w:hAnsi="Times New Roman"/>
                <w:b/>
                <w:bCs/>
                <w:sz w:val="24"/>
                <w:szCs w:val="24"/>
              </w:rPr>
              <w:t xml:space="preserve">S</w:t>
            </w:r>
            <w:r>
              <w:rPr>
                <w:rFonts w:ascii="Times New Roman" w:cs="Times New Roman" w:eastAsia="Times New Roman" w:hAnsi="Times New Roman"/>
                <w:b/>
                <w:bCs/>
                <w:sz w:val="24"/>
                <w:szCs w:val="24"/>
              </w:rPr>
              <w:t xml:space="preserve">G</w:t>
            </w:r>
            <w:r>
              <w:rPr>
                <w:rFonts w:ascii="Times New Roman" w:cs="Times New Roman" w:eastAsia="Times New Roman" w:hAnsi="Times New Roman"/>
                <w:b/>
                <w:bCs/>
                <w:sz w:val="24"/>
                <w:szCs w:val="24"/>
              </w:rPr>
              <w:t xml:space="preserve">E</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中科院科技创新汇</w:t>
            </w:r>
          </w:p>
        </w:tc>
        <w:tc>
          <w:tcPr>
            <w:tcBorders>
              <w:top w:val="single" w:sz="1"/>
              <w:left w:val="single" w:sz="1"/>
              <w:bottom w:val="single" w:sz="1"/>
              <w:right w:val="single" w:sz="1"/>
            </w:tcBorders>
          </w:tcPr>
          <w:p>
            <w:pPr>
              <w:jc w:val="center"/>
            </w:pPr>
            <w:r>
              <w:rPr>
                <w:rFonts w:ascii="Times New Roman" w:cs="Times New Roman" w:eastAsia="Times New Roman" w:hAnsi="Times New Roman"/>
                <w:b/>
                <w:bCs/>
                <w:sz w:val="24"/>
                <w:szCs w:val="24"/>
              </w:rPr>
              <w:t xml:space="preserve">X</w:t>
            </w: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rPr>
              <w:t xml:space="preserve">o</w:t>
            </w:r>
            <w:r>
              <w:rPr>
                <w:rFonts w:ascii="Times New Roman" w:cs="Times New Roman" w:eastAsia="Times New Roman" w:hAnsi="Times New Roman"/>
                <w:b/>
                <w:bCs/>
                <w:sz w:val="24"/>
                <w:szCs w:val="24"/>
              </w:rPr>
              <w:t xml:space="preserve">d</w:t>
            </w:r>
            <w:r>
              <w:rPr>
                <w:rFonts w:ascii="Times New Roman" w:cs="Times New Roman" w:eastAsia="Times New Roman" w:hAnsi="Times New Roman"/>
                <w:b/>
                <w:bCs/>
                <w:sz w:val="24"/>
                <w:szCs w:val="24"/>
              </w:rPr>
              <w:t xml:space="preserve">e</w:t>
            </w:r>
            <w:r>
              <w:rPr>
                <w:rFonts w:ascii="SimHei" w:cs="SimHei" w:eastAsia="SimHei" w:hAnsi="SimHei"/>
                <w:b/>
                <w:bCs/>
                <w:sz w:val="24"/>
                <w:szCs w:val="24"/>
              </w:rPr>
              <w:t xml:space="preserve">璞跃中国</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盛景网联</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核心技术路线</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A</w:t>
            </w:r>
            <w:r>
              <w:rPr>
                <w:rFonts w:ascii="Times New Roman" w:cs="Times New Roman" w:eastAsia="Times New Roman" w:hAnsi="Times New Roman"/>
                <w:b w:val="false"/>
                <w:bCs w:val="false"/>
                <w:sz w:val="24"/>
                <w:szCs w:val="24"/>
              </w:rPr>
              <w:t xml:space="preserve">I</w:t>
            </w:r>
            <w:r>
              <w:rPr>
                <w:rFonts w:ascii="SimSun" w:cs="SimSun" w:eastAsia="SimSun" w:hAnsi="SimSun"/>
                <w:b w:val="false"/>
                <w:bCs w:val="false"/>
                <w:sz w:val="24"/>
                <w:szCs w:val="24"/>
              </w:rPr>
              <w:t xml:space="preserve">科学家图谱</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需求语义匹配</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L</w:t>
            </w:r>
            <w:r>
              <w:rPr>
                <w:rFonts w:ascii="Times New Roman" w:cs="Times New Roman" w:eastAsia="Times New Roman" w:hAnsi="Times New Roman"/>
                <w:b w:val="false"/>
                <w:bCs w:val="false"/>
                <w:sz w:val="24"/>
                <w:szCs w:val="24"/>
              </w:rPr>
              <w:t xml:space="preserve">L</w:t>
            </w:r>
            <w:r>
              <w:rPr>
                <w:rFonts w:ascii="Times New Roman" w:cs="Times New Roman" w:eastAsia="Times New Roman" w:hAnsi="Times New Roman"/>
                <w:b w:val="false"/>
                <w:bCs w:val="false"/>
                <w:sz w:val="24"/>
                <w:szCs w:val="24"/>
              </w:rPr>
              <w:t xml:space="preserve">M</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知识图谱</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人工服务</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信息系统</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垂直整合</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生态运营</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社群</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投顾</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T</w:t>
            </w:r>
            <w:r>
              <w:rPr>
                <w:rFonts w:ascii="Times New Roman" w:cs="Times New Roman" w:eastAsia="Times New Roman" w:hAnsi="Times New Roman"/>
                <w:b w:val="false"/>
                <w:bCs w:val="false"/>
                <w:sz w:val="24"/>
                <w:szCs w:val="24"/>
              </w:rPr>
              <w:t xml:space="preserve">R</w:t>
            </w:r>
            <w:r>
              <w:rPr>
                <w:rFonts w:ascii="Times New Roman" w:cs="Times New Roman" w:eastAsia="Times New Roman" w:hAnsi="Times New Roman"/>
                <w:b w:val="false"/>
                <w:bCs w:val="false"/>
                <w:sz w:val="24"/>
                <w:szCs w:val="24"/>
              </w:rPr>
              <w:t xml:space="preserve">L</w:t>
            </w:r>
            <w:r>
              <w:rPr>
                <w:rFonts w:ascii="SimSun" w:cs="SimSun" w:eastAsia="SimSun" w:hAnsi="SimSun"/>
                <w:b w:val="false"/>
                <w:bCs w:val="false"/>
                <w:sz w:val="24"/>
                <w:szCs w:val="24"/>
              </w:rPr>
              <w:t xml:space="preserve">成熟度</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6</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7</w:t>
            </w:r>
            <w:r>
              <w:rPr>
                <w:rFonts w:ascii="SimSun" w:cs="SimSun" w:eastAsia="SimSun" w:hAnsi="SimSun"/>
                <w:b w:val="false"/>
                <w:bCs w:val="false"/>
                <w:sz w:val="24"/>
                <w:szCs w:val="24"/>
              </w:rPr>
              <w:t xml:space="preserve">（估算）</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5</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6</w:t>
            </w:r>
            <w:r>
              <w:rPr>
                <w:rFonts w:ascii="SimSun" w:cs="SimSun" w:eastAsia="SimSun" w:hAnsi="SimSun"/>
                <w:b w:val="false"/>
                <w:bCs w:val="false"/>
                <w:sz w:val="24"/>
                <w:szCs w:val="24"/>
              </w:rPr>
              <w:t xml:space="preserve">（估算）</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（运营多年）</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（运营多年）</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（已上市）</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性能指标</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匹配效率提升</w:t>
            </w:r>
            <w:r>
              <w:rPr>
                <w:rFonts w:ascii="Times New Roman" w:cs="Times New Roman" w:eastAsia="Times New Roman" w:hAnsi="Times New Roman"/>
                <w:b w:val="false"/>
                <w:bCs w:val="false"/>
                <w:sz w:val="24"/>
                <w:szCs w:val="24"/>
              </w:rPr>
              <w:t xml:space="preserve">3</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4</w:t>
            </w:r>
            <w:r>
              <w:rPr>
                <w:rFonts w:ascii="SimSun" w:cs="SimSun" w:eastAsia="SimSun" w:hAnsi="SimSun"/>
                <w:b w:val="false"/>
                <w:bCs w:val="false"/>
                <w:sz w:val="24"/>
                <w:szCs w:val="24"/>
              </w:rPr>
              <w:t xml:space="preserve">倍（项目方声称，待验证）</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匹配准确率</w:t>
            </w:r>
            <w:r>
              <w:rPr>
                <w:rFonts w:ascii="Times New Roman" w:cs="Times New Roman" w:eastAsia="Times New Roman" w:hAnsi="Times New Roman"/>
                <w:b w:val="false"/>
                <w:bCs w:val="false"/>
                <w:sz w:val="24"/>
                <w:szCs w:val="24"/>
              </w:rPr>
              <w:t xml:space="preserve">7</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（估算）</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依赖人工效率</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年加速项目</w:t>
            </w: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（估算）</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社群用户百万级</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成本优势</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边际成本低</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技术成本可控</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国有资源支撑</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规模效应待验证</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规模效应已验证</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专利布局</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未公开</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未公开</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国有背景</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未公开</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已公开</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融资阶段</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基石投资意向阶段</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天使轮</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国有（不适用）</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B</w:t>
            </w:r>
            <w:r>
              <w:rPr>
                <w:rFonts w:ascii="SimSun" w:cs="SimSun" w:eastAsia="SimSun" w:hAnsi="SimSun"/>
                <w:b w:val="false"/>
                <w:bCs w:val="false"/>
                <w:sz w:val="24"/>
                <w:szCs w:val="24"/>
              </w:rPr>
              <w:t xml:space="preserve">轮</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新三板上市</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商业化进度</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试运营</w:t>
            </w: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项目（累计）</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早期验证</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成熟运营</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规模化运营</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稳定盈利</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核心差异化</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怀柔科学城独家科学家资源</w:t>
            </w:r>
          </w:p>
        </w:tc>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A</w:t>
            </w:r>
            <w:r>
              <w:rPr>
                <w:rFonts w:ascii="Times New Roman" w:cs="Times New Roman" w:eastAsia="Times New Roman" w:hAnsi="Times New Roman"/>
                <w:b w:val="false"/>
                <w:bCs w:val="false"/>
                <w:sz w:val="24"/>
                <w:szCs w:val="24"/>
              </w:rPr>
              <w:t xml:space="preserve">I</w:t>
            </w:r>
            <w:r>
              <w:rPr>
                <w:rFonts w:ascii="SimSun" w:cs="SimSun" w:eastAsia="SimSun" w:hAnsi="SimSun"/>
                <w:b w:val="false"/>
                <w:bCs w:val="false"/>
                <w:sz w:val="24"/>
                <w:szCs w:val="24"/>
              </w:rPr>
              <w:t xml:space="preserve">技术深度</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国有背书</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存量客户</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国际化生态网络</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上市公司资本通道</w:t>
            </w:r>
          </w:p>
        </w:tc>
      </w:tr>
    </w:tbl>
    <w:p>
      <w:pPr>
        <w:pStyle w:val="Heading2"/>
        <w:spacing w:after="80" w:before="80" w:line="360" w:lineRule="auto"/>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竞争格局判断</w:t>
      </w:r>
    </w:p>
    <w:p>
      <w:pPr>
        <w:spacing w:after="80" w:before="80" w:line="360" w:lineRule="auto"/>
        <w:ind w:firstLine="480"/>
        <w:jc w:val="both"/>
      </w:pPr>
      <w:r>
        <w:rPr>
          <w:rFonts w:ascii="SimSun" w:cs="SimSun" w:eastAsia="SimSun" w:hAnsi="SimSun"/>
          <w:sz w:val="24"/>
          <w:szCs w:val="24"/>
        </w:rPr>
        <w:t xml:space="preserve">差异化优势：怀柔科学城科学家激励系统的独家运营权构成第一层护城河。这一资源具备政府背书的稀缺性，新进入者难以在短期内复制。科学家一旦形成平台使用习惯，迁移成本将随数据积累而递增。</w:t>
      </w:r>
    </w:p>
    <w:p>
      <w:pPr>
        <w:spacing w:after="80" w:before="80" w:line="360" w:lineRule="auto"/>
        <w:ind w:firstLine="480"/>
        <w:jc w:val="both"/>
      </w:pPr>
      <w:r>
        <w:rPr>
          <w:rFonts w:ascii="SimSun" w:cs="SimSun" w:eastAsia="SimSun" w:hAnsi="SimSun"/>
          <w:sz w:val="24"/>
          <w:szCs w:val="24"/>
        </w:rPr>
        <w:t xml:space="preserve">正面论点：一带一路政策对接能力为国际化扩张提供了政策通道，</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的跨境项目经验降低了试错成本。全球</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余国家的业务覆盖说明模式具备跨文化复制的基本能力。</w:t>
      </w:r>
    </w:p>
    <w:p>
      <w:pPr>
        <w:spacing w:after="80" w:before="80" w:line="360" w:lineRule="auto"/>
        <w:ind w:firstLine="480"/>
        <w:jc w:val="both"/>
      </w:pPr>
      <w:r>
        <w:rPr>
          <w:rFonts w:ascii="SimSun" w:cs="SimSun" w:eastAsia="SimSun" w:hAnsi="SimSun"/>
          <w:sz w:val="24"/>
          <w:szCs w:val="24"/>
        </w:rPr>
        <w:t xml:space="preserve">风险对冲：上述优势依赖政府关系的稳定性。一旦怀柔科学城管理层更迭或战略重心转移，独家合作协议的续签存在不确定性。</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技术本身不具备专利壁垒，算法路线可能被竞争对手快速模仿。</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余个孵化项目的成功退出率、单个项目平均回报周期等关键指标未披露，无法评估商业模式的实际盈利能力。</w:t>
      </w:r>
    </w:p>
    <w:p>
      <w:pPr>
        <w:spacing w:after="80" w:before="80" w:line="360" w:lineRule="auto"/>
        <w:ind w:firstLine="480"/>
        <w:jc w:val="both"/>
      </w:pPr>
      <w:r>
        <w:rPr>
          <w:rFonts w:ascii="SimSun" w:cs="SimSun" w:eastAsia="SimSun" w:hAnsi="SimSun"/>
          <w:sz w:val="24"/>
          <w:szCs w:val="24"/>
        </w:rPr>
        <w:t xml:space="preserve">独特生态位判断：</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赛乔试图占据</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政府背书</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国际网络</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的交叉地带，这一生态位兼具资源垄断属性与技术效率属性。但两种属性的协同需要高度的组织能力与执行力，从试运营到规模化运营的跨越将是最大考验。</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第六章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应用场景深度剖析</w:t>
      </w:r>
    </w:p>
    <w:p>
      <w:pPr>
        <w:pStyle w:val="Heading2"/>
        <w:spacing w:after="80" w:before="80" w:line="360" w:lineRule="auto"/>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主要应用场景分析</w:t>
      </w:r>
    </w:p>
    <w:p>
      <w:pPr>
        <w:spacing w:after="80" w:before="80" w:line="360" w:lineRule="auto"/>
        <w:jc w:val="both"/>
      </w:pPr>
      <w:r>
        <w:rPr>
          <w:rFonts w:ascii="SimHei" w:cs="SimHei" w:eastAsia="SimHei" w:hAnsi="SimHei"/>
          <w:b/>
          <w:bCs/>
          <w:sz w:val="24"/>
          <w:szCs w:val="24"/>
        </w:rPr>
        <w:t xml:space="preserve">场景一：科研院所成果商业化</w:t>
      </w:r>
    </w:p>
    <w:p>
      <w:pPr>
        <w:spacing w:after="80" w:before="80" w:line="360" w:lineRule="auto"/>
        <w:ind w:firstLine="480"/>
        <w:jc w:val="both"/>
      </w:pPr>
      <w:r>
        <w:rPr>
          <w:rFonts w:ascii="SimSun" w:cs="SimSun" w:eastAsia="SimSun" w:hAnsi="SimSun"/>
          <w:sz w:val="24"/>
          <w:szCs w:val="24"/>
        </w:rPr>
        <w:t xml:space="preserve">痛点：科学家擅长科研但缺乏商业化经验，不知道如何包装技术亮点、评估市场价值、寻找合适的产业化伙伴。研究考核体系以论文发表为导向，成果转化对晋升的直接帮助有限。</w:t>
      </w:r>
    </w:p>
    <w:p>
      <w:pPr>
        <w:spacing w:after="80" w:before="80" w:line="360" w:lineRule="auto"/>
        <w:ind w:firstLine="480"/>
        <w:jc w:val="both"/>
      </w:pPr>
      <w:r>
        <w:rPr>
          <w:rFonts w:ascii="SimSun" w:cs="SimSun" w:eastAsia="SimSun" w:hAnsi="SimSun"/>
          <w:sz w:val="24"/>
          <w:szCs w:val="24"/>
        </w:rPr>
        <w:t xml:space="preserve">方案：平台为科学家提供技术商业化潜力的</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评估报告，标注技术成熟度、市场空间、潜在竞争对手等关键维度。技术经理人根据评估结果进行人工跟进，协助科学家对接产业资源与投资方。</w:t>
      </w:r>
    </w:p>
    <w:p>
      <w:pPr>
        <w:spacing w:after="80" w:before="80" w:line="360" w:lineRule="auto"/>
        <w:ind w:firstLine="480"/>
        <w:jc w:val="both"/>
      </w:pPr>
      <w:r>
        <w:rPr>
          <w:rFonts w:ascii="SimSun" w:cs="SimSun" w:eastAsia="SimSun" w:hAnsi="SimSun"/>
          <w:sz w:val="24"/>
          <w:szCs w:val="24"/>
        </w:rPr>
        <w:t xml:space="preserve">挑战：科学家对</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评估的信任度存疑，更依赖同行口碑推荐而非系统推荐。商业化周期长（通常</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年），与科研人员职业周期的时间偏好存在冲突。知识产权归属界定复杂，院所政策限制可能阻碍转化进程。</w:t>
      </w:r>
    </w:p>
    <w:p>
      <w:pPr>
        <w:spacing w:after="80" w:before="80" w:line="360" w:lineRule="auto"/>
        <w:jc w:val="both"/>
      </w:pPr>
      <w:r>
        <w:rPr>
          <w:rFonts w:ascii="SimHei" w:cs="SimHei" w:eastAsia="SimHei" w:hAnsi="SimHei"/>
          <w:b/>
          <w:bCs/>
          <w:sz w:val="24"/>
          <w:szCs w:val="24"/>
        </w:rPr>
        <w:t xml:space="preserve">场景二：硬科技早期投资</w:t>
      </w:r>
    </w:p>
    <w:p>
      <w:pPr>
        <w:spacing w:after="80" w:before="80" w:line="360" w:lineRule="auto"/>
        <w:ind w:firstLine="480"/>
        <w:jc w:val="both"/>
      </w:pPr>
      <w:r>
        <w:rPr>
          <w:rFonts w:ascii="SimSun" w:cs="SimSun" w:eastAsia="SimSun" w:hAnsi="SimSun"/>
          <w:sz w:val="24"/>
          <w:szCs w:val="24"/>
        </w:rPr>
        <w:t xml:space="preserve">痛点：投资人面对海量技术项目，缺乏有效的筛选工具。早期项目信息不透明、财务数据不完善，传统尽调方法难以适用。专业领域知识门槛高，非领域专家难以判断技术先进性。</w:t>
      </w:r>
    </w:p>
    <w:p>
      <w:pPr>
        <w:spacing w:after="80" w:before="80" w:line="360" w:lineRule="auto"/>
        <w:ind w:firstLine="480"/>
        <w:jc w:val="both"/>
      </w:pPr>
      <w:r>
        <w:rPr>
          <w:rFonts w:ascii="SimSun" w:cs="SimSun" w:eastAsia="SimSun" w:hAnsi="SimSun"/>
          <w:sz w:val="24"/>
          <w:szCs w:val="24"/>
        </w:rPr>
        <w:t xml:space="preserve">方案：平台输出科学家能力图谱与项目风险评估摘要，降低投资人的信息获取成本。</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系统可实现跨领域技术关联分析，发现传统尽调难以捕捉的机会。</w:t>
      </w:r>
    </w:p>
    <w:p>
      <w:pPr>
        <w:spacing w:after="80" w:before="80" w:line="360" w:lineRule="auto"/>
        <w:ind w:firstLine="480"/>
        <w:jc w:val="both"/>
      </w:pPr>
      <w:r>
        <w:rPr>
          <w:rFonts w:ascii="SimSun" w:cs="SimSun" w:eastAsia="SimSun" w:hAnsi="SimSun"/>
          <w:sz w:val="24"/>
          <w:szCs w:val="24"/>
        </w:rPr>
        <w:t xml:space="preserve">挑战：</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评估的准确率未经大规模验证，误判风险由投资人自行承担。优质项目的争夺激烈，平台撮合后成交率取决于竞争态势。投资人与科学家直接对接后可能跳过平台，平台价值被架空。</w:t>
      </w:r>
    </w:p>
    <w:p>
      <w:pPr>
        <w:spacing w:after="80" w:before="80" w:line="360" w:lineRule="auto"/>
        <w:jc w:val="both"/>
      </w:pPr>
      <w:r>
        <w:rPr>
          <w:rFonts w:ascii="SimHei" w:cs="SimHei" w:eastAsia="SimHei" w:hAnsi="SimHei"/>
          <w:b/>
          <w:bCs/>
          <w:sz w:val="24"/>
          <w:szCs w:val="24"/>
        </w:rPr>
        <w:t xml:space="preserve">场景三：传统产业技术升级</w:t>
      </w:r>
    </w:p>
    <w:p>
      <w:pPr>
        <w:spacing w:after="80" w:before="80" w:line="360" w:lineRule="auto"/>
        <w:ind w:firstLine="480"/>
        <w:jc w:val="both"/>
      </w:pPr>
      <w:r>
        <w:rPr>
          <w:rFonts w:ascii="SimSun" w:cs="SimSun" w:eastAsia="SimSun" w:hAnsi="SimSun"/>
          <w:sz w:val="24"/>
          <w:szCs w:val="24"/>
        </w:rPr>
        <w:t xml:space="preserve">痛点：传统企业有技术升级需求但缺乏识别合适技术的渠道。与科研院所的对接成本高、周期长，成功率低。</w:t>
      </w:r>
    </w:p>
    <w:p>
      <w:pPr>
        <w:spacing w:after="80" w:before="80" w:line="360" w:lineRule="auto"/>
        <w:ind w:firstLine="480"/>
        <w:jc w:val="both"/>
      </w:pPr>
      <w:r>
        <w:rPr>
          <w:rFonts w:ascii="SimSun" w:cs="SimSun" w:eastAsia="SimSun" w:hAnsi="SimSun"/>
          <w:sz w:val="24"/>
          <w:szCs w:val="24"/>
        </w:rPr>
        <w:t xml:space="preserve">方案：平台根据企业技术需求精准匹配相关领域科学家，提供对接撮合服务。</w:t>
      </w:r>
    </w:p>
    <w:p>
      <w:pPr>
        <w:spacing w:after="80" w:before="80" w:line="360" w:lineRule="auto"/>
        <w:ind w:firstLine="480"/>
        <w:jc w:val="both"/>
      </w:pPr>
      <w:r>
        <w:rPr>
          <w:rFonts w:ascii="SimSun" w:cs="SimSun" w:eastAsia="SimSun" w:hAnsi="SimSun"/>
          <w:sz w:val="24"/>
          <w:szCs w:val="24"/>
        </w:rPr>
        <w:t xml:space="preserve">挑战：传统企业的支付意愿与科技服务的实际价值之间存在认知鸿沟。定制化服务难以标准化，边际成本难以大幅压缩。</w:t>
      </w:r>
    </w:p>
    <w:p>
      <w:pPr>
        <w:pStyle w:val="Heading2"/>
        <w:spacing w:after="80" w:before="80" w:line="360" w:lineRule="auto"/>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工程化落地难点</w:t>
      </w:r>
    </w:p>
    <w:p>
      <w:pPr>
        <w:spacing w:after="80" w:before="80" w:line="360" w:lineRule="auto"/>
        <w:ind w:firstLine="480"/>
        <w:jc w:val="both"/>
      </w:pPr>
      <w:r>
        <w:rPr>
          <w:rFonts w:ascii="SimSun" w:cs="SimSun" w:eastAsia="SimSun" w:hAnsi="SimSun"/>
          <w:sz w:val="24"/>
          <w:szCs w:val="24"/>
        </w:rPr>
        <w:t xml:space="preserve">数据质量标准化问题：不同科研院所的数据格式、数据字段、数据更新频率存在显著差异。构建统一的数据清洗</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是工程化规模化的前提条件，这一工作耗时耗力且不产生直接营收。</w:t>
      </w:r>
    </w:p>
    <w:p>
      <w:pPr>
        <w:spacing w:after="80" w:before="80" w:line="360" w:lineRule="auto"/>
        <w:ind w:firstLine="480"/>
        <w:jc w:val="both"/>
      </w:pPr>
      <w:r>
        <w:rPr>
          <w:rFonts w:ascii="SimSun" w:cs="SimSun" w:eastAsia="SimSun" w:hAnsi="SimSun"/>
          <w:sz w:val="24"/>
          <w:szCs w:val="24"/>
        </w:rPr>
        <w:t xml:space="preserve">跨机构协作机制：科技成果转化涉及科研院所、投资机构、产业方、政府监管部门等多方主体，各方的利益诉求、数据共享意愿、合规要求存在差异。建立多方认可的协作机制需要持续的组织协调工作。</w:t>
      </w:r>
    </w:p>
    <w:p>
      <w:pPr>
        <w:spacing w:after="80" w:before="80" w:line="360" w:lineRule="auto"/>
        <w:ind w:firstLine="48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系统的可解释性：技术评估报告的输出逻辑需要能够被科学家与投资人理解与检验。纯黑箱模型在高度依赖信任的科技服务领域难以推广，用户接受度受限。</w:t>
      </w:r>
    </w:p>
    <w:p>
      <w:pPr>
        <w:spacing w:after="80" w:before="80" w:line="360" w:lineRule="auto"/>
        <w:ind w:firstLine="480"/>
        <w:jc w:val="both"/>
      </w:pPr>
      <w:r>
        <w:rPr>
          <w:rFonts w:ascii="SimSun" w:cs="SimSun" w:eastAsia="SimSun" w:hAnsi="SimSun"/>
          <w:sz w:val="24"/>
          <w:szCs w:val="24"/>
        </w:rPr>
        <w:t xml:space="preserve">规模化复制的边界：怀柔科学城的成功经验能否复制到其他科学城（张江、合肥、深圳光明等）存在高度不确定性。各地政策环境、产业基础、科学家群体特征差异显著，标准化复制难度大。</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第七章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产业链分析与国产化机遇</w:t>
      </w:r>
    </w:p>
    <w:p>
      <w:pPr>
        <w:pStyle w:val="Heading2"/>
        <w:spacing w:after="80" w:before="80" w:line="360" w:lineRule="auto"/>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产业链定位</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赛乔处于科技服务产业链的中游位置。上游连接科研供给侧（科学家、科研院所、科研设备），下游连接产业需求侧（传统企业升级需求、硬科技投资需求、政策监管需求）。</w:t>
      </w:r>
    </w:p>
    <w:p>
      <w:pPr>
        <w:spacing w:after="80" w:before="80" w:line="360" w:lineRule="auto"/>
        <w:ind w:firstLine="480"/>
        <w:jc w:val="both"/>
      </w:pPr>
      <w:r>
        <w:rPr>
          <w:rFonts w:ascii="SimSun" w:cs="SimSun" w:eastAsia="SimSun" w:hAnsi="SimSun"/>
          <w:sz w:val="24"/>
          <w:szCs w:val="24"/>
        </w:rPr>
        <w:t xml:space="preserve">从价值链角度分析，平台的核心价值在于降低信息不对称成本、提供标准化评估工具、建立信任撮合机制。平台自身不生产技术，也不直接消费技术，而是充当技术流转的加速器与润滑剂。</w:t>
      </w:r>
    </w:p>
    <w:p>
      <w:pPr>
        <w:spacing w:after="80" w:before="80" w:line="360" w:lineRule="auto"/>
        <w:ind w:firstLine="480"/>
        <w:jc w:val="both"/>
      </w:pPr>
      <w:r>
        <w:rPr>
          <w:rFonts w:ascii="SimSun" w:cs="SimSun" w:eastAsia="SimSun" w:hAnsi="SimSun"/>
          <w:sz w:val="24"/>
          <w:szCs w:val="24"/>
        </w:rPr>
        <w:t xml:space="preserve">上游依赖风险：科学家资源构成平台供给侧的核心要素。怀柔科学城合作协议的续签稳定性直接决定上游资源的安全性。若其他科学城竞争性引入类似平台，上游资源可能面临分流压力。</w:t>
      </w:r>
    </w:p>
    <w:p>
      <w:pPr>
        <w:spacing w:after="80" w:before="80" w:line="360" w:lineRule="auto"/>
        <w:ind w:firstLine="480"/>
        <w:jc w:val="both"/>
      </w:pPr>
      <w:r>
        <w:rPr>
          <w:rFonts w:ascii="SimSun" w:cs="SimSun" w:eastAsia="SimSun" w:hAnsi="SimSun"/>
          <w:sz w:val="24"/>
          <w:szCs w:val="24"/>
        </w:rPr>
        <w:t xml:space="preserve">下游议价能力：投资人与产业方在撮合交易中处于相对强势地位。平台撮合成功后，投资人可能直接与科学家建立长期合作关系，绕过平台进行后续项目。平台需要通过增值服务（如持续尽调支持、投后管理）提升客户粘性。</w:t>
      </w:r>
    </w:p>
    <w:p>
      <w:pPr>
        <w:pStyle w:val="Heading2"/>
        <w:spacing w:after="80" w:before="80" w:line="360" w:lineRule="auto"/>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国产化替代空间与时间表</w:t>
      </w:r>
    </w:p>
    <w:p>
      <w:pPr>
        <w:spacing w:after="80" w:before="80" w:line="360" w:lineRule="auto"/>
        <w:ind w:firstLine="480"/>
        <w:jc w:val="both"/>
      </w:pPr>
      <w:r>
        <w:rPr>
          <w:rFonts w:ascii="SimSun" w:cs="SimSun" w:eastAsia="SimSun" w:hAnsi="SimSun"/>
          <w:sz w:val="24"/>
          <w:szCs w:val="24"/>
        </w:rPr>
        <w:t xml:space="preserve">低端替代（</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年）：</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匹配算法对传统人工筛选的替代已完成初步验证。在标准化程度较高的技术评估场景下，</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系统的效率优势明确。这一阶段国产化替代空间有限，主要针对国内中小型技术中介机构。</w:t>
      </w:r>
    </w:p>
    <w:p>
      <w:pPr>
        <w:spacing w:after="80" w:before="80" w:line="360" w:lineRule="auto"/>
        <w:ind w:firstLine="480"/>
        <w:jc w:val="both"/>
      </w:pPr>
      <w:r>
        <w:rPr>
          <w:rFonts w:ascii="SimSun" w:cs="SimSun" w:eastAsia="SimSun" w:hAnsi="SimSun"/>
          <w:sz w:val="24"/>
          <w:szCs w:val="24"/>
        </w:rPr>
        <w:t xml:space="preserve">中端替代（</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年）：随着模型训练数据的积累与行业</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SimSun" w:cs="SimSun" w:eastAsia="SimSun" w:hAnsi="SimSun"/>
          <w:sz w:val="24"/>
          <w:szCs w:val="24"/>
        </w:rPr>
        <w:t xml:space="preserve">的嵌入，</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系统的评估精度有望超越初级技术经纪人。在技术评估、项目筛选等环节形成对中级人才的替代。这一阶段需要持续的研发投入与场景验证。</w:t>
      </w:r>
    </w:p>
    <w:p>
      <w:pPr>
        <w:spacing w:after="80" w:before="80" w:line="360" w:lineRule="auto"/>
        <w:ind w:firstLine="480"/>
        <w:jc w:val="both"/>
      </w:pPr>
      <w:r>
        <w:rPr>
          <w:rFonts w:ascii="SimSun" w:cs="SimSun" w:eastAsia="SimSun" w:hAnsi="SimSun"/>
          <w:sz w:val="24"/>
          <w:szCs w:val="24"/>
        </w:rPr>
        <w:t xml:space="preserve">高端替代（</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年）：在复杂跨领域技术判断、高价值项目的深度尽调等高端场景，</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系统能否形成有效替代取决于技术进步速度与行业数据积累。当前时点判断尚早，存在较大不确定性。</w:t>
      </w:r>
    </w:p>
    <w:p>
      <w:pPr>
        <w:spacing w:after="80" w:before="80" w:line="360" w:lineRule="auto"/>
        <w:ind w:firstLine="480"/>
        <w:jc w:val="both"/>
      </w:pPr>
      <w:r>
        <w:rPr>
          <w:rFonts w:ascii="SimSun" w:cs="SimSun" w:eastAsia="SimSun" w:hAnsi="SimSun"/>
          <w:sz w:val="24"/>
          <w:szCs w:val="24"/>
        </w:rPr>
        <w:t xml:space="preserve">时间表风险声明：上述时间表基于本报告分析估算，实际情况可能因技术突破速度、政策变化、竞争态势而与预期产生重大偏差。投资者应保持动态跟踪而非一次性判断。</w:t>
      </w:r>
    </w:p>
    <w:p>
      <w:pPr>
        <w:pStyle w:val="Heading2"/>
        <w:spacing w:after="80" w:before="80" w:line="360" w:lineRule="auto"/>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相关政策支持</w:t>
      </w:r>
    </w:p>
    <w:p>
      <w:pPr>
        <w:spacing w:after="80" w:before="80" w:line="360" w:lineRule="auto"/>
        <w:ind w:firstLine="480"/>
        <w:jc w:val="both"/>
      </w:pPr>
      <w:r>
        <w:rPr>
          <w:rFonts w:ascii="SimSun" w:cs="SimSun" w:eastAsia="SimSun" w:hAnsi="SimSun"/>
          <w:sz w:val="24"/>
          <w:szCs w:val="24"/>
        </w:rPr>
        <w:t xml:space="preserve">国家层面：《促进科技成果转化法》（</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年修订，</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年修正）明确国家鼓励技术转移服务机构发展，科研人员可获得成果转化收益的</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以上</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。国务院印发的《实施</w:t>
      </w:r>
      <w:r>
        <w:rPr>
          <w:rFonts w:ascii="Times New Roman" w:cs="Times New Roman" w:eastAsia="Times New Roman" w:hAnsi="Times New Roman"/>
          <w:sz w:val="24"/>
          <w:szCs w:val="24"/>
        </w:rPr>
        <w:t xml:space="preserve">&lt;</w:t>
      </w:r>
      <w:r>
        <w:rPr>
          <w:rFonts w:ascii="SimSun" w:cs="SimSun" w:eastAsia="SimSun" w:hAnsi="SimSun"/>
          <w:sz w:val="24"/>
          <w:szCs w:val="24"/>
        </w:rPr>
        <w:t xml:space="preserve">促进科技成果转化法</w:t>
      </w:r>
      <w:r>
        <w:rPr>
          <w:rFonts w:ascii="Times New Roman" w:cs="Times New Roman" w:eastAsia="Times New Roman" w:hAnsi="Times New Roman"/>
          <w:sz w:val="24"/>
          <w:szCs w:val="24"/>
        </w:rPr>
        <w:t xml:space="preserve">&gt;</w:t>
      </w:r>
      <w:r>
        <w:rPr>
          <w:rFonts w:ascii="SimSun" w:cs="SimSun" w:eastAsia="SimSun" w:hAnsi="SimSun"/>
          <w:sz w:val="24"/>
          <w:szCs w:val="24"/>
        </w:rPr>
        <w:t xml:space="preserve">若干规定》进一步细化了支持措施。</w:t>
      </w:r>
    </w:p>
    <w:p>
      <w:pPr>
        <w:spacing w:after="80" w:before="80" w:line="360" w:lineRule="auto"/>
        <w:ind w:firstLine="480"/>
        <w:jc w:val="both"/>
      </w:pPr>
      <w:r>
        <w:rPr>
          <w:rFonts w:ascii="SimSun" w:cs="SimSun" w:eastAsia="SimSun" w:hAnsi="SimSun"/>
          <w:sz w:val="24"/>
          <w:szCs w:val="24"/>
        </w:rPr>
        <w:t xml:space="preserve">北京市层面：怀柔科学城作为北京市重点建设的三大科学城之一，享受土地、税收、人才引进等综合政策支持。北京市技术转移机构认定、北京市科技创新基金等政策工具为科技服务机构提供了资金来源。</w:t>
      </w:r>
    </w:p>
    <w:p>
      <w:pPr>
        <w:spacing w:after="80" w:before="80" w:line="360" w:lineRule="auto"/>
        <w:ind w:firstLine="480"/>
        <w:jc w:val="both"/>
      </w:pPr>
      <w:r>
        <w:rPr>
          <w:rFonts w:ascii="SimSun" w:cs="SimSun" w:eastAsia="SimSun" w:hAnsi="SimSun"/>
          <w:sz w:val="24"/>
          <w:szCs w:val="24"/>
        </w:rPr>
        <w:t xml:space="preserve">一带一路政策：科技部主导的</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一带一路</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科技创新行动计划鼓励国际技术转移合作。项目</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的跨境经验与政策对接能力在此背景下具有战略价值。</w:t>
      </w:r>
    </w:p>
    <w:p>
      <w:pPr>
        <w:spacing w:after="80" w:before="80" w:line="360" w:lineRule="auto"/>
        <w:ind w:firstLine="480"/>
        <w:jc w:val="both"/>
      </w:pPr>
      <w:r>
        <w:rPr>
          <w:rFonts w:ascii="SimSun" w:cs="SimSun" w:eastAsia="SimSun" w:hAnsi="SimSun"/>
          <w:sz w:val="24"/>
          <w:szCs w:val="24"/>
        </w:rPr>
        <w:t xml:space="preserve">风险对冲：政策支持具有不确定性，依赖政府资源的商业模式存在政策转向风险。科技服务机构的政策红利窗口期可能随政府优先级的调整而收窄。</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第八章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发展趋势与投资价值</w:t>
      </w:r>
    </w:p>
    <w:p>
      <w:pPr>
        <w:pStyle w:val="Heading2"/>
        <w:spacing w:after="80" w:before="80" w:line="360" w:lineRule="auto"/>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技术迭代路径</w:t>
      </w:r>
    </w:p>
    <w:p>
      <w:pPr>
        <w:spacing w:after="80" w:before="80" w:line="360" w:lineRule="auto"/>
        <w:ind w:firstLine="480"/>
        <w:jc w:val="both"/>
      </w:pPr>
      <w:r>
        <w:rPr>
          <w:rFonts w:ascii="SimSun" w:cs="SimSun" w:eastAsia="SimSun" w:hAnsi="SimSun"/>
          <w:sz w:val="24"/>
          <w:szCs w:val="24"/>
        </w:rPr>
        <w:t xml:space="preserve">短期（</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年）：完善科学家能力图谱的数据结构，提升图谱更新频率与覆盖维度。重点突破中科院体系内的数据孤岛问题，实现跨院所的数据联通。</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匹配算法的核心指标</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匹配精度、响应速度、用户满意度</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需达到可验证的基准线。</w:t>
      </w:r>
    </w:p>
    <w:p>
      <w:pPr>
        <w:spacing w:after="80" w:before="80" w:line="360" w:lineRule="auto"/>
        <w:ind w:firstLine="480"/>
        <w:jc w:val="both"/>
      </w:pPr>
      <w:r>
        <w:rPr>
          <w:rFonts w:ascii="SimSun" w:cs="SimSun" w:eastAsia="SimSun" w:hAnsi="SimSun"/>
          <w:sz w:val="24"/>
          <w:szCs w:val="24"/>
        </w:rPr>
        <w:t xml:space="preserve">中期（</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年）：引入多模态大模型技术，综合处理科学家论文、专利、路演视频等多维度信息，提升图谱的丰富度与立体性。探索跨语言、跨文化的匹配能力，为一带一路国家业务拓展提供技术支撑。尝试与头部投资机构共建行业专属评估模型。</w:t>
      </w:r>
    </w:p>
    <w:p>
      <w:pPr>
        <w:spacing w:after="80" w:before="80" w:line="360" w:lineRule="auto"/>
        <w:ind w:firstLine="480"/>
        <w:jc w:val="both"/>
      </w:pPr>
      <w:r>
        <w:rPr>
          <w:rFonts w:ascii="SimSun" w:cs="SimSun" w:eastAsia="SimSun" w:hAnsi="SimSun"/>
          <w:sz w:val="24"/>
          <w:szCs w:val="24"/>
        </w:rPr>
        <w:t xml:space="preserve">长期（</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年）：构建科技服务行业的数据标准与评估规范，从工具提供商升级为行业基础设施。探索</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T</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等</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技术在科技成果确权与收益分配中的应用可能。评估并购垂直领域竞争对手的整合机会。</w:t>
      </w:r>
    </w:p>
    <w:p>
      <w:pPr>
        <w:spacing w:after="80" w:before="80" w:line="360" w:lineRule="auto"/>
        <w:ind w:firstLine="480"/>
        <w:jc w:val="both"/>
      </w:pPr>
      <w:r>
        <w:rPr>
          <w:rFonts w:ascii="SimSun" w:cs="SimSun" w:eastAsia="SimSun" w:hAnsi="SimSun"/>
          <w:sz w:val="24"/>
          <w:szCs w:val="24"/>
        </w:rPr>
        <w:t xml:space="preserve">技术风险：大模型技术路线存在不确定性，</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m</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r</w:t>
      </w:r>
      <w:r>
        <w:rPr>
          <w:rFonts w:ascii="SimSun" w:cs="SimSun" w:eastAsia="SimSun" w:hAnsi="SimSun"/>
          <w:sz w:val="24"/>
          <w:szCs w:val="24"/>
        </w:rPr>
        <w:t xml:space="preserve">架构可能被更高效的下一代架构替代。垂直领域训练数据不足可能限制模型性能提升。</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监管政策的收紧可能限制部分数据采集与应用场景。</w:t>
      </w:r>
    </w:p>
    <w:p>
      <w:pPr>
        <w:pStyle w:val="Heading2"/>
        <w:spacing w:after="80" w:before="80" w:line="360" w:lineRule="auto"/>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商业规模化飞轮</w:t>
      </w:r>
    </w:p>
    <w:p>
      <w:pPr>
        <w:spacing w:after="80" w:before="80" w:line="360" w:lineRule="auto"/>
        <w:ind w:firstLine="480"/>
        <w:jc w:val="both"/>
      </w:pPr>
      <w:r>
        <w:rPr>
          <w:rFonts w:ascii="SimSun" w:cs="SimSun" w:eastAsia="SimSun" w:hAnsi="SimSun"/>
          <w:sz w:val="24"/>
          <w:szCs w:val="24"/>
        </w:rPr>
        <w:t xml:space="preserve">工具阶段：以</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匹配工具为核心卖点，吸引科学家与投资人注册使用。工具价值主张：降低信息搜索成本、提升匹配效率。变现模式：基础功能免费，高级功能订阅制。</w:t>
      </w:r>
    </w:p>
    <w:p>
      <w:pPr>
        <w:spacing w:after="80" w:before="80" w:line="360" w:lineRule="auto"/>
        <w:ind w:firstLine="480"/>
        <w:jc w:val="both"/>
      </w:pPr>
      <w:r>
        <w:rPr>
          <w:rFonts w:ascii="SimSun" w:cs="SimSun" w:eastAsia="SimSun" w:hAnsi="SimSun"/>
          <w:sz w:val="24"/>
          <w:szCs w:val="24"/>
        </w:rPr>
        <w:t xml:space="preserve">产品阶段：基于用户使用数据与反馈，打造标准化科技评估产品线。探索按项目收费、成功率分成等多元变现模式。与政府科技管理部门、产业园区建立合作关系，获取</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端客户。</w:t>
      </w:r>
    </w:p>
    <w:p>
      <w:pPr>
        <w:spacing w:after="80" w:before="80" w:line="360" w:lineRule="auto"/>
        <w:ind w:firstLine="480"/>
        <w:jc w:val="both"/>
      </w:pPr>
      <w:r>
        <w:rPr>
          <w:rFonts w:ascii="SimSun" w:cs="SimSun" w:eastAsia="SimSun" w:hAnsi="SimSun"/>
          <w:sz w:val="24"/>
          <w:szCs w:val="24"/>
        </w:rPr>
        <w:t xml:space="preserve">平台阶段：积累足够的交易数据与用户网络效应后，转型为科技成果转化的基础设施平台。引入金融服务（科技保险、科技担保）、法律服务（</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P</w:t>
      </w:r>
      <w:r>
        <w:rPr>
          <w:rFonts w:ascii="SimSun" w:cs="SimSun" w:eastAsia="SimSun" w:hAnsi="SimSun"/>
          <w:sz w:val="24"/>
          <w:szCs w:val="24"/>
        </w:rPr>
        <w:t xml:space="preserve">确权、合同审核）等增值服务，提升平台</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U</w:t>
      </w:r>
      <w:r>
        <w:rPr>
          <w:rFonts w:ascii="SimSun" w:cs="SimSun" w:eastAsia="SimSun" w:hAnsi="SimSun"/>
          <w:sz w:val="24"/>
          <w:szCs w:val="24"/>
        </w:rPr>
        <w:t xml:space="preserve">（每用户平均收入）。</w:t>
      </w:r>
    </w:p>
    <w:p>
      <w:pPr>
        <w:spacing w:after="80" w:before="80" w:line="360" w:lineRule="auto"/>
        <w:ind w:firstLine="480"/>
        <w:jc w:val="both"/>
      </w:pPr>
      <w:r>
        <w:rPr>
          <w:rFonts w:ascii="SimSun" w:cs="SimSun" w:eastAsia="SimSun" w:hAnsi="SimSun"/>
          <w:sz w:val="24"/>
          <w:szCs w:val="24"/>
        </w:rPr>
        <w:t xml:space="preserve">飞轮失效风险：用户增长放缓导致数据积累减速，数据不足导致算法性能停滞，算法性能停滞导致用户体验下降，用户体验下降导致增长放缓。这一负反馈循环可能在竞争加剧或用户需求变化时触发。</w:t>
      </w:r>
    </w:p>
    <w:p>
      <w:pPr>
        <w:pStyle w:val="Heading2"/>
        <w:spacing w:after="80" w:before="80" w:line="360" w:lineRule="auto"/>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财务预测</w:t>
      </w:r>
    </w:p>
    <w:p>
      <w:pPr>
        <w:spacing w:after="80" w:before="80" w:line="360" w:lineRule="auto"/>
        <w:ind w:firstLine="480"/>
        <w:jc w:val="both"/>
      </w:pPr>
      <w:r>
        <w:rPr>
          <w:rFonts w:ascii="SimSun" w:cs="SimSun" w:eastAsia="SimSun" w:hAnsi="SimSun"/>
          <w:sz w:val="24"/>
          <w:szCs w:val="24"/>
        </w:rPr>
        <w:t xml:space="preserve">假设前提声明：以下财务预测基于本报告分析估算，假设前提包括：（</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）怀柔科学城独家合作协议持续有效；（</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）基石投资方资金按期到位；（</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匹配算法性能达到预期基准；（</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）一带一路国际业务拓展顺利推进。实际经营结果可能与预测产生重大偏差。</w:t>
      </w:r>
    </w:p>
    <w:p>
      <w:pPr>
        <w:spacing w:after="80" w:before="80" w:line="360" w:lineRule="auto"/>
        <w:ind w:firstLine="480"/>
        <w:jc w:val="both"/>
      </w:pPr>
      <w:r>
        <w:rPr>
          <w:rFonts w:ascii="SimSun" w:cs="SimSun" w:eastAsia="SimSun" w:hAnsi="SimSun"/>
          <w:sz w:val="24"/>
          <w:szCs w:val="24"/>
        </w:rPr>
        <w:t xml:space="preserve">营收预测（本报告分析估算，非实际数据）：</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6</w:t>
      </w:r>
      <w:r>
        <w:rPr>
          <w:rFonts w:ascii="SimSun" w:cs="SimSun" w:eastAsia="SimSun" w:hAnsi="SimSun"/>
          <w:sz w:val="24"/>
          <w:szCs w:val="24"/>
        </w:rPr>
        <w:t xml:space="preserve">年：营收约</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万元（试运营向正式运营过渡期，以孵化项目服务费为主）</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年：营收约</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亿元（客户基数扩大，</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U</w:t>
      </w:r>
      <w:r>
        <w:rPr>
          <w:rFonts w:ascii="SimSun" w:cs="SimSun" w:eastAsia="SimSun" w:hAnsi="SimSun"/>
          <w:sz w:val="24"/>
          <w:szCs w:val="24"/>
        </w:rPr>
        <w:t xml:space="preserve">提升）</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年：营收约</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亿元（平台效应显现，国际业务贡献增加）</w:t>
      </w:r>
    </w:p>
    <w:p>
      <w:pPr>
        <w:spacing w:after="80" w:before="80" w:line="360" w:lineRule="auto"/>
        <w:ind w:firstLine="480"/>
        <w:jc w:val="both"/>
      </w:pPr>
      <w:r>
        <w:rPr>
          <w:rFonts w:ascii="SimSun" w:cs="SimSun" w:eastAsia="SimSun" w:hAnsi="SimSun"/>
          <w:sz w:val="24"/>
          <w:szCs w:val="24"/>
        </w:rPr>
        <w:t xml:space="preserve">利润预测（本报告分析估算，非实际数据）：</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年：预计亏损，主要支出为研发投入与市场拓展费用</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年：有望实现盈亏平衡或小幅盈利</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9</w:t>
      </w:r>
      <w:r>
        <w:rPr>
          <w:rFonts w:ascii="SimSun" w:cs="SimSun" w:eastAsia="SimSun" w:hAnsi="SimSun"/>
          <w:sz w:val="24"/>
          <w:szCs w:val="24"/>
        </w:rPr>
        <w:t xml:space="preserve">年及以后：随着平台效应深化，利润率有望达到</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p>
    <w:p>
      <w:pPr>
        <w:spacing w:after="80" w:before="80" w:line="360" w:lineRule="auto"/>
        <w:ind w:firstLine="480"/>
        <w:jc w:val="both"/>
      </w:pPr>
      <w:r>
        <w:rPr>
          <w:rFonts w:ascii="SimSun" w:cs="SimSun" w:eastAsia="SimSun" w:hAnsi="SimSun"/>
          <w:sz w:val="24"/>
          <w:szCs w:val="24"/>
        </w:rPr>
        <w:t xml:space="preserve">关键假设：上述预测假设平均客单价约</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万元，年撮合项目数量从</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个逐步提升至</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个以上。这一假设的实现依赖于签约科学家数量、活跃投资人数量、跨区域复制速度等多项前置条件。</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第九章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风险评估</w:t>
      </w:r>
    </w:p>
    <w:p>
      <w:pPr>
        <w:pStyle w:val="Heading2"/>
        <w:spacing w:after="80" w:before="80" w:line="360" w:lineRule="auto"/>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Times New Roman" w:cs="Times New Roman" w:eastAsia="Times New Roman" w:hAnsi="Times New Roman"/>
          <w:b/>
          <w:bCs/>
          <w:sz w:val="28"/>
          <w:szCs w:val="28"/>
        </w:rPr>
        <w:t xml:space="preserve">S</w:t>
      </w:r>
      <w:r>
        <w:rPr>
          <w:rFonts w:ascii="Times New Roman" w:cs="Times New Roman" w:eastAsia="Times New Roman" w:hAnsi="Times New Roman"/>
          <w:b/>
          <w:bCs/>
          <w:sz w:val="28"/>
          <w:szCs w:val="28"/>
        </w:rPr>
        <w:t xml:space="preserve">W</w:t>
      </w:r>
      <w:r>
        <w:rPr>
          <w:rFonts w:ascii="Times New Roman" w:cs="Times New Roman" w:eastAsia="Times New Roman" w:hAnsi="Times New Roman"/>
          <w:b/>
          <w:bCs/>
          <w:sz w:val="28"/>
          <w:szCs w:val="28"/>
        </w:rPr>
        <w:t xml:space="preserve">O</w:t>
      </w:r>
      <w:r>
        <w:rPr>
          <w:rFonts w:ascii="Times New Roman" w:cs="Times New Roman" w:eastAsia="Times New Roman" w:hAnsi="Times New Roman"/>
          <w:b/>
          <w:bCs/>
          <w:sz w:val="28"/>
          <w:szCs w:val="28"/>
        </w:rPr>
        <w:t xml:space="preserve">T</w:t>
      </w:r>
      <w:r>
        <w:rPr>
          <w:rFonts w:ascii="SimHei" w:cs="SimHei" w:eastAsia="SimHei" w:hAnsi="SimHei"/>
          <w:b/>
          <w:bCs/>
          <w:sz w:val="28"/>
          <w:szCs w:val="28"/>
        </w:rPr>
        <w:t xml:space="preserve">分析</w:t>
      </w:r>
    </w:p>
    <w:p>
      <w:pPr>
        <w:spacing w:after="80" w:before="80" w:line="360" w:lineRule="auto"/>
        <w:ind w:firstLine="480"/>
        <w:jc w:val="both"/>
      </w:pPr>
      <w:r>
        <w:rPr>
          <w:rFonts w:ascii="SimSun" w:cs="SimSun" w:eastAsia="SimSun" w:hAnsi="SimSun"/>
          <w:sz w:val="24"/>
          <w:szCs w:val="24"/>
        </w:rPr>
        <w:t xml:space="preserve">优势（</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s</w:t>
      </w:r>
      <w:r>
        <w:rPr>
          <w:rFonts w:ascii="SimSun" w:cs="SimSun" w:eastAsia="SimSun" w:hAnsi="SimSu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怀柔科学城独家科学家激励系统运营权，具备政府背书的稀缺性</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已积累</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余个孵化项目、</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余位创始人链接的运营数据</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业务覆盖</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余个国家，国际化通道初步建立</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获得政府专项经费与基石投资方意向支持</w:t>
      </w:r>
    </w:p>
    <w:p>
      <w:pPr>
        <w:spacing w:after="80" w:before="80" w:line="360" w:lineRule="auto"/>
        <w:ind w:firstLine="480"/>
        <w:jc w:val="both"/>
      </w:pPr>
      <w:r>
        <w:rPr>
          <w:rFonts w:ascii="SimSun" w:cs="SimSun" w:eastAsia="SimSun" w:hAnsi="SimSun"/>
          <w:sz w:val="24"/>
          <w:szCs w:val="24"/>
        </w:rPr>
        <w:t xml:space="preserve">劣势（</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s</w:t>
      </w:r>
      <w:r>
        <w:rPr>
          <w:rFonts w:ascii="SimSun" w:cs="SimSun" w:eastAsia="SimSun" w:hAnsi="SimSu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商业模式未经大规模验证，持续盈利能力存疑</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核心技术路线无专利壁垒，易被模仿</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工商信息、股权结构、团队背景等关键信息透明度不足</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跨区域复制能力未经证实</w:t>
      </w:r>
    </w:p>
    <w:p>
      <w:pPr>
        <w:spacing w:after="80" w:before="80" w:line="360" w:lineRule="auto"/>
        <w:ind w:firstLine="480"/>
        <w:jc w:val="both"/>
      </w:pPr>
      <w:r>
        <w:rPr>
          <w:rFonts w:ascii="SimSun" w:cs="SimSun" w:eastAsia="SimSun" w:hAnsi="SimSun"/>
          <w:sz w:val="24"/>
          <w:szCs w:val="24"/>
        </w:rPr>
        <w:t xml:space="preserve">机会（</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u</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s</w:t>
      </w:r>
      <w:r>
        <w:rPr>
          <w:rFonts w:ascii="SimSun" w:cs="SimSun" w:eastAsia="SimSun" w:hAnsi="SimSu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政策持续利好科技转化领域</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大语言模型技术成熟提供效率提升空间</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一带一路国际业务拓展机遇</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硬科技投资热潮带来的市场需求</w:t>
      </w:r>
    </w:p>
    <w:p>
      <w:pPr>
        <w:spacing w:after="80" w:before="80" w:line="360" w:lineRule="auto"/>
        <w:ind w:firstLine="480"/>
        <w:jc w:val="both"/>
      </w:pPr>
      <w:r>
        <w:rPr>
          <w:rFonts w:ascii="SimSun" w:cs="SimSun" w:eastAsia="SimSun" w:hAnsi="SimSun"/>
          <w:sz w:val="24"/>
          <w:szCs w:val="24"/>
        </w:rPr>
        <w:t xml:space="preserve">威胁（</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s</w:t>
      </w:r>
      <w:r>
        <w:rPr>
          <w:rFonts w:ascii="SimSun" w:cs="SimSun" w:eastAsia="SimSun" w:hAnsi="SimSun"/>
          <w:sz w:val="24"/>
          <w:szCs w:val="24"/>
        </w:rPr>
        <w:t xml:space="preserve">）：</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传统科技中介机构的数字化转型竞争</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大厂切入垂直领域的降维打击风险</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怀柔科学城战略调整或独家协议流失</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全球科技竞争格局变化影响国际业务</w:t>
      </w:r>
    </w:p>
    <w:p>
      <w:pPr>
        <w:pStyle w:val="Heading2"/>
        <w:spacing w:after="80" w:before="80" w:line="360" w:lineRule="auto"/>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主要风险矩阵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风险类型</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概率</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影响程度</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优先级</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死亡之谷：资金链断裂</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极高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技术放大风险：</w:t>
            </w:r>
            <w:r>
              <w:rPr>
                <w:rFonts w:ascii="Times New Roman" w:cs="Times New Roman" w:eastAsia="Times New Roman" w:hAnsi="Times New Roman"/>
                <w:b w:val="false"/>
                <w:bCs w:val="false"/>
                <w:sz w:val="24"/>
                <w:szCs w:val="24"/>
              </w:rPr>
              <w:t xml:space="preserve">A</w:t>
            </w:r>
            <w:r>
              <w:rPr>
                <w:rFonts w:ascii="Times New Roman" w:cs="Times New Roman" w:eastAsia="Times New Roman" w:hAnsi="Times New Roman"/>
                <w:b w:val="false"/>
                <w:bCs w:val="false"/>
                <w:sz w:val="24"/>
                <w:szCs w:val="24"/>
              </w:rPr>
              <w:t xml:space="preserve">I</w:t>
            </w:r>
            <w:r>
              <w:rPr>
                <w:rFonts w:ascii="SimSun" w:cs="SimSun" w:eastAsia="SimSun" w:hAnsi="SimSun"/>
                <w:b w:val="false"/>
                <w:bCs w:val="false"/>
                <w:sz w:val="24"/>
                <w:szCs w:val="24"/>
              </w:rPr>
              <w:t xml:space="preserve">误判导致重大投资损失</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低</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数据瓶颈：科学家数据质量不达预期</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商业模式冲突：平台被交易双方绕过</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供应链脆弱性：关键人员流失</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政策风险：政府扶持力度减弱</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低</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r>
      <w:tr>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竞争风险：强势竞争者入场</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高</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中</w:t>
            </w:r>
          </w:p>
        </w:tc>
      </w:tr>
    </w:tbl>
    <w:p>
      <w:pPr>
        <w:spacing w:after="80" w:before="80" w:line="360" w:lineRule="auto"/>
        <w:ind w:firstLine="480"/>
        <w:jc w:val="both"/>
      </w:pPr>
      <w:r>
        <w:rPr>
          <w:rFonts w:ascii="SimSun" w:cs="SimSun" w:eastAsia="SimSun" w:hAnsi="SimSun"/>
          <w:sz w:val="24"/>
          <w:szCs w:val="24"/>
        </w:rPr>
        <w:t xml:space="preserve">死亡之谷分析：项目当前处于从试运营向规模化运营过渡的关键阶段。基石投资方意向尚未转化为正式协议，资金到位的确定性存疑。若融资进度不及预期，研发投入与市场拓展支出可能迅速消耗现有资金储备。建议投资方重点关注资金到位的具体时间节点与交割条件。</w:t>
      </w:r>
    </w:p>
    <w:p>
      <w:pPr>
        <w:spacing w:after="80" w:before="80" w:line="360" w:lineRule="auto"/>
        <w:ind w:firstLine="48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误判风险：技术评估的误判可能导致投资人损失，平台面临法律追责风险。</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系统的局限性决定了其输出仅能作为参考而非决策依据，平台需在用户协议中明确免责声明边界。</w:t>
      </w:r>
    </w:p>
    <w:p>
      <w:pPr>
        <w:spacing w:after="80" w:before="80" w:line="360" w:lineRule="auto"/>
        <w:ind w:firstLine="480"/>
        <w:jc w:val="both"/>
      </w:pPr>
      <w:r>
        <w:rPr>
          <w:rFonts w:ascii="SimSun" w:cs="SimSun" w:eastAsia="SimSun" w:hAnsi="SimSun"/>
          <w:sz w:val="24"/>
          <w:szCs w:val="24"/>
        </w:rPr>
        <w:t xml:space="preserve">平台绕过风险：投资人与科学家在平台撮合后可能绕过平台直接对接后续项目，平台撮合费用的一次性特征导致客户终身价值（</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V</w:t>
      </w:r>
      <w:r>
        <w:rPr>
          <w:rFonts w:ascii="SimSun" w:cs="SimSun" w:eastAsia="SimSun" w:hAnsi="SimSun"/>
          <w:sz w:val="24"/>
          <w:szCs w:val="24"/>
        </w:rPr>
        <w:t xml:space="preserve">）有限。提升客户粘性的关键在于提供不可替代的增值服务。</w:t>
      </w:r>
    </w:p>
    <w:p>
      <w:pPr>
        <w:pStyle w:val="Heading2"/>
        <w:spacing w:after="80" w:before="80" w:line="360" w:lineRule="auto"/>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风险缓解措施</w:t>
      </w:r>
    </w:p>
    <w:p>
      <w:pPr>
        <w:spacing w:after="80" w:before="80" w:line="360" w:lineRule="auto"/>
        <w:ind w:firstLine="480"/>
        <w:jc w:val="both"/>
      </w:pPr>
      <w:r>
        <w:rPr>
          <w:rFonts w:ascii="SimSun" w:cs="SimSun" w:eastAsia="SimSun" w:hAnsi="SimSun"/>
          <w:sz w:val="24"/>
          <w:szCs w:val="24"/>
        </w:rPr>
        <w:t xml:space="preserve">资金链风险缓解：要求基石投资方将投资意向转化为具有排他性条款的投资协议，锁定资金到位的具体时间表。控制烧钱速度，建立现金跑道预警机制（建议保持</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个月以上运营现金储备）。探索政府补贴、专项基金等多元资金来源，降低对单一投资方的依赖。</w:t>
      </w:r>
    </w:p>
    <w:p>
      <w:pPr>
        <w:spacing w:after="80" w:before="80" w:line="360" w:lineRule="auto"/>
        <w:ind w:firstLine="480"/>
        <w:jc w:val="both"/>
      </w:pPr>
      <w:r>
        <w:rPr>
          <w:rFonts w:ascii="SimSun" w:cs="SimSun" w:eastAsia="SimSun" w:hAnsi="SimSun"/>
          <w:sz w:val="24"/>
          <w:szCs w:val="24"/>
        </w:rPr>
        <w:t xml:space="preserve">技术风险缓解：建立人工复核机制，</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输出结果须经专业人员审核后方可对外提供。与头部科研机构共建行业基准测试数据集，提升算法评估的可信度。定期进行算法审计，防止系统性偏见与错误。</w:t>
      </w:r>
    </w:p>
    <w:p>
      <w:pPr>
        <w:spacing w:after="80" w:before="80" w:line="360" w:lineRule="auto"/>
        <w:ind w:firstLine="480"/>
        <w:jc w:val="both"/>
      </w:pPr>
      <w:r>
        <w:rPr>
          <w:rFonts w:ascii="SimSun" w:cs="SimSun" w:eastAsia="SimSun" w:hAnsi="SimSun"/>
          <w:sz w:val="24"/>
          <w:szCs w:val="24"/>
        </w:rPr>
        <w:t xml:space="preserve">竞争风险缓解：加速数据积累与用户网络构建，在竞争对手规模化入场前建立先发优势。与怀柔科学城签订排他性条款，锁定核心资源。通过持续迭代与用户反馈形成算法层面的隐性护城河。</w:t>
      </w:r>
    </w:p>
    <w:p>
      <w:pPr>
        <w:spacing w:after="80" w:before="80" w:line="360" w:lineRule="auto"/>
        <w:ind w:firstLine="480"/>
        <w:jc w:val="both"/>
      </w:pPr>
      <w:r>
        <w:rPr>
          <w:rFonts w:ascii="SimSun" w:cs="SimSun" w:eastAsia="SimSun" w:hAnsi="SimSun"/>
          <w:sz w:val="24"/>
          <w:szCs w:val="24"/>
        </w:rPr>
        <w:t xml:space="preserve">政策风险缓解：业务布局多元化，不依赖单一政策来源。主动参与行业标准制定，提升在监管框架中的话语权。建立政策跟踪与预警机制，提前应对政策变化。</w:t>
      </w:r>
    </w:p>
    <w:p>
      <w:pPr>
        <w:spacing w:after="120" w:before="120"/>
      </w:pPr>
    </w:p>
    <w:p>
      <w:pPr>
        <w:pStyle w:val="Heading1"/>
        <w:spacing w:after="80" w:before="80" w:line="360" w:lineRule="auto"/>
        <w:jc w:val="both"/>
      </w:pPr>
      <w:r>
        <w:rPr>
          <w:rFonts w:ascii="SimHei" w:cs="SimHei" w:eastAsia="SimHei" w:hAnsi="SimHei"/>
          <w:b/>
          <w:bCs/>
          <w:sz w:val="30"/>
          <w:szCs w:val="30"/>
        </w:rPr>
        <w:t xml:space="preserve">第十章</w:t>
      </w:r>
      <w:r>
        <w:rPr>
          <w:rFonts w:ascii="Times New Roman" w:cs="Times New Roman" w:eastAsia="Times New Roman" w:hAnsi="Times New Roman"/>
          <w:b/>
          <w:bCs/>
          <w:sz w:val="30"/>
          <w:szCs w:val="30"/>
        </w:rPr>
        <w:t xml:space="preserve"> </w:t>
      </w:r>
      <w:r>
        <w:rPr>
          <w:rFonts w:ascii="SimHei" w:cs="SimHei" w:eastAsia="SimHei" w:hAnsi="SimHei"/>
          <w:b/>
          <w:bCs/>
          <w:sz w:val="30"/>
          <w:szCs w:val="30"/>
        </w:rPr>
        <w:t xml:space="preserve">结语与后续计划</w:t>
      </w:r>
    </w:p>
    <w:p>
      <w:pPr>
        <w:pStyle w:val="Heading2"/>
        <w:spacing w:after="80" w:before="80" w:line="360" w:lineRule="auto"/>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0</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综合评价</w:t>
      </w:r>
    </w:p>
    <w:p>
      <w:pPr>
        <w:spacing w:after="80" w:before="80" w:line="360" w:lineRule="auto"/>
        <w:ind w:firstLine="480"/>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SimSun" w:cs="SimSun" w:eastAsia="SimSun" w:hAnsi="SimSun"/>
          <w:sz w:val="24"/>
          <w:szCs w:val="24"/>
        </w:rPr>
        <w:t xml:space="preserve">赛乔项目在科技转化服务这一万亿级市场中占据了一个具有战略价值的切入位置。怀柔科学城科学家激励系统的独家运营权是当前阶段最核心的差异化资产，这一资源具备政府背书的稀缺性与一定的进入壁垒。项目试运营期间积累的</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余个孵化项目与</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余位创始人链接数据，初步验证了商业模式的可行性。</w:t>
      </w:r>
    </w:p>
    <w:p>
      <w:pPr>
        <w:spacing w:after="80" w:before="80" w:line="360" w:lineRule="auto"/>
        <w:ind w:firstLine="480"/>
        <w:jc w:val="both"/>
      </w:pPr>
      <w:r>
        <w:rPr>
          <w:rFonts w:ascii="SimSun" w:cs="SimSun" w:eastAsia="SimSun" w:hAnsi="SimSun"/>
          <w:sz w:val="24"/>
          <w:szCs w:val="24"/>
        </w:rPr>
        <w:t xml:space="preserve">但清醒的评估必须指出：技术先进性不等于商业可行性。</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技术本身不具备持久护城河，真正的壁垒在于垂直领域的数据积累、行业</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w</w:t>
      </w:r>
      <w:r>
        <w:rPr>
          <w:rFonts w:ascii="SimSun" w:cs="SimSun" w:eastAsia="SimSun" w:hAnsi="SimSun"/>
          <w:sz w:val="24"/>
          <w:szCs w:val="24"/>
        </w:rPr>
        <w:t xml:space="preserve">的嵌入、以及网络效应的形成。这些壁垒的构建需要时间与持续的资源投入，且存在被资金更充裕的竞争者追赶的可能。</w:t>
      </w:r>
    </w:p>
    <w:p>
      <w:pPr>
        <w:spacing w:after="80" w:before="80" w:line="360" w:lineRule="auto"/>
        <w:ind w:firstLine="480"/>
        <w:jc w:val="both"/>
      </w:pPr>
      <w:r>
        <w:rPr>
          <w:rFonts w:ascii="SimSun" w:cs="SimSun" w:eastAsia="SimSun" w:hAnsi="SimSun"/>
          <w:sz w:val="24"/>
          <w:szCs w:val="24"/>
        </w:rPr>
        <w:t xml:space="preserve">项目的核心不确定性在于：从怀柔科学城到全国科学城网络，从试运营到规模化运营的跨越能否顺利完成。这一跨越需要技术能力、组织能力、资本能力的三重支撑，任何一环的短板都可能导致整体战略的失败。</w:t>
      </w:r>
    </w:p>
    <w:p>
      <w:pPr>
        <w:pStyle w:val="Heading2"/>
        <w:spacing w:after="80" w:before="80" w:line="360" w:lineRule="auto"/>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0</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行动建议</w:t>
      </w:r>
    </w:p>
    <w:p>
      <w:pPr>
        <w:spacing w:after="80" w:before="80" w:line="360" w:lineRule="auto"/>
        <w:ind w:firstLine="480"/>
        <w:jc w:val="both"/>
      </w:pPr>
      <w:r>
        <w:rPr>
          <w:rFonts w:ascii="SimSun" w:cs="SimSun" w:eastAsia="SimSun" w:hAnsi="SimSun"/>
          <w:sz w:val="24"/>
          <w:szCs w:val="24"/>
        </w:rPr>
        <w:t xml:space="preserve">对投资者的分阶段验证建议：</w:t>
      </w:r>
    </w:p>
    <w:p>
      <w:pPr>
        <w:spacing w:after="80" w:before="80" w:line="360" w:lineRule="auto"/>
        <w:ind w:firstLine="480"/>
        <w:jc w:val="both"/>
      </w:pPr>
      <w:r>
        <w:rPr>
          <w:rFonts w:ascii="SimSun" w:cs="SimSun" w:eastAsia="SimSun" w:hAnsi="SimSun"/>
          <w:sz w:val="24"/>
          <w:szCs w:val="24"/>
        </w:rPr>
        <w:t xml:space="preserve">第一阶段（签署</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t</w:t>
      </w:r>
      <w:r>
        <w:rPr>
          <w:rFonts w:ascii="SimSun" w:cs="SimSun" w:eastAsia="SimSun" w:hAnsi="SimSun"/>
          <w:sz w:val="24"/>
          <w:szCs w:val="24"/>
        </w:rPr>
        <w:t xml:space="preserve">前）：要求项目方提供完整的工商登记信息、股权结构图谱、核心团队详细履历。核实怀柔科学城独家合作协议的具体条款，包括有效期、续签条件、排他性约定等。获取</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余个孵化项目的详细清单，随机抽取</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个项目进行穿透式尽调，核实项目真实性与平台实际贡献。</w:t>
      </w:r>
    </w:p>
    <w:p>
      <w:pPr>
        <w:spacing w:after="80" w:before="80" w:line="360" w:lineRule="auto"/>
        <w:ind w:firstLine="480"/>
        <w:jc w:val="both"/>
      </w:pPr>
      <w:r>
        <w:rPr>
          <w:rFonts w:ascii="SimSun" w:cs="SimSun" w:eastAsia="SimSun" w:hAnsi="SimSun"/>
          <w:sz w:val="24"/>
          <w:szCs w:val="24"/>
        </w:rPr>
        <w:t xml:space="preserve">第二阶段（尽职调查阶段）：委托第三方技术团队对</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匹配算法进行独立评估，包括算法逻辑审查、性能基准测试、风险点识别。对基石投资方的资信状况与资金到位的确定性进行核实。访谈</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位平台上的科学家用户与投资人用户，评估用户体验与满意度。</w:t>
      </w:r>
    </w:p>
    <w:p>
      <w:pPr>
        <w:spacing w:after="80" w:before="80" w:line="360" w:lineRule="auto"/>
        <w:ind w:firstLine="480"/>
        <w:jc w:val="both"/>
      </w:pPr>
      <w:r>
        <w:rPr>
          <w:rFonts w:ascii="SimSun" w:cs="SimSun" w:eastAsia="SimSun" w:hAnsi="SimSun"/>
          <w:sz w:val="24"/>
          <w:szCs w:val="24"/>
        </w:rPr>
        <w:t xml:space="preserve">第三阶段（投资决策前）：明确投资估值与股权比例的谈判区间。设计对赌条款与回购机制，保护投资方利益。约定关键的公司治理权利，包括董事会席位、一票否决权、信息披露义务等。</w:t>
      </w:r>
    </w:p>
    <w:p>
      <w:pPr>
        <w:spacing w:after="80" w:before="80" w:line="360" w:lineRule="auto"/>
        <w:ind w:firstLine="480"/>
        <w:jc w:val="both"/>
      </w:pPr>
      <w:r>
        <w:rPr>
          <w:rFonts w:ascii="SimSun" w:cs="SimSun" w:eastAsia="SimSun" w:hAnsi="SimSun"/>
          <w:sz w:val="24"/>
          <w:szCs w:val="24"/>
        </w:rPr>
        <w:t xml:space="preserve">对项目方的标准化与工程稳定性建议：</w:t>
      </w:r>
    </w:p>
    <w:p>
      <w:pPr>
        <w:spacing w:after="80" w:before="80" w:line="360" w:lineRule="auto"/>
        <w:ind w:firstLine="480"/>
        <w:jc w:val="both"/>
      </w:pPr>
      <w:r>
        <w:rPr>
          <w:rFonts w:ascii="SimSun" w:cs="SimSun" w:eastAsia="SimSun" w:hAnsi="SimSun"/>
          <w:sz w:val="24"/>
          <w:szCs w:val="24"/>
        </w:rPr>
        <w:t xml:space="preserve">建立数据质量标准化体系，制定科学家数据采集、更新、清洗的规范流程。提升技术评估报告的可解释性，确保用户理解</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I</w:t>
      </w:r>
      <w:r>
        <w:rPr>
          <w:rFonts w:ascii="SimSun" w:cs="SimSun" w:eastAsia="SimSun" w:hAnsi="SimSun"/>
          <w:sz w:val="24"/>
          <w:szCs w:val="24"/>
        </w:rPr>
        <w:t xml:space="preserve">输出的逻辑依据。构建客户成功团队，对高价值项目提供深度服务而非单纯依赖算法匹配。建立财务管理系统与运营指标追踪体系，为后续融资与</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O</w:t>
      </w:r>
      <w:r>
        <w:rPr>
          <w:rFonts w:ascii="SimSun" w:cs="SimSun" w:eastAsia="SimSun" w:hAnsi="SimSun"/>
          <w:sz w:val="24"/>
          <w:szCs w:val="24"/>
        </w:rPr>
        <w:t xml:space="preserve">做好准备。</w:t>
      </w:r>
    </w:p>
    <w:p>
      <w:pPr>
        <w:pStyle w:val="Heading2"/>
        <w:spacing w:after="80" w:before="80" w:line="360" w:lineRule="auto"/>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0</w:t>
      </w:r>
      <w:r>
        <w:rPr>
          <w:rFonts w:ascii="Times New Roman" w:cs="Times New Roman" w:eastAsia="Times New Roman" w:hAnsi="Times New Roman"/>
          <w:b/>
          <w:bCs/>
          <w:sz w:val="28"/>
          <w:szCs w:val="28"/>
        </w:rPr>
        <w:t xml:space="preserve">.</w:t>
      </w: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w:t>
      </w:r>
      <w:r>
        <w:rPr>
          <w:rFonts w:ascii="SimHei" w:cs="SimHei" w:eastAsia="SimHei" w:hAnsi="SimHei"/>
          <w:b/>
          <w:bCs/>
          <w:sz w:val="28"/>
          <w:szCs w:val="28"/>
        </w:rPr>
        <w:t xml:space="preserve">关键里程碑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时间节点</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里程碑指标</w:t>
            </w:r>
          </w:p>
        </w:tc>
        <w:tc>
          <w:tcPr>
            <w:tcBorders>
              <w:top w:val="single" w:sz="1"/>
              <w:left w:val="single" w:sz="1"/>
              <w:bottom w:val="single" w:sz="1"/>
              <w:right w:val="single" w:sz="1"/>
            </w:tcBorders>
          </w:tcPr>
          <w:p>
            <w:pPr>
              <w:jc w:val="center"/>
            </w:pPr>
            <w:r>
              <w:rPr>
                <w:rFonts w:ascii="SimHei" w:cs="SimHei" w:eastAsia="SimHei" w:hAnsi="SimHei"/>
                <w:b/>
                <w:bCs/>
                <w:sz w:val="24"/>
                <w:szCs w:val="24"/>
              </w:rPr>
              <w:t xml:space="preserve">可验证方式</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6</w:t>
            </w:r>
            <w:r>
              <w:rPr>
                <w:rFonts w:ascii="SimSun" w:cs="SimSun" w:eastAsia="SimSun" w:hAnsi="SimSun"/>
                <w:b w:val="false"/>
                <w:bCs w:val="false"/>
                <w:sz w:val="24"/>
                <w:szCs w:val="24"/>
              </w:rPr>
              <w:t xml:space="preserve">年</w:t>
            </w:r>
            <w:r>
              <w:rPr>
                <w:rFonts w:ascii="Times New Roman" w:cs="Times New Roman" w:eastAsia="Times New Roman" w:hAnsi="Times New Roman"/>
                <w:b w:val="false"/>
                <w:bCs w:val="false"/>
                <w:sz w:val="24"/>
                <w:szCs w:val="24"/>
              </w:rPr>
              <w:t xml:space="preserve">Q</w:t>
            </w:r>
            <w:r>
              <w:rPr>
                <w:rFonts w:ascii="Times New Roman" w:cs="Times New Roman" w:eastAsia="Times New Roman" w:hAnsi="Times New Roman"/>
                <w:b w:val="false"/>
                <w:bCs w:val="false"/>
                <w:sz w:val="24"/>
                <w:szCs w:val="24"/>
              </w:rPr>
              <w:t xml:space="preserve">3</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签署正式融资协议，基石投资方资金到账</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银行到账凭证、工商变更登记</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6</w:t>
            </w:r>
            <w:r>
              <w:rPr>
                <w:rFonts w:ascii="SimSun" w:cs="SimSun" w:eastAsia="SimSun" w:hAnsi="SimSun"/>
                <w:b w:val="false"/>
                <w:bCs w:val="false"/>
                <w:sz w:val="24"/>
                <w:szCs w:val="24"/>
              </w:rPr>
              <w:t xml:space="preserve">年</w:t>
            </w:r>
            <w:r>
              <w:rPr>
                <w:rFonts w:ascii="Times New Roman" w:cs="Times New Roman" w:eastAsia="Times New Roman" w:hAnsi="Times New Roman"/>
                <w:b w:val="false"/>
                <w:bCs w:val="false"/>
                <w:sz w:val="24"/>
                <w:szCs w:val="24"/>
              </w:rPr>
              <w:t xml:space="preserve">Q</w:t>
            </w:r>
            <w:r>
              <w:rPr>
                <w:rFonts w:ascii="Times New Roman" w:cs="Times New Roman" w:eastAsia="Times New Roman" w:hAnsi="Times New Roman"/>
                <w:b w:val="false"/>
                <w:bCs w:val="false"/>
                <w:sz w:val="24"/>
                <w:szCs w:val="24"/>
              </w:rPr>
              <w:t xml:space="preserve">4</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平台注册科学家数量突破</w:t>
            </w: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5</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人</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后台数据截图</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第三方审计</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7</w:t>
            </w:r>
            <w:r>
              <w:rPr>
                <w:rFonts w:ascii="SimSun" w:cs="SimSun" w:eastAsia="SimSun" w:hAnsi="SimSun"/>
                <w:b w:val="false"/>
                <w:bCs w:val="false"/>
                <w:sz w:val="24"/>
                <w:szCs w:val="24"/>
              </w:rPr>
              <w:t xml:space="preserve">年</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rPr>
              <w:t xml:space="preserve">1</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完成新一轮融资，估值达到</w:t>
            </w:r>
            <w:r>
              <w:rPr>
                <w:rFonts w:ascii="Times New Roman" w:cs="Times New Roman" w:eastAsia="Times New Roman" w:hAnsi="Times New Roman"/>
                <w:b w:val="false"/>
                <w:bCs w:val="false"/>
                <w:sz w:val="24"/>
                <w:szCs w:val="24"/>
              </w:rPr>
              <w:t xml:space="preserve">X</w:t>
            </w:r>
            <w:r>
              <w:rPr>
                <w:rFonts w:ascii="SimSun" w:cs="SimSun" w:eastAsia="SimSun" w:hAnsi="SimSun"/>
                <w:b w:val="false"/>
                <w:bCs w:val="false"/>
                <w:sz w:val="24"/>
                <w:szCs w:val="24"/>
              </w:rPr>
              <w:t xml:space="preserve">亿元</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融资公告</w:t>
            </w:r>
            <w:r>
              <w:rPr>
                <w:rFonts w:ascii="Times New Roman" w:cs="Times New Roman" w:eastAsia="Times New Roman" w:hAnsi="Times New Roman"/>
                <w:b w:val="false"/>
                <w:bCs w:val="false"/>
                <w:sz w:val="24"/>
                <w:szCs w:val="24"/>
              </w:rPr>
              <w:t xml:space="preserve">+</w:t>
            </w:r>
            <w:r>
              <w:rPr>
                <w:rFonts w:ascii="SimSun" w:cs="SimSun" w:eastAsia="SimSun" w:hAnsi="SimSun"/>
                <w:b w:val="false"/>
                <w:bCs w:val="false"/>
                <w:sz w:val="24"/>
                <w:szCs w:val="24"/>
              </w:rPr>
              <w:t xml:space="preserve">工商登记</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7</w:t>
            </w:r>
            <w:r>
              <w:rPr>
                <w:rFonts w:ascii="SimSun" w:cs="SimSun" w:eastAsia="SimSun" w:hAnsi="SimSun"/>
                <w:b w:val="false"/>
                <w:bCs w:val="false"/>
                <w:sz w:val="24"/>
                <w:szCs w:val="24"/>
              </w:rPr>
              <w:t xml:space="preserve">年</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rPr>
              <w:t xml:space="preserve">2</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实现月撮合项目数突破</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SimSun" w:cs="SimSun" w:eastAsia="SimSun" w:hAnsi="SimSun"/>
                <w:b w:val="false"/>
                <w:bCs w:val="false"/>
                <w:sz w:val="24"/>
                <w:szCs w:val="24"/>
              </w:rPr>
              <w:t xml:space="preserve">个</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平台运营数据报告</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8</w:t>
            </w:r>
            <w:r>
              <w:rPr>
                <w:rFonts w:ascii="SimSun" w:cs="SimSun" w:eastAsia="SimSun" w:hAnsi="SimSun"/>
                <w:b w:val="false"/>
                <w:bCs w:val="false"/>
                <w:sz w:val="24"/>
                <w:szCs w:val="24"/>
              </w:rPr>
              <w:t xml:space="preserve">年</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进入第二个科学城市场</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合作协议签署公告</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8</w:t>
            </w:r>
            <w:r>
              <w:rPr>
                <w:rFonts w:ascii="SimSun" w:cs="SimSun" w:eastAsia="SimSun" w:hAnsi="SimSun"/>
                <w:b w:val="false"/>
                <w:bCs w:val="false"/>
                <w:sz w:val="24"/>
                <w:szCs w:val="24"/>
              </w:rPr>
              <w:t xml:space="preserve">年</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实现营收过亿，盈亏平衡临近</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经审计财务报告</w:t>
            </w:r>
          </w:p>
        </w:tc>
      </w:tr>
      <w:tr>
        <w:tc>
          <w:tcPr>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9</w:t>
            </w:r>
            <w:r>
              <w:rPr>
                <w:rFonts w:ascii="SimSun" w:cs="SimSun" w:eastAsia="SimSun" w:hAnsi="SimSun"/>
                <w:b w:val="false"/>
                <w:bCs w:val="false"/>
                <w:sz w:val="24"/>
                <w:szCs w:val="24"/>
              </w:rPr>
              <w:t xml:space="preserve">年</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国际业务营收占比超过</w:t>
            </w:r>
            <w:r>
              <w:rPr>
                <w:rFonts w:ascii="Times New Roman" w:cs="Times New Roman" w:eastAsia="Times New Roman" w:hAnsi="Times New Roman"/>
                <w:b w:val="false"/>
                <w:bCs w:val="false"/>
                <w:sz w:val="24"/>
                <w:szCs w:val="24"/>
              </w:rPr>
              <w:t xml:space="preserve">3</w:t>
            </w:r>
            <w:r>
              <w:rPr>
                <w:rFonts w:ascii="Times New Roman" w:cs="Times New Roman" w:eastAsia="Times New Roman" w:hAnsi="Times New Roman"/>
                <w:b w:val="false"/>
                <w:bCs w:val="false"/>
                <w:sz w:val="24"/>
                <w:szCs w:val="24"/>
              </w:rPr>
              <w:t xml:space="preserve">0</w:t>
            </w:r>
            <w:r>
              <w:rPr>
                <w:rFonts w:ascii="Times New Roman" w:cs="Times New Roman" w:eastAsia="Times New Roman" w:hAnsi="Times New Roman"/>
                <w:b w:val="false"/>
                <w:bCs w:val="false"/>
                <w:sz w:val="24"/>
                <w:szCs w:val="24"/>
              </w:rPr>
              <w:t xml:space="preserve">%</w:t>
            </w:r>
          </w:p>
        </w:tc>
        <w:tc>
          <w:tcPr>
            <w:tcBorders>
              <w:top w:val="single" w:sz="1"/>
              <w:left w:val="single" w:sz="1"/>
              <w:bottom w:val="single" w:sz="1"/>
              <w:right w:val="single" w:sz="1"/>
            </w:tcBorders>
          </w:tcPr>
          <w:p>
            <w:pPr>
              <w:jc w:val="center"/>
            </w:pPr>
            <w:r>
              <w:rPr>
                <w:rFonts w:ascii="SimSun" w:cs="SimSun" w:eastAsia="SimSun" w:hAnsi="SimSun"/>
                <w:b w:val="false"/>
                <w:bCs w:val="false"/>
                <w:sz w:val="24"/>
                <w:szCs w:val="24"/>
              </w:rPr>
              <w:t xml:space="preserve">分部营收披露</w:t>
            </w:r>
          </w:p>
        </w:tc>
      </w:tr>
    </w:tbl>
    <w:p>
      <w:pPr>
        <w:spacing w:after="120" w:before="120"/>
      </w:pPr>
    </w:p>
    <w:p>
      <w:pPr>
        <w:pStyle w:val="Heading1"/>
        <w:spacing w:after="80" w:before="80" w:line="360" w:lineRule="auto"/>
        <w:jc w:val="both"/>
      </w:pPr>
      <w:r>
        <w:rPr>
          <w:rFonts w:ascii="SimHei" w:cs="SimHei" w:eastAsia="SimHei" w:hAnsi="SimHei"/>
          <w:b/>
          <w:bCs/>
          <w:sz w:val="30"/>
          <w:szCs w:val="30"/>
        </w:rPr>
        <w:t xml:space="preserve">参考文献</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国家自然科学基金委员会</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国家自然科学基金年度报告</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官方）</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北京市怀柔区人民政府</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怀柔科学城发展规划</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官方）</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科学技术部火炬高技术产业开发中心</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全国技术合同交易数据</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官方）</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中国科学院条件保障与财务局</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中国科学院怀柔科学城建设进展报告</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官方）</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全国人民代表大会常务委员会</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中华人民共和国促进科技成果转化法（</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SimSun" w:cs="SimSun" w:eastAsia="SimSun" w:hAnsi="SimSun"/>
          <w:sz w:val="24"/>
          <w:szCs w:val="24"/>
        </w:rPr>
        <w:t xml:space="preserve">年修正）</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（最高级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法律）</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国家科技成果转化引导基金</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子基金设立情况公告</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官方）</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u</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国际机构）</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清科研究中心</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中国创业投资年度统计报告</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研究机构）</w:t>
      </w:r>
    </w:p>
    <w:p>
      <w:pPr>
        <w:spacing w:after="80" w:before="80" w:line="360" w:lineRule="auto"/>
        <w:ind w:firstLine="48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麦肯锡全球研究院</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m</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l</w:t>
      </w:r>
      <w:r>
        <w:rPr>
          <w:rFonts w:ascii="Times New Roman" w:cs="Times New Roman" w:eastAsia="Times New Roman" w:hAnsi="Times New Roman"/>
          <w:sz w:val="24"/>
          <w:szCs w:val="24"/>
        </w:rPr>
        <w:t xml:space="preserve">o</w:t>
      </w: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级</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咨询机构）</w:t>
      </w:r>
    </w:p>
    <w:p>
      <w:pPr>
        <w:spacing w:after="120" w:before="120"/>
      </w:pPr>
    </w:p>
    <w:p>
      <w:pPr>
        <w:spacing w:after="80" w:before="80" w:line="360" w:lineRule="auto"/>
        <w:ind w:firstLine="480"/>
        <w:jc w:val="both"/>
      </w:pPr>
      <w:r>
        <w:rPr>
          <w:rFonts w:ascii="SimSun" w:cs="SimSun" w:eastAsia="SimSun" w:hAnsi="SimSun"/>
          <w:sz w:val="24"/>
          <w:szCs w:val="24"/>
        </w:rPr>
        <w:t xml:space="preserve">报告声明：本报告所引用数据除标注</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本报告分析估算</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外，其余均来源于公开渠道或项目方提供信息。报告内容仅代表本报告分析观点，不构成任何投资建议。投资者应根据自身风险承受能力进行独立判断。前瞻性陈述涉及固有不确定性，实际结果可能与陈述存在重大差异。</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2026-05-07T08:11:13.586Z</dcterms:created>
  <dcterms:modified xsi:type="dcterms:W3CDTF">2026-05-07T08:11:13.586Z</dcterms:modified>
</cp:coreProperties>
</file>

<file path=docProps/custom.xml><?xml version="1.0" encoding="utf-8"?>
<Properties xmlns="http://schemas.openxmlformats.org/officeDocument/2006/custom-properties" xmlns:vt="http://schemas.openxmlformats.org/officeDocument/2006/docPropsVTypes"/>
</file>