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Heading1"/>
      </w:pPr>
      <w:r>
        <w:t xml:space="preserve">Titre principal</w:t>
      </w:r>
    </w:p>
    <w:p>
      <w:pPr>
        <w:pStyle w:val="Heading2"/>
      </w:pPr>
      <w:r>
        <w:t xml:space="preserve">Le calcul étape par étape</w:t>
      </w:r>
    </w:p>
    <w:p>
      <w:r>
        <w:t xml:space="preserve">Pour chaque simulation de </w:t>
      </w:r>
      <w:r>
        <w:rPr>
          <w:b/>
        </w:rPr>
        <w:t xml:space="preserve">Modèle Climatique Global (GCM)</w:t>
      </w:r>
      <w:r>
        <w:t xml:space="preserve"> [1], on note </w:t>
      </w:r>
      <w:r>
        <w:rPr>
          <w:i/>
        </w:rPr>
        <w:t xml:space="preserve">en italique</w:t>
      </w:r>
      <w:r>
        <w:t xml:space="preserve"> et </w:t>
      </w:r>
      <w:r>
        <w:rPr>
          <w:b/>
          <w:i/>
        </w:rPr>
        <w:t xml:space="preserve">gras italique</w:t>
      </w:r>
      <w:r>
        <w:t xml:space="preserve">, avec </w:t>
      </w:r>
      <w:r>
        <w:rPr>
          <w:rFonts w:ascii="Consolas" w:hAnsi="Consolas" w:cs="Consolas"/>
          <w:shd w:val="clear" w:color="auto" w:fill="F2F2F2"/>
        </w:rPr>
        <w:t xml:space="preserve">code</w:t>
      </w:r>
      <w:r>
        <w:t xml:space="preserve"> et un </w:t>
      </w:r>
      <w:hyperlink r:id="rIdL1" w:history="1">
        <w:r>
          <w:rPr>
            <w:rStyle w:val="Hyperlink"/>
          </w:rPr>
          <w:t xml:space="preserve">lien</w:t>
        </w:r>
      </w:hyperlink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Hausse relative (</w:t>
      </w:r>
      <m:oMath>
        <m:r>
          <m:rPr>
            <m:sty m:val="p"/>
          </m:rP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99.5</m:t>
            </m:r>
          </m:sub>
        </m:sSub>
      </m:oMath>
      <w:r>
        <w:rPr>
          <w:b/>
        </w:rPr>
        <w:t xml:space="preserve"> en %)</w:t>
      </w:r>
      <w:r>
        <w:t xml:space="preserve"> : texte.</w:t>
      </w:r>
    </w:p>
    <w:p>
      <w:pPr>
        <w:pStyle w:val="Equatio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99.5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%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99.5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nor/>
                    </m:rPr>
                    <m:t xml:space="preserve">futur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99.5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nor/>
                    </m:rPr>
                    <m:t xml:space="preserve">historique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99.5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nor/>
                    </m:rPr>
                    <m:t xml:space="preserve">historique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100</m:t>
          </m:r>
        </m:oMath>
      </m:oMathPara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Réchauffement (</w:t>
      </w:r>
      <m:oMath>
        <m:r>
          <m:rPr>
            <m:sty m:val="p"/>
          </m:rP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T</m:t>
        </m:r>
      </m:oMath>
      <w:r>
        <w:rPr>
          <w:b/>
        </w:rPr>
        <w:t xml:space="preserve"> en °C)</w:t>
      </w:r>
      <w:r>
        <w:t xml:space="preserve"> :</w:t>
      </w:r>
    </w:p>
    <w:p>
      <w:pPr>
        <w:pStyle w:val="ListParagraph"/>
        <w:numPr>
          <w:ilvl w:val="1"/>
          <w:numId w:val="2"/>
        </w:numPr>
      </w:pPr>
      <w:r>
        <w:t xml:space="preserve">sous-point avec </w:t>
      </w:r>
      <m:oMath>
        <m:r>
          <w:rPr>
            <w:rFonts w:ascii="Cambria Math" w:hAnsi="Cambria Math"/>
          </w:rPr>
          <m:t xml:space="preserve">α</m:t>
        </m:r>
        <m:r>
          <m:rPr>
            <m:sty m:val="p"/>
          </m:rP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 </m:t>
        </m:r>
        <m:r>
          <w:rPr>
            <w:rFonts w:ascii="Cambria Math" w:hAnsi="Cambria Math"/>
          </w:rPr>
          <m:t xml:space="preserve">%</m:t>
        </m:r>
      </m:oMath>
    </w:p>
    <w:p>
      <w:pPr>
        <w:pStyle w:val="ListParagraph"/>
        <w:numPr>
          <w:ilvl w:val="1"/>
          <w:numId w:val="2"/>
        </w:numPr>
      </w:pPr>
      <w:r>
        <w:t xml:space="preserve">autre sous-point</w:t>
      </w:r>
    </w:p>
    <w:p>
      <w:pPr>
        <w:pStyle w:val="ListParagraph"/>
        <w:numPr>
          <w:ilvl w:val="2"/>
          <w:numId w:val="3"/>
        </w:numPr>
      </w:pPr>
      <w:r>
        <w:t xml:space="preserve">niveau trois</w:t>
      </w:r>
    </w:p>
    <w:p>
      <w:pPr>
        <w:pStyle w:val="Equation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T</m:t>
          </m:r>
          <m:d>
            <m:dPr>
              <m:begChr m:val="("/>
              <m:endChr m:val=")"/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°</m:t>
              </m:r>
              <m:r>
                <m:rPr>
                  <m:nor/>
                </m:rPr>
                <m:t xml:space="preserve"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nor/>
                </m:rPr>
                <m:t xml:space="preserve">futur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nor/>
                </m:rPr>
                <m:t xml:space="preserve">historique</m:t>
              </m:r>
            </m:sub>
          </m:sSub>
        </m:oMath>
      </m:oMathPara>
    </w:p>
    <w:p>
      <w:r>
        <w:t xml:space="preserve">Le prix est de 5 $ et 10 $ pour deux unités (pas une équation).</w:t>
      </w:r>
    </w:p>
    <w:p>
      <w:r>
        <w:t xml:space="preserve">Une équation centrée au milieu du texte :</w:t>
      </w:r>
    </w:p>
    <w:p>
      <w:pPr>
        <w:pStyle w:val="Equatio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E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m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r>
        <w:t xml:space="preserve">puis la suite du paragraphe.</w:t>
      </w:r>
    </w:p>
    <w:p>
      <w:pPr>
        <w:pStyle w:val="Equation"/>
      </w:pPr>
      <m:oMathPara>
        <m:oMathParaPr>
          <m:jc m:val="center"/>
        </m:oMathParaPr>
        <m:oMath>
          <m:r>
            <m:rPr>
              <m:nor/>
            </m:rPr>
            <m:t xml:space="preserve">Pente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 xml:space="preserve">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3,0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r>
            <m:rPr>
              <m:sty m:val="b"/>
            </m:rPr>
            <w:rPr>
              <w:rFonts w:ascii="Cambria Math" w:hAnsi="Cambria Math"/>
            </w:rPr>
            <m:t xml:space="preserve">2,0</m:t>
          </m:r>
          <m:r>
            <m:rPr>
              <m:nor/>
            </m:rPr>
            <m:t xml:space="preserve"> mm/jour par </m:t>
          </m:r>
          <m:r>
            <m:rPr>
              <m:sty m:val="p"/>
            </m:rPr>
            <w:rPr>
              <w:rFonts w:ascii="Cambria Math" w:hAnsi="Cambria Math"/>
            </w:rPr>
            <m:t xml:space="preserve">°</m:t>
          </m:r>
          <m:r>
            <m:rPr>
              <m:nor/>
            </m:rPr>
            <m:t xml:space="preserve">C</m:t>
          </m:r>
        </m:oMath>
      </m:oMathPara>
    </w:p>
    <w:p>
      <w:pPr>
        <w:pStyle w:val="Equation"/>
      </w:pPr>
      <m:oMathPara>
        <m:oMathParaPr>
          <m:jc m:val="center"/>
        </m:oMathParaPr>
        <m:oMath>
          <m:d>
            <m:dPr>
              <m:begChr m:val="("/>
              <m:endChr m:val=")"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 </m:t>
          </m:r>
          <m:r>
            <w:rPr>
              <w:rFonts w:ascii="Cambria Math" w:hAnsi="Cambria Math"/>
            </w:rPr>
            <m:t xml:space="preserve">x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&gt;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m:rPr>
                        <m:nor/>
                      </m:rPr>
                      <m:t xml:space="preserve">sinon</m:t>
                    </m:r>
                  </m:e>
                </m:mr>
              </m:m>
            </m:e>
          </m:d>
        </m:oMath>
      </m:oMathPara>
    </w:p>
    <w:p>
      <w:pPr>
        <w:pStyle w:val="Equation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c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</m:t>
                </m:r>
                <m:nary>
                  <m:naryPr>
                    <m:chr m:val="∫"/>
                    <m:limLoc m:val="subSup"/>
                  </m:naryPr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∞</m:t>
                    </m:r>
                  </m:sup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 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nary>
              </m:e>
            </m:mr>
          </m:m>
        </m:oMath>
      </m:oMathPara>
    </w:p>
    <w:p>
      <w:pPr>
        <w:pStyle w:val="Equation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lim</m:t>
              </m:r>
            </m:e>
            <m:lim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∞</m:t>
              </m:r>
            </m:lim>
          </m:limLow>
          <m:r>
            <w:rPr>
              <w:rFonts w:ascii="Cambria Math" w:hAnsi="Cambria Math"/>
            </w:rPr>
            <m:t xml:space="preserve"> 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nary>
            <m:naryPr>
              <m:chr m:val="∏"/>
              <m:limLoc m:val="undOvr"/>
            </m:naryPr>
            <m:sub>
              <m:r>
                <w:rPr>
                  <w:rFonts w:ascii="Cambria Math" w:hAnsi="Cambria Math"/>
                </w:rPr>
                <m:t xml:space="preserve"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K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  </m:t>
          </m:r>
          <m:acc>
            <m:accPr>
              <m:chr m:val="̂"/>
            </m:accPr>
            <m:e>
              <m:r>
                <w:rPr>
                  <w:rFonts w:ascii="Cambria Math" w:hAnsi="Cambria Math"/>
                </w:rPr>
                <m:t xml:space="preserve"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acc>
            <m:accPr>
              <m:chr m:val="̅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B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rad>
            <m:radPr/>
            <m:deg>
              <m:r>
                <w:rPr>
                  <w:rFonts w:ascii="Cambria Math" w:hAnsi="Cambria Math"/>
                </w:rPr>
                <m:t xml:space="preserve">3</m:t>
              </m:r>
            </m:deg>
            <m:e>
              <m:r>
                <w:rPr>
                  <w:rFonts w:ascii="Cambria Math" w:hAnsi="Cambria Math"/>
                </w:rPr>
                <m:t xml:space="preserve">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f>
                <m:fPr>
                  <m:type m:val="noBar"/>
                </m:fPr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</m:e>
          </m:d>
        </m:oMath>
      </m:oMathPara>
    </w:p>
    <w:p>
      <w:pPr>
        <w:pStyle w:val="Equation"/>
      </w:pPr>
      <m:oMathPara>
        <m:oMathParaPr>
          <m:jc m:val="center"/>
        </m:oMathParaPr>
        <m:oMath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 xml:space="preserve">n</m:t>
              </m:r>
            </m:lim>
          </m:limUpp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limLow>
            <m:e>
              <m:groupChr>
                <m:groupChrPr>
                  <m:chr m:val="⏟"/>
                  <m:pos m:val="bot"/>
                  <m:vertJc m:val="top"/>
                </m:groupChr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 xml:space="preserve">m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ℝ</m:t>
          </m:r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ℒ</m:t>
          </m:r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borderBox>
            <m:borderBoxPr>
              <m:hideTop m:val="1"/>
              <m:hideBot m:val="1"/>
              <m:hideLeft m:val="1"/>
              <m:hideRight m:val="1"/>
              <m:strikeBLTR m:val="1"/>
            </m:borderBoxPr>
            <m:e>
              <m:r>
                <w:rPr>
                  <w:rFonts w:ascii="Cambria Math" w:hAnsi="Cambria Math"/>
                </w:rPr>
                <m:t xml:space="preserve">y</m:t>
              </m:r>
            </m:e>
          </m:borderBox>
        </m:oMath>
      </m:oMathPara>
    </w:p>
    <w:p>
      <w:pPr>
        <w:pStyle w:val="Equation"/>
      </w:pPr>
      <w:r>
        <w:rPr>
          <w:color w:val="C00000"/>
        </w:rPr>
        <w:t xml:space="preserve">\text{erreur volontaire } \frac{a}{</w:t>
      </w:r>
    </w:p>
    <w:p>
      <w:pPr>
        <w:pStyle w:val="Quote"/>
      </w:pPr>
      <w:r>
        <w:t xml:space="preserve">Une citation en bloc avec </w:t>
      </w:r>
      <m:oMath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.</w:t>
      </w:r>
    </w:p>
    <w:p>
      <w:r>
        <w:t xml:space="preserve">Gras en maths : </w:t>
      </w:r>
      <m:oMath>
        <m:r>
          <m:rPr>
            <m:nor/>
          </m:rPr>
          <w:rPr>
            <w:b/>
          </w:rPr>
          <m:t xml:space="preserve">gras</m:t>
        </m:r>
        <m:r>
          <m:rPr>
            <m:sty m:val="p"/>
          </m:rPr>
          <w:rPr>
            <w:rFonts w:ascii="Cambria Math" w:hAnsi="Cambria Math"/>
          </w:rPr>
          <m:t xml:space="preserve">+</m:t>
        </m:r>
        <m:r>
          <m:rPr>
            <m:sty m:val="b"/>
          </m:rPr>
          <w:rPr>
            <w:rFonts w:ascii="Cambria Math" w:hAnsi="Cambria Math"/>
          </w:rPr>
          <m:t xml:space="preserve">x</m:t>
        </m:r>
        <m:r>
          <m:rPr>
            <m:sty m:val="p"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𝜶</m:t>
        </m:r>
        <m:r>
          <m:rPr>
            <m:sty m:val="p"/>
          </m:rPr>
          <w:rPr>
            <w:rFonts w:ascii="Cambria Math" w:hAnsi="Cambria Math"/>
          </w:rPr>
          <m:t xml:space="preserve">+</m:t>
        </m:r>
        <m:r>
          <m:rPr>
            <m:sty m:val="p"/>
          </m:rP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x</m:t>
        </m:r>
        <m:r>
          <m:rPr>
            <m:sty m:val="p"/>
          </m:rPr>
          <w:rPr>
            <w:rFonts w:ascii="Cambria Math" w:hAnsi="Cambria Math"/>
          </w:rPr>
          <m:t xml:space="preserve">+</m:t>
        </m:r>
        <m:r>
          <m:rPr>
            <m:sty m:val="b"/>
          </m:rPr>
          <w:rPr>
            <w:rFonts w:ascii="Cambria Math" w:hAnsi="Cambria Math"/>
          </w:rPr>
          <m:t xml:space="preserve">12</m:t>
        </m:r>
      </m:oMath>
      <w:r>
        <w:t xml:space="preserve"> et coût </w:t>
      </w:r>
      <m:oMath>
        <m:r>
          <w:rPr>
            <w:rFonts w:ascii="Cambria Math" w:hAnsi="Cambria Math"/>
          </w:rPr>
          <m:t xml:space="preserve">$</m:t>
        </m:r>
        <m:r>
          <w:rPr>
            <w:rFonts w:ascii="Cambria Math" w:hAnsi="Cambria Math"/>
          </w:rPr>
          <m:t xml:space="preserve">5</m:t>
        </m:r>
      </m:oMath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liste qui commence à 5</w:t>
      </w:r>
    </w:p>
    <w:p>
      <w:pPr>
        <w:pStyle w:val="ListParagraph"/>
        <w:numPr>
          <w:ilvl w:val="0"/>
          <w:numId w:val="4"/>
        </w:numPr>
      </w:pPr>
      <w:r>
        <w:t xml:space="preserve">suite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7EEF7"/>
          </w:tcPr>
          <w:p>
            <w:pPr>
              <w:spacing w:after="0"/>
            </w:pPr>
            <w:r>
              <w:rPr>
                <w:b/>
              </w:rPr>
              <w:t xml:space="preserve">Indicateur</w:t>
            </w:r>
          </w:p>
        </w:tc>
        <w:tc>
          <w:tcPr>
            <w:tcW w:w="4500" w:type="dxa"/>
            <w:shd w:val="clear" w:color="auto" w:fill="E7EEF7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Formule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RMSE</w:t>
            </w:r>
          </w:p>
        </w:tc>
        <w:tc>
          <w:tcPr>
            <w:tcW w:w="4500" w:type="dxa"/>
          </w:tcPr>
          <w:p>
            <w:pPr>
              <w:spacing w:after="0"/>
              <w:jc w:val="center"/>
            </w:pPr>
            <m:oMath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den>
                  </m:f>
                  <m:nary>
                    <m:naryPr>
                      <m:chr m:val="∑"/>
                      <m:limLoc m:val="subSup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e>
                  </m:nary>
                </m:e>
              </m:rad>
            </m:oMath>
          </w:p>
        </w:tc>
      </w:tr>
    </w:tbl>
    <w:p>
      <w:pPr>
        <w:spacing w:after="0"/>
      </w:pPr>
    </w:p>
    <w:p>
      <w:pPr>
        <w:pStyle w:val="CodeBlock"/>
      </w:pPr>
      <w:r>
        <w:t xml:space="preserve">code brut $x$</w:t>
      </w:r>
    </w:p>
    <w:p>
      <w:pPr>
        <w:pBdr>
          <w:bottom w:val="single" w:sz="6" w:space="1" w:color="A0A0A0"/>
        </w:pBdr>
      </w:pPr>
    </w:p>
    <w:p>
      <w:r>
        <w:t xml:space="preserve">Fin.</w:t>
      </w:r>
    </w:p>
    <w:sectPr>
      <w:pgSz w:w="11906" w:h="16838"/>
      <w:pgMar w:top="1417" w:right="1417" w:bottom="1417" w:left="1417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1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  <w:sz w:val="16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hAnsi="Arial" w:hint="default"/>
        <w:sz w:val="16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Arial" w:hAnsi="Arial" w:hint="default"/>
        <w:sz w:val="16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Arial" w:hAnsi="Arial" w:hint="default"/>
        <w:sz w:val="16"/>
      </w:rPr>
    </w:lvl>
    <w:lvl w:ilvl="4">
      <w:start w:val="1"/>
      <w:numFmt w:val="bullet"/>
      <w:lvlText w:val="○"/>
      <w:lvlJc w:val="left"/>
      <w:pPr>
        <w:ind w:left="2160" w:hanging="360"/>
      </w:pPr>
      <w:rPr>
        <w:rFonts w:ascii="Arial" w:hAnsi="Arial" w:hint="default"/>
        <w:sz w:val="16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Arial" w:hAnsi="Arial" w:hint="default"/>
        <w:sz w:val="16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Arial" w:hAnsi="Arial" w:hint="default"/>
        <w:sz w:val="16"/>
      </w:rPr>
    </w:lvl>
    <w:lvl w:ilvl="7">
      <w:start w:val="1"/>
      <w:numFmt w:val="bullet"/>
      <w:lvlText w:val="○"/>
      <w:lvlJc w:val="left"/>
      <w:pPr>
        <w:ind w:left="3240" w:hanging="360"/>
      </w:pPr>
      <w:rPr>
        <w:rFonts w:ascii="Arial" w:hAnsi="Arial" w:hint="default"/>
        <w:sz w:val="16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Arial" w:hAnsi="Arial" w:hint="default"/>
        <w:sz w:val="16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160" w:hanging="360"/>
      </w:pPr>
    </w:lvl>
    <w:lvl w:ilvl="5">
      <w:start w:val="1"/>
      <w:numFmt w:val="lowerRoman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sz w:val="24"/>
        <w:szCs w:val="24"/>
        <w:lang w:val="fr-FR" w:eastAsia="en-US" w:bidi="ar-SA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jc w:val="left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120"/>
      <w:jc w:val="left"/>
      <w:outlineLvl w:val="1"/>
    </w:pPr>
    <w:rPr>
      <w:b/>
      <w:color w:val="1F3864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120"/>
      <w:jc w:val="left"/>
      <w:outlineLvl w:val="2"/>
    </w:pPr>
    <w:rPr>
      <w:b/>
      <w:color w:val="1F3864"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120"/>
      <w:jc w:val="left"/>
      <w:outlineLvl w:val="3"/>
    </w:pPr>
    <w:rPr>
      <w:b/>
      <w:color w:val="2F5496"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40" w:after="120"/>
      <w:jc w:val="left"/>
      <w:outlineLvl w:val="4"/>
    </w:pPr>
    <w:rPr>
      <w:b/>
      <w:color w:val="2F5496"/>
      <w:sz w:val="24"/>
      <w:szCs w:val="24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40" w:after="120"/>
      <w:jc w:val="left"/>
      <w:outlineLvl w:val="5"/>
    </w:pPr>
    <w:rPr>
      <w:b/>
      <w:color w:val="2F5496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60"/>
      <w:ind w:left="720"/>
      <w:contextualSpacing/>
    </w:pPr>
  </w:style>
  <w:style w:type="paragraph" w:styleId="Quote">
    <w:name w:val="Quote"/>
    <w:basedOn w:val="Normal"/>
    <w:next w:val="Normal"/>
    <w:uiPriority w:val="29"/>
    <w:qFormat/>
    <w:pPr>
      <w:pBdr>
        <w:left w:val="single" w:sz="18" w:space="8" w:color="A5B4C8"/>
      </w:pBdr>
      <w:ind w:left="567" w:right="567"/>
    </w:pPr>
    <w:rPr>
      <w:i/>
      <w:color w:val="404040"/>
    </w:rPr>
  </w:style>
  <w:style w:type="paragraph" w:styleId="Equation">
    <w:name w:val="Équation"/>
    <w:basedOn w:val="Normal"/>
    <w:qFormat/>
    <w:pPr>
      <w:spacing w:before="120" w:after="120"/>
      <w:jc w:val="center"/>
    </w:pPr>
  </w:style>
  <w:style w:type="paragraph" w:styleId="CodeBlock">
    <w:name w:val="Code"/>
    <w:basedOn w:val="Normal"/>
    <w:pPr>
      <w:shd w:val="clear" w:color="auto" w:fill="F2F2F2"/>
      <w:spacing w:after="0" w:line="240" w:lineRule="auto"/>
      <w:jc w:val="left"/>
    </w:pPr>
    <w:rPr>
      <w:rFonts w:ascii="Consolas" w:hAnsi="Consolas" w:cs="Consolas"/>
      <w:sz w:val="19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L1" Type="http://schemas.openxmlformats.org/officeDocument/2006/relationships/hyperlink" Target="https://example.or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Texte converti</dc:title>
  <dc:creator>MD vers Word</dc:creator>
  <dcterms:created xsi:type="dcterms:W3CDTF">2026-10-24T18:12:50Z</dcterms:created>
</cp:coreProperties>
</file>