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105F5" w14:textId="0F67D1B0" w:rsidR="00B377CE" w:rsidRDefault="00B377CE" w:rsidP="00B377CE">
      <w:r>
        <w:t xml:space="preserve">Three sources of difference between ADCPs and drifters: 1) heterogeneity in grid cell, 2) surface vs depth-averaged measurements, 3) influence of </w:t>
      </w:r>
      <w:proofErr w:type="spellStart"/>
      <w:r>
        <w:t>Stoke’s</w:t>
      </w:r>
      <w:proofErr w:type="spellEnd"/>
      <w:r>
        <w:t xml:space="preserve"> Drift on drifters.</w:t>
      </w:r>
      <w:bookmarkStart w:id="0" w:name="_GoBack"/>
      <w:bookmarkEnd w:id="0"/>
    </w:p>
    <w:p w14:paraId="764E6510" w14:textId="77777777" w:rsidR="00B377CE" w:rsidRDefault="00B377CE" w:rsidP="00F652E8">
      <w:pPr>
        <w:ind w:firstLine="720"/>
      </w:pPr>
    </w:p>
    <w:p w14:paraId="194D55BB" w14:textId="77777777" w:rsidR="00575AFD" w:rsidRDefault="002F05B2" w:rsidP="00F652E8">
      <w:pPr>
        <w:ind w:firstLine="720"/>
      </w:pPr>
      <w:r>
        <w:t xml:space="preserve">In shallow water, at depth z, </w:t>
      </w:r>
      <w:proofErr w:type="spellStart"/>
      <w:r>
        <w:t>Stoke’s</w:t>
      </w:r>
      <w:proofErr w:type="spellEnd"/>
      <w:r>
        <w:t xml:space="preserve"> Drift in the direction of wave propagation is calculated</w:t>
      </w:r>
    </w:p>
    <w:tbl>
      <w:tblPr>
        <w:tblStyle w:val="TableGrid"/>
        <w:tblW w:w="9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2379"/>
        <w:gridCol w:w="1547"/>
      </w:tblGrid>
      <w:tr w:rsidR="002F05B2" w14:paraId="180B1310" w14:textId="77777777" w:rsidTr="0005170A">
        <w:tc>
          <w:tcPr>
            <w:tcW w:w="5670" w:type="dxa"/>
          </w:tcPr>
          <w:p w14:paraId="46DEB05D" w14:textId="77777777" w:rsidR="002F05B2" w:rsidRDefault="000A252B">
            <m:oMathPara>
              <m:oMath>
                <m:sSub>
                  <m:sSubPr>
                    <m:ctrlPr>
                      <w:rPr>
                        <w:rFonts w:ascii="Cambria Math" w:hAnsi="Cambria Math"/>
                        <w:i/>
                      </w:rPr>
                    </m:ctrlPr>
                  </m:sSubPr>
                  <m:e>
                    <m:r>
                      <w:rPr>
                        <w:rFonts w:ascii="Cambria Math" w:hAnsi="Cambria Math"/>
                      </w:rPr>
                      <m:t>U</m:t>
                    </m:r>
                  </m:e>
                  <m:sub>
                    <m:r>
                      <w:rPr>
                        <w:rFonts w:ascii="Cambria Math" w:hAnsi="Cambria Math"/>
                      </w:rPr>
                      <m:t>Stoke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πH</m:t>
                            </m:r>
                          </m:num>
                          <m:den>
                            <m:r>
                              <w:rPr>
                                <w:rFonts w:ascii="Cambria Math" w:hAnsi="Cambria Math"/>
                              </w:rPr>
                              <m:t>L</m:t>
                            </m:r>
                          </m:den>
                        </m:f>
                      </m:e>
                    </m:d>
                  </m:e>
                  <m:sup>
                    <m:r>
                      <w:rPr>
                        <w:rFonts w:ascii="Cambria Math" w:hAnsi="Cambria Math"/>
                      </w:rPr>
                      <m:t>2</m:t>
                    </m:r>
                  </m:sup>
                </m:sSup>
                <m:r>
                  <w:rPr>
                    <w:rFonts w:ascii="Cambria Math" w:hAnsi="Cambria Math"/>
                  </w:rPr>
                  <m:t xml:space="preserve"> c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h (</m:t>
                        </m:r>
                        <m:r>
                          <w:rPr>
                            <w:rFonts w:ascii="Cambria Math" w:hAnsi="Cambria Math"/>
                          </w:rPr>
                          <m:t>2</m:t>
                        </m:r>
                        <m:d>
                          <m:dPr>
                            <m:ctrlPr>
                              <w:rPr>
                                <w:rFonts w:ascii="Cambria Math" w:hAnsi="Cambria Math"/>
                                <w:i/>
                              </w:rPr>
                            </m:ctrlPr>
                          </m:dPr>
                          <m:e>
                            <m:r>
                              <w:rPr>
                                <w:rFonts w:ascii="Cambria Math" w:hAnsi="Cambria Math"/>
                              </w:rPr>
                              <m:t>h-z</m:t>
                            </m:r>
                          </m:e>
                        </m:d>
                        <m:f>
                          <m:fPr>
                            <m:ctrlPr>
                              <w:rPr>
                                <w:rFonts w:ascii="Cambria Math" w:hAnsi="Cambria Math"/>
                                <w:i/>
                              </w:rPr>
                            </m:ctrlPr>
                          </m:fPr>
                          <m:num>
                            <m:r>
                              <w:rPr>
                                <w:rFonts w:ascii="Cambria Math" w:hAnsi="Cambria Math"/>
                              </w:rPr>
                              <m:t>2π</m:t>
                            </m:r>
                          </m:num>
                          <m:den>
                            <m:r>
                              <w:rPr>
                                <w:rFonts w:ascii="Cambria Math" w:hAnsi="Cambria Math"/>
                              </w:rPr>
                              <m:t>L</m:t>
                            </m:r>
                          </m:den>
                        </m:f>
                        <m:r>
                          <w:rPr>
                            <w:rFonts w:ascii="Cambria Math" w:hAnsi="Cambria Math"/>
                          </w:rPr>
                          <m:t>)</m:t>
                        </m:r>
                      </m:e>
                    </m:func>
                  </m:num>
                  <m:den>
                    <m:func>
                      <m:funcPr>
                        <m:ctrlPr>
                          <w:rPr>
                            <w:rFonts w:ascii="Cambria Math" w:hAnsi="Cambria Math"/>
                            <w:i/>
                          </w:rPr>
                        </m:ctrlPr>
                      </m:funcPr>
                      <m:fName>
                        <m:r>
                          <m:rPr>
                            <m:sty m:val="p"/>
                          </m:rPr>
                          <w:rPr>
                            <w:rFonts w:ascii="Cambria Math" w:hAnsi="Cambria Math"/>
                          </w:rPr>
                          <m:t>sin</m:t>
                        </m:r>
                      </m:fName>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2πh</m:t>
                            </m:r>
                          </m:num>
                          <m:den>
                            <m:r>
                              <w:rPr>
                                <w:rFonts w:ascii="Cambria Math" w:hAnsi="Cambria Math"/>
                              </w:rPr>
                              <m:t>L</m:t>
                            </m:r>
                          </m:den>
                        </m:f>
                        <m:r>
                          <w:rPr>
                            <w:rFonts w:ascii="Cambria Math" w:hAnsi="Cambria Math"/>
                          </w:rPr>
                          <m:t>)</m:t>
                        </m:r>
                      </m:e>
                    </m:func>
                  </m:den>
                </m:f>
              </m:oMath>
            </m:oMathPara>
          </w:p>
        </w:tc>
        <w:tc>
          <w:tcPr>
            <w:tcW w:w="2379" w:type="dxa"/>
          </w:tcPr>
          <w:p w14:paraId="6820B9EC" w14:textId="77777777" w:rsidR="002F05B2" w:rsidRDefault="0005170A" w:rsidP="0005170A">
            <m:oMathPara>
              <m:oMath>
                <m:r>
                  <w:rPr>
                    <w:rFonts w:ascii="Cambria Math" w:hAnsi="Cambria Math"/>
                  </w:rPr>
                  <m:t>depth ≤</m:t>
                </m:r>
                <m:f>
                  <m:fPr>
                    <m:ctrlPr>
                      <w:rPr>
                        <w:rFonts w:ascii="Cambria Math" w:hAnsi="Cambria Math"/>
                        <w:i/>
                      </w:rPr>
                    </m:ctrlPr>
                  </m:fPr>
                  <m:num>
                    <m:r>
                      <w:rPr>
                        <w:rFonts w:ascii="Cambria Math" w:hAnsi="Cambria Math"/>
                      </w:rPr>
                      <m:t>L</m:t>
                    </m:r>
                  </m:num>
                  <m:den>
                    <m:r>
                      <w:rPr>
                        <w:rFonts w:ascii="Cambria Math" w:hAnsi="Cambria Math"/>
                      </w:rPr>
                      <m:t>20</m:t>
                    </m:r>
                  </m:den>
                </m:f>
              </m:oMath>
            </m:oMathPara>
          </w:p>
        </w:tc>
        <w:tc>
          <w:tcPr>
            <w:tcW w:w="1547" w:type="dxa"/>
          </w:tcPr>
          <w:p w14:paraId="4A898047" w14:textId="77777777" w:rsidR="002F05B2" w:rsidRDefault="002F05B2"/>
        </w:tc>
      </w:tr>
      <w:tr w:rsidR="002F05B2" w14:paraId="6C3E97CC" w14:textId="77777777" w:rsidTr="0005170A">
        <w:tc>
          <w:tcPr>
            <w:tcW w:w="9596" w:type="dxa"/>
            <w:gridSpan w:val="3"/>
          </w:tcPr>
          <w:p w14:paraId="7BE71C88" w14:textId="1ED2216F" w:rsidR="002F05B2" w:rsidRDefault="002F05B2" w:rsidP="002F05B2">
            <w:pPr>
              <w:tabs>
                <w:tab w:val="left" w:pos="7590"/>
              </w:tabs>
            </w:pPr>
            <w:proofErr w:type="gramStart"/>
            <w:r>
              <w:t>where</w:t>
            </w:r>
            <w:proofErr w:type="gramEnd"/>
            <w:r>
              <w:t xml:space="preserve"> </w:t>
            </w:r>
            <w:proofErr w:type="spellStart"/>
            <w:r w:rsidRPr="002F05B2">
              <w:rPr>
                <w:i/>
              </w:rPr>
              <w:t>U</w:t>
            </w:r>
            <w:r w:rsidRPr="002F05B2">
              <w:rPr>
                <w:i/>
                <w:vertAlign w:val="subscript"/>
              </w:rPr>
              <w:t>Stoke</w:t>
            </w:r>
            <w:proofErr w:type="spellEnd"/>
            <w:r>
              <w:t xml:space="preserve"> is </w:t>
            </w:r>
            <w:proofErr w:type="spellStart"/>
            <w:r>
              <w:t>Stoke’s</w:t>
            </w:r>
            <w:proofErr w:type="spellEnd"/>
            <w:r>
              <w:t xml:space="preserve"> Drift (m/s), </w:t>
            </w:r>
            <w:r w:rsidRPr="002F05B2">
              <w:rPr>
                <w:i/>
              </w:rPr>
              <w:t>H</w:t>
            </w:r>
            <w:r>
              <w:t xml:space="preserve"> is wave height (m), </w:t>
            </w:r>
            <w:r w:rsidRPr="002F05B2">
              <w:rPr>
                <w:i/>
              </w:rPr>
              <w:t>L</w:t>
            </w:r>
            <w:r>
              <w:t xml:space="preserve"> is wavelength (m), </w:t>
            </w:r>
            <w:r w:rsidRPr="002F05B2">
              <w:rPr>
                <w:i/>
              </w:rPr>
              <w:t>k</w:t>
            </w:r>
            <w:r w:rsidR="00136209">
              <w:t xml:space="preserve"> is wave number</w:t>
            </w:r>
            <w:r>
              <w:t xml:space="preserve"> (2</w:t>
            </w:r>
            <w:r>
              <w:rPr>
                <w:rFonts w:ascii="Calibri" w:hAnsi="Calibri"/>
              </w:rPr>
              <w:t>π</w:t>
            </w:r>
            <w:r>
              <w:t>/L),</w:t>
            </w:r>
            <w:r w:rsidR="00136209">
              <w:t xml:space="preserve"> </w:t>
            </w:r>
            <w:r w:rsidR="00136209">
              <w:rPr>
                <w:i/>
              </w:rPr>
              <w:t xml:space="preserve">c </w:t>
            </w:r>
            <w:r w:rsidR="00136209">
              <w:t>is wave speed,</w:t>
            </w:r>
            <w:r>
              <w:t xml:space="preserve"> </w:t>
            </w:r>
            <w:r w:rsidRPr="002F05B2">
              <w:rPr>
                <w:i/>
              </w:rPr>
              <w:t>h</w:t>
            </w:r>
            <w:r>
              <w:t xml:space="preserve"> is water depth (m), and </w:t>
            </w:r>
            <w:r w:rsidRPr="002F05B2">
              <w:rPr>
                <w:i/>
              </w:rPr>
              <w:t>z</w:t>
            </w:r>
            <w:r>
              <w:t xml:space="preserve"> is depth from surface (m). </w:t>
            </w:r>
          </w:p>
        </w:tc>
      </w:tr>
    </w:tbl>
    <w:p w14:paraId="7E594FB9" w14:textId="73B5F461" w:rsidR="00136209" w:rsidRDefault="00136209" w:rsidP="00136209">
      <w:pPr>
        <w:ind w:firstLine="720"/>
      </w:pPr>
      <w:r>
        <w:t>Wave speed (</w:t>
      </w:r>
      <w:r>
        <w:rPr>
          <w:i/>
        </w:rPr>
        <w:t>c</w:t>
      </w:r>
      <w:r>
        <w:t>) is calculated:</w:t>
      </w:r>
    </w:p>
    <w:tbl>
      <w:tblPr>
        <w:tblStyle w:val="TableGrid"/>
        <w:tblW w:w="9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6699"/>
        <w:gridCol w:w="1547"/>
      </w:tblGrid>
      <w:tr w:rsidR="00136209" w14:paraId="41FD2A39" w14:textId="77777777" w:rsidTr="00136209">
        <w:tc>
          <w:tcPr>
            <w:tcW w:w="1350" w:type="dxa"/>
          </w:tcPr>
          <w:p w14:paraId="0B585B8B" w14:textId="50A5AFED" w:rsidR="00136209" w:rsidRDefault="00136209" w:rsidP="00170833"/>
        </w:tc>
        <w:tc>
          <w:tcPr>
            <w:tcW w:w="6699" w:type="dxa"/>
          </w:tcPr>
          <w:p w14:paraId="57BC9506" w14:textId="728D0F94" w:rsidR="00136209" w:rsidRDefault="00136209" w:rsidP="00136209">
            <m:oMathPara>
              <m:oMath>
                <m:r>
                  <w:rPr>
                    <w:rFonts w:ascii="Cambria Math" w:hAnsi="Cambria Math"/>
                  </w:rPr>
                  <m:t xml:space="preserve">c= </m:t>
                </m:r>
                <m:rad>
                  <m:radPr>
                    <m:degHide m:val="1"/>
                    <m:ctrlPr>
                      <w:rPr>
                        <w:rFonts w:ascii="Cambria Math" w:hAnsi="Cambria Math"/>
                        <w:i/>
                      </w:rPr>
                    </m:ctrlPr>
                  </m:radPr>
                  <m:deg/>
                  <m:e>
                    <m:f>
                      <m:fPr>
                        <m:ctrlPr>
                          <w:rPr>
                            <w:rFonts w:ascii="Cambria Math" w:hAnsi="Cambria Math"/>
                            <w:i/>
                          </w:rPr>
                        </m:ctrlPr>
                      </m:fPr>
                      <m:num>
                        <m:r>
                          <w:rPr>
                            <w:rFonts w:ascii="Cambria Math" w:hAnsi="Cambria Math"/>
                          </w:rPr>
                          <m:t>g L</m:t>
                        </m:r>
                      </m:num>
                      <m:den>
                        <m:r>
                          <w:rPr>
                            <w:rFonts w:ascii="Cambria Math" w:hAnsi="Cambria Math"/>
                          </w:rPr>
                          <m:t>2 π</m:t>
                        </m:r>
                      </m:den>
                    </m:f>
                    <m:r>
                      <w:rPr>
                        <w:rFonts w:ascii="Cambria Math" w:hAnsi="Cambria Math"/>
                      </w:rPr>
                      <m:t xml:space="preserve"> tanh</m:t>
                    </m:r>
                    <m:d>
                      <m:dPr>
                        <m:ctrlPr>
                          <w:rPr>
                            <w:rFonts w:ascii="Cambria Math" w:hAnsi="Cambria Math"/>
                            <w:i/>
                          </w:rPr>
                        </m:ctrlPr>
                      </m:dPr>
                      <m:e>
                        <m:r>
                          <w:rPr>
                            <w:rFonts w:ascii="Cambria Math" w:hAnsi="Cambria Math"/>
                          </w:rPr>
                          <m:t xml:space="preserve">2 π </m:t>
                        </m:r>
                        <m:f>
                          <m:fPr>
                            <m:ctrlPr>
                              <w:rPr>
                                <w:rFonts w:ascii="Cambria Math" w:hAnsi="Cambria Math"/>
                                <w:i/>
                              </w:rPr>
                            </m:ctrlPr>
                          </m:fPr>
                          <m:num>
                            <m:r>
                              <w:rPr>
                                <w:rFonts w:ascii="Cambria Math" w:hAnsi="Cambria Math"/>
                              </w:rPr>
                              <m:t>h</m:t>
                            </m:r>
                          </m:num>
                          <m:den>
                            <m:r>
                              <w:rPr>
                                <w:rFonts w:ascii="Cambria Math" w:hAnsi="Cambria Math"/>
                              </w:rPr>
                              <m:t>L</m:t>
                            </m:r>
                          </m:den>
                        </m:f>
                      </m:e>
                    </m:d>
                  </m:e>
                </m:rad>
                <m:r>
                  <w:rPr>
                    <w:rFonts w:ascii="Cambria Math" w:hAnsi="Cambria Math"/>
                  </w:rPr>
                  <m:t xml:space="preserve"> </m:t>
                </m:r>
              </m:oMath>
            </m:oMathPara>
          </w:p>
        </w:tc>
        <w:tc>
          <w:tcPr>
            <w:tcW w:w="1547" w:type="dxa"/>
          </w:tcPr>
          <w:p w14:paraId="78ADE37D" w14:textId="77777777" w:rsidR="00136209" w:rsidRDefault="00136209" w:rsidP="00170833"/>
        </w:tc>
      </w:tr>
      <w:tr w:rsidR="00136209" w14:paraId="2956BF43" w14:textId="77777777" w:rsidTr="00170833">
        <w:tc>
          <w:tcPr>
            <w:tcW w:w="9596" w:type="dxa"/>
            <w:gridSpan w:val="3"/>
          </w:tcPr>
          <w:p w14:paraId="28499145" w14:textId="736ED260" w:rsidR="00136209" w:rsidRDefault="00136209" w:rsidP="00136209">
            <w:pPr>
              <w:tabs>
                <w:tab w:val="left" w:pos="7590"/>
              </w:tabs>
            </w:pPr>
            <w:proofErr w:type="gramStart"/>
            <w:r>
              <w:t>where</w:t>
            </w:r>
            <w:proofErr w:type="gramEnd"/>
            <w:r>
              <w:rPr>
                <w:i/>
              </w:rPr>
              <w:t xml:space="preserve"> g </w:t>
            </w:r>
            <w:r>
              <w:t>is gravitational acceleration (=9.81 m/sec</w:t>
            </w:r>
            <w:r w:rsidRPr="00136209">
              <w:rPr>
                <w:vertAlign w:val="superscript"/>
              </w:rPr>
              <w:t>2</w:t>
            </w:r>
            <w:r>
              <w:t xml:space="preserve">). </w:t>
            </w:r>
          </w:p>
        </w:tc>
      </w:tr>
    </w:tbl>
    <w:p w14:paraId="2B68F453" w14:textId="34CF2D8C" w:rsidR="005D1784" w:rsidRDefault="005D1784" w:rsidP="00136209">
      <w:pPr>
        <w:ind w:firstLine="720"/>
      </w:pPr>
      <w:r>
        <w:t xml:space="preserve">In shallow water, at depth z, wavelength is calculated by Nielsen’s (1982) </w:t>
      </w:r>
      <w:proofErr w:type="spellStart"/>
      <w:r>
        <w:t>methd</w:t>
      </w:r>
      <w:proofErr w:type="spellEnd"/>
      <w:r>
        <w:t>:</w:t>
      </w:r>
    </w:p>
    <w:tbl>
      <w:tblPr>
        <w:tblStyle w:val="TableGrid"/>
        <w:tblW w:w="9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2379"/>
        <w:gridCol w:w="1547"/>
      </w:tblGrid>
      <w:tr w:rsidR="005D1784" w14:paraId="221F1336" w14:textId="77777777" w:rsidTr="00170833">
        <w:tc>
          <w:tcPr>
            <w:tcW w:w="5670" w:type="dxa"/>
          </w:tcPr>
          <w:p w14:paraId="1542605F" w14:textId="600AEC6A" w:rsidR="005D1784" w:rsidRDefault="005D1784" w:rsidP="005D1784">
            <m:oMathPara>
              <m:oMath>
                <m:r>
                  <w:rPr>
                    <w:rFonts w:ascii="Cambria Math" w:hAnsi="Cambria Math"/>
                  </w:rPr>
                  <m:t xml:space="preserve"> L= </m:t>
                </m:r>
                <m:rad>
                  <m:radPr>
                    <m:degHide m:val="1"/>
                    <m:ctrlPr>
                      <w:rPr>
                        <w:rFonts w:ascii="Cambria Math" w:hAnsi="Cambria Math"/>
                        <w:i/>
                      </w:rPr>
                    </m:ctrlPr>
                  </m:radPr>
                  <m:deg/>
                  <m:e>
                    <m:r>
                      <w:rPr>
                        <w:rFonts w:ascii="Cambria Math" w:hAnsi="Cambria Math"/>
                      </w:rPr>
                      <m:t xml:space="preserve">2 π h </m:t>
                    </m:r>
                    <m:sSub>
                      <m:sSubPr>
                        <m:ctrlPr>
                          <w:rPr>
                            <w:rFonts w:ascii="Cambria Math" w:hAnsi="Cambria Math"/>
                            <w:i/>
                          </w:rPr>
                        </m:ctrlPr>
                      </m:sSubPr>
                      <m:e>
                        <m:r>
                          <w:rPr>
                            <w:rFonts w:ascii="Cambria Math" w:hAnsi="Cambria Math"/>
                          </w:rPr>
                          <m:t>L</m:t>
                        </m:r>
                      </m:e>
                      <m:sub>
                        <m:r>
                          <w:rPr>
                            <w:rFonts w:ascii="Cambria Math" w:hAnsi="Cambria Math"/>
                          </w:rPr>
                          <m:t>0</m:t>
                        </m:r>
                      </m:sub>
                    </m:sSub>
                  </m:e>
                </m:rad>
                <m:r>
                  <w:rPr>
                    <w:rFonts w:ascii="Cambria Math" w:hAnsi="Cambria Math"/>
                  </w:rPr>
                  <m:t xml:space="preserve">* </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L</m:t>
                            </m:r>
                          </m:e>
                          <m:sub>
                            <m:r>
                              <w:rPr>
                                <w:rFonts w:ascii="Cambria Math" w:hAnsi="Cambria Math"/>
                              </w:rPr>
                              <m:t>0</m:t>
                            </m:r>
                          </m:sub>
                        </m:sSub>
                      </m:den>
                    </m:f>
                  </m:e>
                </m:d>
              </m:oMath>
            </m:oMathPara>
          </w:p>
        </w:tc>
        <w:tc>
          <w:tcPr>
            <w:tcW w:w="2379" w:type="dxa"/>
          </w:tcPr>
          <w:p w14:paraId="2E77D5AF" w14:textId="0D188627" w:rsidR="005D1784" w:rsidRDefault="005D1784" w:rsidP="00170833">
            <m:oMathPara>
              <m:oMath>
                <m:r>
                  <w:rPr>
                    <w:rFonts w:ascii="Cambria Math" w:hAnsi="Cambria Math"/>
                  </w:rPr>
                  <m:t>depth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20</m:t>
                    </m:r>
                  </m:den>
                </m:f>
              </m:oMath>
            </m:oMathPara>
          </w:p>
        </w:tc>
        <w:tc>
          <w:tcPr>
            <w:tcW w:w="1547" w:type="dxa"/>
          </w:tcPr>
          <w:p w14:paraId="464D64C1" w14:textId="77777777" w:rsidR="005D1784" w:rsidRDefault="005D1784" w:rsidP="00170833"/>
        </w:tc>
      </w:tr>
      <w:tr w:rsidR="005D1784" w14:paraId="72B3D74A" w14:textId="77777777" w:rsidTr="00170833">
        <w:tc>
          <w:tcPr>
            <w:tcW w:w="9596" w:type="dxa"/>
            <w:gridSpan w:val="3"/>
          </w:tcPr>
          <w:p w14:paraId="1D30C2F4" w14:textId="5E261F05" w:rsidR="005D1784" w:rsidRDefault="005D1784" w:rsidP="005D1784">
            <w:pPr>
              <w:tabs>
                <w:tab w:val="left" w:pos="7590"/>
              </w:tabs>
            </w:pPr>
            <w:proofErr w:type="gramStart"/>
            <w:r>
              <w:t>where</w:t>
            </w:r>
            <w:proofErr w:type="gramEnd"/>
            <w:r>
              <w:t xml:space="preserve"> </w:t>
            </w:r>
            <w:r>
              <w:rPr>
                <w:i/>
              </w:rPr>
              <w:t xml:space="preserve">L </w:t>
            </w:r>
            <w:r>
              <w:t xml:space="preserve">is wavelength in shallow water (m), h is water depth (m), and </w:t>
            </w:r>
            <w:r w:rsidRPr="002F05B2">
              <w:rPr>
                <w:i/>
              </w:rPr>
              <w:t>L</w:t>
            </w:r>
            <w:r w:rsidRPr="005D1784">
              <w:rPr>
                <w:i/>
                <w:vertAlign w:val="subscript"/>
              </w:rPr>
              <w:t>0</w:t>
            </w:r>
            <w:r>
              <w:t xml:space="preserve"> is offshore or deep-water wavelength ( = </w:t>
            </w:r>
            <w:r w:rsidRPr="005D1784">
              <w:rPr>
                <w:i/>
              </w:rPr>
              <w:t>1.56 * T</w:t>
            </w:r>
            <w:r w:rsidRPr="005D1784">
              <w:rPr>
                <w:i/>
                <w:vertAlign w:val="superscript"/>
              </w:rPr>
              <w:t>2</w:t>
            </w:r>
            <w:r>
              <w:t xml:space="preserve"> where </w:t>
            </w:r>
            <w:r w:rsidRPr="005D1784">
              <w:rPr>
                <w:i/>
              </w:rPr>
              <w:t>T</w:t>
            </w:r>
            <w:r>
              <w:t xml:space="preserve"> is wave period. </w:t>
            </w:r>
          </w:p>
        </w:tc>
      </w:tr>
    </w:tbl>
    <w:p w14:paraId="07247019" w14:textId="77777777" w:rsidR="005D1784" w:rsidRDefault="005D1784" w:rsidP="005D1784">
      <w:pPr>
        <w:keepNext/>
      </w:pPr>
      <w:r>
        <w:rPr>
          <w:noProof/>
        </w:rPr>
        <w:drawing>
          <wp:inline distT="0" distB="0" distL="0" distR="0" wp14:anchorId="71065421" wp14:editId="21715557">
            <wp:extent cx="6010275" cy="4485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kes Drift speeds.png"/>
                    <pic:cNvPicPr/>
                  </pic:nvPicPr>
                  <pic:blipFill>
                    <a:blip r:embed="rId5">
                      <a:extLst>
                        <a:ext uri="{28A0092B-C50C-407E-A947-70E740481C1C}">
                          <a14:useLocalDpi xmlns:a14="http://schemas.microsoft.com/office/drawing/2010/main" val="0"/>
                        </a:ext>
                      </a:extLst>
                    </a:blip>
                    <a:stretch>
                      <a:fillRect/>
                    </a:stretch>
                  </pic:blipFill>
                  <pic:spPr>
                    <a:xfrm>
                      <a:off x="0" y="0"/>
                      <a:ext cx="6022460" cy="4494261"/>
                    </a:xfrm>
                    <a:prstGeom prst="rect">
                      <a:avLst/>
                    </a:prstGeom>
                  </pic:spPr>
                </pic:pic>
              </a:graphicData>
            </a:graphic>
          </wp:inline>
        </w:drawing>
      </w:r>
    </w:p>
    <w:p w14:paraId="1BED1333" w14:textId="77777777" w:rsidR="005D1784" w:rsidRPr="00E1665C" w:rsidRDefault="005D1784" w:rsidP="005D1784">
      <w:pPr>
        <w:pStyle w:val="Caption"/>
      </w:pPr>
      <w:bookmarkStart w:id="1" w:name="_Ref437334234"/>
      <w:r>
        <w:t xml:space="preserve">Figure </w:t>
      </w:r>
      <w:fldSimple w:instr=" SEQ Figure \* ARABIC ">
        <w:r>
          <w:rPr>
            <w:noProof/>
          </w:rPr>
          <w:t>1</w:t>
        </w:r>
      </w:fldSimple>
      <w:bookmarkEnd w:id="1"/>
      <w:r>
        <w:t>. Stokes Drift (</w:t>
      </w:r>
      <w:proofErr w:type="spellStart"/>
      <w:r>
        <w:t>U_Stoke</w:t>
      </w:r>
      <w:proofErr w:type="spellEnd"/>
      <w:r>
        <w:t xml:space="preserve">) (cm/sec) at the surface (z=0.01 m) for the expected range of wave height, wave period, and water depth experienced at the ADCPs. Interactive Plot at: </w:t>
      </w:r>
      <w:r w:rsidRPr="005D1784">
        <w:t>https://plot.ly/33/~CaptainAl/</w:t>
      </w:r>
    </w:p>
    <w:p w14:paraId="385259D5" w14:textId="77777777" w:rsidR="002F05B2" w:rsidRDefault="002F05B2" w:rsidP="005D1784">
      <w:pPr>
        <w:ind w:firstLine="720"/>
      </w:pPr>
      <w:r>
        <w:lastRenderedPageBreak/>
        <w:t xml:space="preserve">Maximum wave height measured on the reef flat in 2013 was 0.25 m, corresponding to an offshore wave height of 1.7 m </w:t>
      </w:r>
      <w:r>
        <w:fldChar w:fldCharType="begin" w:fldLock="1"/>
      </w:r>
      <w:r>
        <w:instrText>ADDIN CSL_CITATION { "citationItems" : [ { "id" : "ITEM-1", "itemData" : { "abstract" : "Water flow in Faga\u2019alu bay was investigated using a year of data collected from in-situ oceanographic equipment. Waves and tides were measured on the forereef and reef flat and the outflow currents were measured in the reef pass. Flow dynamics in the bay are predominantly forced by waves breaking over the shallow reef to the south of the channel, which force the majority of the water to exit the bay through the single main channel in the reef. Wave height and tidal height were both strong influences on flushing time however due to the volume of water forced over the reef during wave events flushing rates increase proportionally with wave height. Flushing time in the lagoon was calculated to be approximately 33 hours during low wave events, decreasing to less than 2 hours during the highest wave event of the year. The bay is relatively enclosed, limiting the swell window and large wave events are uncommon. The largest wave event of the year had a peak significant wave height (Hsig) of less than 1.6 m which is low for the region. Since flushing is strongly wave dependent pollutants and sediment have a greater likelihood of settling and causing harm to the ecosystem, compared to bays or estuaries with better flushing mechanisms. Comparing these oceanographic data with the biological component of this project suggests that in general areas with better flushing, and subject to higher wave energy, were found to be healthier than those sheltered from incident waves. The interest in Faga\u2019alu\u2019s watershed may be well advised since the low energy in the bay may require more focused attention on storm water management compared with other watersheds, in order to limit run-off and mitigate damage caused by sedimentation and pollution.", "author" : [ { "dropping-particle" : "", "family" : "Vetter", "given" : "O.", "non-dropping-particle" : "", "parse-names" : false, "suffix" : "" } ], "id" : "ITEM-1", "issued" : { "date-parts" : [ [ "2013" ] ] }, "number-of-pages" : "13", "title" : "Fagaalu Oceanographic Document", "type" : "report" }, "uris" : [ "http://www.mendeley.com/documents/?uuid=83956ea0-f1a2-49e1-8418-d95f3a63195d"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fldChar w:fldCharType="separate"/>
      </w:r>
      <w:r>
        <w:rPr>
          <w:noProof/>
        </w:rPr>
        <w:t>(Vetter, unpublished data</w:t>
      </w:r>
      <w:r w:rsidRPr="002F05B2">
        <w:rPr>
          <w:noProof/>
        </w:rPr>
        <w:t>)</w:t>
      </w:r>
      <w:r>
        <w:fldChar w:fldCharType="end"/>
      </w:r>
      <w:r>
        <w:t xml:space="preserve">. Vetter (unpublished) did not </w:t>
      </w:r>
      <w:r w:rsidR="00545E74">
        <w:t xml:space="preserve">provide data on wave periods but wave periods typically vary from 4-12 sec at the study site. Water depths over the ADCPs during drifter deployments varied from 0.4 – 1.2 </w:t>
      </w:r>
      <w:proofErr w:type="gramStart"/>
      <w:r w:rsidR="00545E74">
        <w:t>m .</w:t>
      </w:r>
      <w:proofErr w:type="gramEnd"/>
      <w:r w:rsidR="00545E74">
        <w:t xml:space="preserve"> For the expected range of wave heights (0-0.25 m), wave period (4-12 sec), and water depths (0.4-1.2 m) at the ADCPs, predicted </w:t>
      </w:r>
      <w:proofErr w:type="spellStart"/>
      <w:r w:rsidR="00545E74">
        <w:t>U</w:t>
      </w:r>
      <w:r w:rsidR="00545E74" w:rsidRPr="00545E74">
        <w:rPr>
          <w:vertAlign w:val="subscript"/>
        </w:rPr>
        <w:t>Stoke</w:t>
      </w:r>
      <w:proofErr w:type="spellEnd"/>
      <w:r w:rsidR="00545E74">
        <w:rPr>
          <w:vertAlign w:val="subscript"/>
        </w:rPr>
        <w:t xml:space="preserve"> </w:t>
      </w:r>
      <w:r w:rsidR="00545E74">
        <w:t>varied from 0-</w:t>
      </w:r>
      <w:r w:rsidR="0005170A">
        <w:t xml:space="preserve">37 </w:t>
      </w:r>
      <w:r w:rsidR="00545E74">
        <w:t xml:space="preserve">cm/s. </w:t>
      </w:r>
      <w:proofErr w:type="spellStart"/>
      <w:r w:rsidR="00545E74">
        <w:t>U</w:t>
      </w:r>
      <w:r w:rsidR="00545E74" w:rsidRPr="00545E74">
        <w:rPr>
          <w:vertAlign w:val="subscript"/>
        </w:rPr>
        <w:t>Stoke</w:t>
      </w:r>
      <w:proofErr w:type="spellEnd"/>
      <w:r w:rsidR="00545E74">
        <w:rPr>
          <w:vertAlign w:val="subscript"/>
        </w:rPr>
        <w:t xml:space="preserve"> </w:t>
      </w:r>
      <w:r w:rsidR="00545E74">
        <w:t>was highly sensitive to water depth</w:t>
      </w:r>
      <w:r w:rsidR="00F652E8">
        <w:t>, especially for larger wave heights and lower wave periods (</w:t>
      </w:r>
      <w:r w:rsidR="00F652E8">
        <w:fldChar w:fldCharType="begin"/>
      </w:r>
      <w:r w:rsidR="00F652E8">
        <w:instrText xml:space="preserve"> REF _Ref437334234 \h </w:instrText>
      </w:r>
      <w:r w:rsidR="00F652E8">
        <w:fldChar w:fldCharType="separate"/>
      </w:r>
      <w:r w:rsidR="00F652E8">
        <w:t xml:space="preserve">Figure </w:t>
      </w:r>
      <w:r w:rsidR="00F652E8">
        <w:rPr>
          <w:noProof/>
        </w:rPr>
        <w:t>1</w:t>
      </w:r>
      <w:r w:rsidR="00F652E8">
        <w:fldChar w:fldCharType="end"/>
      </w:r>
      <w:r w:rsidR="00F652E8">
        <w:t>).</w:t>
      </w:r>
      <w:r w:rsidR="00E1665C">
        <w:t xml:space="preserve"> </w:t>
      </w:r>
      <w:commentRangeStart w:id="2"/>
      <w:proofErr w:type="spellStart"/>
      <w:r w:rsidR="00E1665C">
        <w:t>U</w:t>
      </w:r>
      <w:r w:rsidR="00E1665C" w:rsidRPr="00545E74">
        <w:rPr>
          <w:vertAlign w:val="subscript"/>
        </w:rPr>
        <w:t>Stoke</w:t>
      </w:r>
      <w:proofErr w:type="spellEnd"/>
      <w:r w:rsidR="00E1665C">
        <w:rPr>
          <w:vertAlign w:val="subscript"/>
        </w:rPr>
        <w:t xml:space="preserve"> </w:t>
      </w:r>
      <w:r w:rsidR="00E1665C">
        <w:t xml:space="preserve">was insensitive to the depth </w:t>
      </w:r>
      <w:r w:rsidR="00E1665C" w:rsidRPr="00E1665C">
        <w:rPr>
          <w:i/>
        </w:rPr>
        <w:t>z</w:t>
      </w:r>
      <w:r w:rsidR="00E1665C">
        <w:t xml:space="preserve"> where it was calculated. </w:t>
      </w:r>
      <w:commentRangeEnd w:id="2"/>
      <w:r w:rsidR="00E1665C">
        <w:rPr>
          <w:rStyle w:val="CommentReference"/>
        </w:rPr>
        <w:commentReference w:id="2"/>
      </w:r>
    </w:p>
    <w:p w14:paraId="4A4D096F" w14:textId="6842522B" w:rsidR="00E1665C" w:rsidRDefault="00E1665C">
      <w:r>
        <w:tab/>
        <w:t xml:space="preserve">While </w:t>
      </w:r>
      <w:r w:rsidR="0017378C">
        <w:t xml:space="preserve">the magnitudes of </w:t>
      </w:r>
      <w:proofErr w:type="spellStart"/>
      <w:r>
        <w:t>U</w:t>
      </w:r>
      <w:r w:rsidRPr="00545E74">
        <w:rPr>
          <w:vertAlign w:val="subscript"/>
        </w:rPr>
        <w:t>Stoke</w:t>
      </w:r>
      <w:proofErr w:type="spellEnd"/>
      <w:r w:rsidR="0017378C">
        <w:rPr>
          <w:vertAlign w:val="subscript"/>
        </w:rPr>
        <w:t xml:space="preserve"> </w:t>
      </w:r>
      <w:r w:rsidR="0017378C">
        <w:t xml:space="preserve">calculated for the full range of conditions could explain the 0.1-18.8 cm/sec differences between drifters and ADCPs, </w:t>
      </w:r>
      <w:r w:rsidR="003974D4">
        <w:t xml:space="preserve">magnitudes of </w:t>
      </w:r>
      <w:proofErr w:type="spellStart"/>
      <w:r w:rsidR="003974D4">
        <w:t>U</w:t>
      </w:r>
      <w:r w:rsidR="003974D4" w:rsidRPr="00545E74">
        <w:rPr>
          <w:vertAlign w:val="subscript"/>
        </w:rPr>
        <w:t>Stoke</w:t>
      </w:r>
      <w:proofErr w:type="spellEnd"/>
      <w:r w:rsidR="003974D4">
        <w:rPr>
          <w:vertAlign w:val="subscript"/>
        </w:rPr>
        <w:t xml:space="preserve"> </w:t>
      </w:r>
      <w:r w:rsidR="005D1784">
        <w:t xml:space="preserve">&gt; ~5 cm/sec </w:t>
      </w:r>
      <w:r w:rsidR="003974D4">
        <w:t xml:space="preserve">should be considered extreme values, since the combination of high wave height and low wave period is unlikely, and the low water depth only persists for a short amount of time. A more likely range of </w:t>
      </w:r>
      <w:proofErr w:type="spellStart"/>
      <w:r w:rsidR="003974D4">
        <w:t>U</w:t>
      </w:r>
      <w:r w:rsidR="003974D4" w:rsidRPr="00545E74">
        <w:rPr>
          <w:vertAlign w:val="subscript"/>
        </w:rPr>
        <w:t>Stoke</w:t>
      </w:r>
      <w:proofErr w:type="spellEnd"/>
      <w:r w:rsidR="003974D4">
        <w:t xml:space="preserve"> influencing the drifters is actually more on the order of 0.1 to </w:t>
      </w:r>
      <w:r w:rsidR="005D1784">
        <w:t>3 cm/sec. W</w:t>
      </w:r>
      <w:r w:rsidR="003974D4">
        <w:t xml:space="preserve">hile </w:t>
      </w:r>
      <w:proofErr w:type="spellStart"/>
      <w:r w:rsidR="003974D4">
        <w:t>U</w:t>
      </w:r>
      <w:r w:rsidR="003974D4" w:rsidRPr="00545E74">
        <w:rPr>
          <w:vertAlign w:val="subscript"/>
        </w:rPr>
        <w:t>Stoke</w:t>
      </w:r>
      <w:proofErr w:type="spellEnd"/>
      <w:r w:rsidR="003974D4">
        <w:t xml:space="preserve"> might be an important source of disagreement between Eulerian and Lagrangian estimates</w:t>
      </w:r>
      <w:r w:rsidR="005D1784">
        <w:t xml:space="preserve"> in some cases</w:t>
      </w:r>
      <w:r w:rsidR="003974D4">
        <w:t xml:space="preserve">, it is likely </w:t>
      </w:r>
      <w:r w:rsidR="005D1784">
        <w:t>not the cause of the large</w:t>
      </w:r>
      <w:r w:rsidR="002868E2">
        <w:t>st</w:t>
      </w:r>
      <w:r w:rsidR="005D1784">
        <w:t xml:space="preserve"> disagreements</w:t>
      </w:r>
      <w:r w:rsidR="003974D4">
        <w:t>.</w:t>
      </w:r>
    </w:p>
    <w:p w14:paraId="297D5B43" w14:textId="77777777" w:rsidR="00B377CE" w:rsidRDefault="00B377CE"/>
    <w:p w14:paraId="61450BC8" w14:textId="7228FCF6" w:rsidR="00B377CE" w:rsidRPr="003974D4" w:rsidRDefault="00B377CE" w:rsidP="00B377CE">
      <w:r>
        <w:tab/>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"plainTextFormattedCitation" : "(Falter et al. 2008)" }, "properties" : { "noteIndex" : 0 }, "schema" : "https://github.com/citation-style-language/schema/raw/master/csl-citation.json" }</w:instrText>
      </w:r>
      <w:r>
        <w:fldChar w:fldCharType="separate"/>
      </w:r>
      <w:r w:rsidRPr="00B377CE">
        <w:rPr>
          <w:noProof/>
        </w:rPr>
        <w:t>(Falter et al. 2008)</w:t>
      </w:r>
      <w:r>
        <w:fldChar w:fldCharType="end"/>
      </w:r>
      <w:r>
        <w:t xml:space="preserve">: </w:t>
      </w:r>
      <w:r>
        <w:t>Unfortunately, our ADCPs generally excluded</w:t>
      </w:r>
      <w:r>
        <w:t xml:space="preserve"> ~</w:t>
      </w:r>
      <w:r>
        <w:t xml:space="preserve">25 cm of the upper water column as a result of </w:t>
      </w:r>
      <w:proofErr w:type="spellStart"/>
      <w:r>
        <w:t>sidelobe</w:t>
      </w:r>
      <w:proofErr w:type="spellEnd"/>
      <w:r>
        <w:t xml:space="preserve"> interference near the free surface. Therefore we ran a numerical simulation of a current profile over the entire water column under average flow conditions using Delft3D</w:t>
      </w:r>
      <w:r>
        <w:t xml:space="preserve"> (</w:t>
      </w:r>
      <w:proofErr w:type="spellStart"/>
      <w:r>
        <w:t>WL|</w:t>
      </w:r>
      <w:r>
        <w:t>Delft</w:t>
      </w:r>
      <w:proofErr w:type="spellEnd"/>
      <w:r>
        <w:t xml:space="preserve"> Hydraulics). The results of this simulation </w:t>
      </w:r>
      <w:proofErr w:type="spellStart"/>
      <w:r>
        <w:t>indi</w:t>
      </w:r>
      <w:proofErr w:type="spellEnd"/>
      <w:r>
        <w:t>- cate that drifter speeds should exceed the depth-averaged current by 3 cm s</w:t>
      </w:r>
      <w:proofErr w:type="gramStart"/>
      <w:r>
        <w:t>?1</w:t>
      </w:r>
      <w:proofErr w:type="gramEnd"/>
      <w:r>
        <w:t xml:space="preserve"> or 30% (Figure 13), thus explaining much of the discrepancy between observed </w:t>
      </w:r>
      <w:proofErr w:type="spellStart"/>
      <w:r>
        <w:t>Udr</w:t>
      </w:r>
      <w:proofErr w:type="spellEnd"/>
      <w:r>
        <w:t xml:space="preserve"> and UE+S</w:t>
      </w:r>
    </w:p>
    <w:p w14:paraId="086FC4FD" w14:textId="77777777" w:rsidR="00F652E8" w:rsidRDefault="00F652E8"/>
    <w:sectPr w:rsidR="00F652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ex Messina" w:date="2015-12-08T10:57:00Z" w:initials="AM">
    <w:p w14:paraId="1AF409BE" w14:textId="77777777" w:rsidR="00E1665C" w:rsidRDefault="00E1665C" w:rsidP="00E1665C">
      <w:r>
        <w:rPr>
          <w:rStyle w:val="CommentReference"/>
        </w:rPr>
        <w:annotationRef/>
      </w:r>
      <w:r>
        <w:t xml:space="preserve">Issues: when depth is &lt; water depth, you still get a value for </w:t>
      </w:r>
      <w:proofErr w:type="spellStart"/>
      <w:r>
        <w:t>U_Stoke</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F409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5B2"/>
    <w:rsid w:val="0005170A"/>
    <w:rsid w:val="000A252B"/>
    <w:rsid w:val="00136209"/>
    <w:rsid w:val="0017378C"/>
    <w:rsid w:val="002868E2"/>
    <w:rsid w:val="002F05B2"/>
    <w:rsid w:val="003974D4"/>
    <w:rsid w:val="00512B2A"/>
    <w:rsid w:val="00545E74"/>
    <w:rsid w:val="0059092E"/>
    <w:rsid w:val="005D1784"/>
    <w:rsid w:val="005E7EC7"/>
    <w:rsid w:val="00B03D61"/>
    <w:rsid w:val="00B377CE"/>
    <w:rsid w:val="00D00184"/>
    <w:rsid w:val="00D96F49"/>
    <w:rsid w:val="00E1665C"/>
    <w:rsid w:val="00F65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D574"/>
  <w15:chartTrackingRefBased/>
  <w15:docId w15:val="{6E933D64-5FB3-463A-BD74-46BCA3C7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1">
    <w:name w:val="heading 1"/>
    <w:basedOn w:val="Normal"/>
    <w:next w:val="Normal"/>
    <w:link w:val="Heading1Char"/>
    <w:uiPriority w:val="9"/>
    <w:qFormat/>
    <w:rsid w:val="00D001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
    <w:name w:val="Heading2"/>
    <w:basedOn w:val="Normal"/>
    <w:link w:val="Heading2Char"/>
    <w:qFormat/>
    <w:rsid w:val="00512B2A"/>
    <w:rPr>
      <w:rFonts w:ascii="Calibri" w:eastAsiaTheme="majorEastAsia" w:hAnsi="Calibri"/>
      <w:b/>
      <w:color w:val="0070C0"/>
      <w:sz w:val="26"/>
    </w:rPr>
  </w:style>
  <w:style w:type="character" w:customStyle="1" w:styleId="Heading2Char">
    <w:name w:val="Heading2 Char"/>
    <w:basedOn w:val="Heading1Char0"/>
    <w:link w:val="Heading2"/>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F0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5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5B2"/>
    <w:rPr>
      <w:rFonts w:ascii="Segoe UI" w:hAnsi="Segoe UI" w:cs="Segoe UI"/>
      <w:sz w:val="18"/>
      <w:szCs w:val="18"/>
    </w:rPr>
  </w:style>
  <w:style w:type="character" w:styleId="PlaceholderText">
    <w:name w:val="Placeholder Text"/>
    <w:basedOn w:val="DefaultParagraphFont"/>
    <w:uiPriority w:val="99"/>
    <w:semiHidden/>
    <w:rsid w:val="002F05B2"/>
    <w:rPr>
      <w:color w:val="808080"/>
    </w:rPr>
  </w:style>
  <w:style w:type="paragraph" w:styleId="Caption">
    <w:name w:val="caption"/>
    <w:basedOn w:val="Normal"/>
    <w:next w:val="Normal"/>
    <w:uiPriority w:val="35"/>
    <w:unhideWhenUsed/>
    <w:qFormat/>
    <w:rsid w:val="00F652E8"/>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E1665C"/>
    <w:rPr>
      <w:sz w:val="16"/>
      <w:szCs w:val="16"/>
    </w:rPr>
  </w:style>
  <w:style w:type="paragraph" w:styleId="CommentText">
    <w:name w:val="annotation text"/>
    <w:basedOn w:val="Normal"/>
    <w:link w:val="CommentTextChar"/>
    <w:uiPriority w:val="99"/>
    <w:semiHidden/>
    <w:unhideWhenUsed/>
    <w:rsid w:val="00E1665C"/>
    <w:rPr>
      <w:sz w:val="20"/>
    </w:rPr>
  </w:style>
  <w:style w:type="character" w:customStyle="1" w:styleId="CommentTextChar">
    <w:name w:val="Comment Text Char"/>
    <w:basedOn w:val="DefaultParagraphFont"/>
    <w:link w:val="CommentText"/>
    <w:uiPriority w:val="99"/>
    <w:semiHidden/>
    <w:rsid w:val="00E1665C"/>
    <w:rPr>
      <w:rFonts w:cs="Times New Roman"/>
      <w:sz w:val="20"/>
      <w:szCs w:val="20"/>
    </w:rPr>
  </w:style>
  <w:style w:type="paragraph" w:styleId="CommentSubject">
    <w:name w:val="annotation subject"/>
    <w:basedOn w:val="CommentText"/>
    <w:next w:val="CommentText"/>
    <w:link w:val="CommentSubjectChar"/>
    <w:uiPriority w:val="99"/>
    <w:semiHidden/>
    <w:unhideWhenUsed/>
    <w:rsid w:val="00E1665C"/>
    <w:rPr>
      <w:b/>
      <w:bCs/>
    </w:rPr>
  </w:style>
  <w:style w:type="character" w:customStyle="1" w:styleId="CommentSubjectChar">
    <w:name w:val="Comment Subject Char"/>
    <w:basedOn w:val="CommentTextChar"/>
    <w:link w:val="CommentSubject"/>
    <w:uiPriority w:val="99"/>
    <w:semiHidden/>
    <w:rsid w:val="00E1665C"/>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E0368-9381-4028-BB18-1024D385C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6</cp:revision>
  <dcterms:created xsi:type="dcterms:W3CDTF">2015-12-08T21:08:00Z</dcterms:created>
  <dcterms:modified xsi:type="dcterms:W3CDTF">2015-12-09T23:48:00Z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