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563791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yield (tons) from t=0=storm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(L/sec).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563791" w:rsidP="00FA5BAB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A_undisturbed</m:t>
                    </m:r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FA5BAB">
              <w:rPr>
                <w:rFonts w:ascii="Cambria" w:hAnsi="Cambria"/>
              </w:rPr>
              <w:t>2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D926B9">
            <w:pPr>
              <w:rPr>
                <w:rFonts w:ascii="Times" w:hAnsi="Times" w:cs="Times"/>
                <w:sz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measured from the disturbed subwatershed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 from the UPPER subwatershed (tons/km2),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D926B9" w:rsidRPr="00BA7675">
              <w:rPr>
                <w:rFonts w:ascii="Times" w:hAnsi="Times" w:cs="Times"/>
                <w:i/>
                <w:sz w:val="24"/>
              </w:rPr>
              <w:t>_undisturbed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  <w:r w:rsidR="00FA5BAB" w:rsidRPr="00BA7675">
              <w:rPr>
                <w:rFonts w:ascii="Times" w:hAnsi="Times" w:cs="Times"/>
                <w:sz w:val="24"/>
              </w:rPr>
              <w:t xml:space="preserve">This assumes that </w:t>
            </w:r>
            <w:proofErr w:type="spellStart"/>
            <w:r w:rsidR="00FA5BAB" w:rsidRPr="00BA7675">
              <w:rPr>
                <w:rFonts w:ascii="Times" w:hAnsi="Times" w:cs="Times"/>
                <w:sz w:val="24"/>
              </w:rPr>
              <w:t>sSSY</w:t>
            </w:r>
            <w:proofErr w:type="spellEnd"/>
            <w:r w:rsidR="00FA5BAB" w:rsidRPr="00BA7675">
              <w:rPr>
                <w:rFonts w:ascii="Times" w:hAnsi="Times" w:cs="Times"/>
                <w:sz w:val="24"/>
              </w:rPr>
              <w:t xml:space="preserve"> from undisturbed forest in the UPPER subwatershed is the same as from undisturbed forest in the LOWER subwatershed.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D926B9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3</w:t>
            </w:r>
          </w:p>
        </w:tc>
      </w:tr>
      <w:tr w:rsidR="00FA5BAB" w:rsidRPr="00214B43" w:rsidTr="00FA5BAB"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Default="00FA5BAB" w:rsidP="00FA5BAB">
            <w:pPr>
              <w:rPr>
                <w:rFonts w:ascii="Cambria" w:eastAsia="Calibri" w:hAnsi="Cambria" w:cs="Times New Roman"/>
              </w:rPr>
            </w:pPr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563791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B77AFB" w:rsidRPr="00214B43">
              <w:rPr>
                <w:rFonts w:ascii="Cambria" w:hAnsi="Cambria"/>
              </w:rPr>
              <w:t>4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</w:t>
            </w:r>
            <w:r w:rsidR="0015156D" w:rsidRPr="00BA7675">
              <w:rPr>
                <w:rFonts w:ascii="Times" w:hAnsi="Times" w:cs="Times"/>
                <w:sz w:val="24"/>
              </w:rPr>
              <w:t>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annual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measured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measured precip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expected annual storm precip</m:t>
                    </m:r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6</w:t>
            </w:r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BA7675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annual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estimated SSY from storms,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measured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measured in storms (all, Tables 2 and 3),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measured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precip</w:t>
            </w:r>
            <w:r w:rsidRPr="00BA7675">
              <w:rPr>
                <w:rFonts w:ascii="Times" w:hAnsi="Times" w:cs="Times"/>
                <w:sz w:val="24"/>
              </w:rPr>
              <w:t>itation</w:t>
            </w:r>
            <w:r w:rsidRPr="00BA7675">
              <w:rPr>
                <w:rFonts w:ascii="Times" w:hAnsi="Times" w:cs="Times"/>
                <w:sz w:val="24"/>
              </w:rPr>
              <w:t xml:space="preserve"> measured during the sampled storms, 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expected annual storm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precip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precip</w:t>
            </w:r>
            <w:r w:rsidRPr="00BA7675">
              <w:rPr>
                <w:rFonts w:ascii="Times" w:hAnsi="Times" w:cs="Times"/>
                <w:sz w:val="24"/>
              </w:rPr>
              <w:t xml:space="preserve">itation </w:t>
            </w:r>
            <w:r w:rsidRPr="00BA7675">
              <w:rPr>
                <w:rFonts w:ascii="Times" w:hAnsi="Times" w:cs="Times"/>
                <w:sz w:val="24"/>
              </w:rPr>
              <w:t>during all storms measured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314015" w:rsidRPr="00214B43" w:rsidTr="00174E02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5</w:t>
            </w:r>
          </w:p>
        </w:tc>
      </w:tr>
      <w:tr w:rsidR="00314015" w:rsidRPr="00214B43" w:rsidTr="00BA7675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BA7675" w:rsidP="00174E02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  <w:bookmarkStart w:id="0" w:name="_GoBack"/>
      <w:bookmarkEnd w:id="0"/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15156D"/>
    <w:rsid w:val="00214B43"/>
    <w:rsid w:val="00314015"/>
    <w:rsid w:val="00454124"/>
    <w:rsid w:val="00481218"/>
    <w:rsid w:val="00563791"/>
    <w:rsid w:val="006710F6"/>
    <w:rsid w:val="007D52BE"/>
    <w:rsid w:val="00827384"/>
    <w:rsid w:val="009253E8"/>
    <w:rsid w:val="00B367CC"/>
    <w:rsid w:val="00B46A6B"/>
    <w:rsid w:val="00B77AFB"/>
    <w:rsid w:val="00BA7675"/>
    <w:rsid w:val="00C33BE3"/>
    <w:rsid w:val="00C41828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15</cp:revision>
  <dcterms:created xsi:type="dcterms:W3CDTF">2015-03-03T03:06:00Z</dcterms:created>
  <dcterms:modified xsi:type="dcterms:W3CDTF">2015-06-17T23:07:00Z</dcterms:modified>
</cp:coreProperties>
</file>