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EFDA47" w14:textId="77777777" w:rsidR="002007FF" w:rsidRDefault="00B51361">
      <w:r w:rsidRPr="003E3E56">
        <w:t>Contributions of human activities to suspended sediment yield during storm events from a steep, small, tropical watershed</w:t>
      </w:r>
    </w:p>
    <w:p w14:paraId="3095C4B0" w14:textId="77777777" w:rsidR="002007FF" w:rsidRDefault="002007FF">
      <w:r>
        <w:t>INTRODUCTION</w:t>
      </w:r>
    </w:p>
    <w:p w14:paraId="7CA7672E" w14:textId="77777777" w:rsidR="002007FF" w:rsidRDefault="002007FF" w:rsidP="002007FF">
      <w:pPr>
        <w:ind w:firstLine="576"/>
      </w:pPr>
      <w:r>
        <w:t>An</w:t>
      </w:r>
      <w:r w:rsidRPr="00703BBA">
        <w:t xml:space="preserve">thropogenic watershed </w:t>
      </w:r>
      <w:r>
        <w:t>disturbance</w:t>
      </w:r>
      <w:r>
        <w:t xml:space="preserve"> on steep, tropical islands,</w:t>
      </w:r>
      <w:r>
        <w:t xml:space="preserve"> by </w:t>
      </w:r>
      <w:r w:rsidRPr="00703BBA">
        <w:t>industry, agriculture, deforestation, roads, and urbanization</w:t>
      </w:r>
      <w:r>
        <w:t xml:space="preserve"> alters</w:t>
      </w:r>
      <w:r w:rsidRPr="00703BBA">
        <w:t xml:space="preserve"> the timing, composition, and mass of sediment loads to coral reefs, causing enhanced sediment</w:t>
      </w:r>
      <w:r>
        <w:t xml:space="preserve"> stress </w:t>
      </w:r>
      <w:r w:rsidRPr="00703BBA">
        <w:t xml:space="preserve">on corals near the outlets of impacted watersheds </w:t>
      </w:r>
      <w:r w:rsidRPr="00703BBA">
        <w:fldChar w:fldCharType="begin" w:fldLock="1"/>
      </w:r>
      <w:r>
        <w:instrText>ADDIN CSL_CITATION { "citationItems" : [ { "id" : "ITEM-1", "itemData" : { "ISBN" : "0036-8075", "author" : [ { "dropping-particle" : "", "family" : "Syvitski", "given" : "J P M", "non-dropping-particle" : "", "parse-names" : false, "suffix" : "" }, { "dropping-particle" : "", "family" : "V\u00f6r\u00f6smarty", "given" : "C J", "non-dropping-particle" : "", "parse-names" : false, "suffix" : "" }, { "dropping-particle" : "", "family" : "Kettner", "given" : "A J", "non-dropping-particle" : "", "parse-names" : false, "suffix" : "" }, { "dropping-particle" : "", "family" : "Green", "given" : "P", "non-dropping-particle" : "", "parse-names" : false, "suffix" : "" } ], "container-title" : "Science", "id" : "ITEM-1", "issue" : "5720", "issued" : { "date-parts" : [ [ "2005" ] ] }, "page" : "376-380", "title" : "Impact of humans on the flux of terrestrial sediment to the global coastal ocean", "type" : "article-journal", "volume" : "308" }, "uris" : [ "http://www.mendeley.com/documents/?uuid=8ce93f26-b951-4188-9191-d6b46b5c7acd" ] }, { "id" : "ITEM-2", "itemData" : { "ISSN" : "0025-326X", "PMID" : "11693640", "abstract" : "Land-use changes and associated river discharges in coastal tropical regions present a global threat to coral reef environments. This study investigated the temporal variation in biological oxygen demand (BOD5) and suspended particulate matter (SPM) at the mouths of seven rivers on Okinawa Island (Japan) over 20 years. We report strong positive relationships between human population densities within river catchment areas and both average BOD5 concentration (r2 = 0.968; p &lt; 0.001) and SPM (r2 = 0.659; p &lt; 0.003) at the mouths of the rivers. At the reef adjacent to one river (Hija River, 50.2 km2 catchment area) we applied moving window analysis to assess an optimal sampling strategy for elucidating transitional boundaries in coral composition from the river mouth to a point where the effect of river discharge was minimal. The optimal window width for Okinawan rivers was five 1 m2 quadrats spaced over 5 m intervals. This sampling strategy clearly showed dissimilarity spikes in coral community composition up to 400 m from the Hija River mouth, beyond which no significant differences in coral composition were detected using analysis of similarities (ANOSIM). We developed a simple diffusion model linking the rivers' maximum discharge rate, and the average concentration of BOD5 and SPM with the spatial impact on the coral communities. The diffusion model can aid in predicting negative shifts in coral communities expected to result from detrimental land-use changes and is an important tool for monitoring coral reefs.", "author" : [ { "dropping-particle" : "", "family" : "West", "given" : "K", "non-dropping-particle" : "", "parse-names" : false, "suffix" : "" }, { "dropping-particle" : "", "family" : "Woesik", "given" : "R", "non-dropping-particle" : "van", "parse-names" : false, "suffix" : "" } ], "container-title" : "Marine pollution bulletin", "id" : "ITEM-2", "issue" : "10", "issued" : { "date-parts" : [ [ "2001", "10" ] ] }, "page" : "864-72", "title" : "Spatial and temporal variance of river discharge on Okinawa (Japan): inferring the temporal impact on adjacent coral reefs.", "type" : "article-journal", "volume" : "42" }, "uris" : [ "http://www.mendeley.com/documents/?uuid=94d4d11e-0d8f-4eae-86eb-526349c0a8d0" ] } ], "mendeley" : { "previouslyFormattedCitation" : "(Syvitski et al., 2005; West and van Woesik, 2001)" }, "properties" : { "noteIndex" : 0 }, "schema" : "https://github.com/citation-style-language/schema/raw/master/csl-citation.json" }</w:instrText>
      </w:r>
      <w:r w:rsidRPr="00703BBA">
        <w:fldChar w:fldCharType="separate"/>
      </w:r>
      <w:r w:rsidRPr="00265397">
        <w:rPr>
          <w:noProof/>
        </w:rPr>
        <w:t>(Syvitski et al., 2005; West and van Woesik, 2001)</w:t>
      </w:r>
      <w:r w:rsidRPr="00703BBA">
        <w:fldChar w:fldCharType="end"/>
      </w:r>
      <w:r>
        <w:t>. Anthropogenic sediment disturbance may</w:t>
      </w:r>
      <w:r w:rsidRPr="00703BBA">
        <w:t xml:space="preserve"> </w:t>
      </w:r>
      <w:r>
        <w:t xml:space="preserve">be </w:t>
      </w:r>
      <w:r w:rsidRPr="00703BBA">
        <w:t>exacerbated on tropical islands characterized by high rainfall, extreme weather events, steep slopes, erodible soils, and naturally dense vegetation</w:t>
      </w:r>
      <w:r>
        <w:t xml:space="preserve">, where </w:t>
      </w:r>
      <w:r w:rsidRPr="00703BBA">
        <w:t xml:space="preserve">land clearing alters the fraction of exposed soil much more than </w:t>
      </w:r>
      <w:r>
        <w:t>in regions with</w:t>
      </w:r>
      <w:r w:rsidRPr="00703BBA">
        <w:t xml:space="preserve"> sparse vegetation.</w:t>
      </w:r>
      <w:r>
        <w:t xml:space="preserve"> </w:t>
      </w:r>
      <w:r>
        <w:t>O</w:t>
      </w:r>
      <w:r w:rsidRPr="00F608EC">
        <w:t xml:space="preserve">n Molokai, </w:t>
      </w:r>
      <w:r>
        <w:fldChar w:fldCharType="begin" w:fldLock="1"/>
      </w:r>
      <w:r>
        <w:instrText>ADDIN CSL_CITATION { "citationItems" : [ { "id" : "ITEM-1", "itemData" : { "abstract" : "Pollution from coastal watersheds threatens the ecology of the nearshore, including tropical reefs. Suspended sediment concentrations off the reefs of Molokai, Hawaii, chronically exceed a toxic 10 mg/L, threatening reef ecosystems. We hypothesize that historic conversion of hillslope processes from soil creep to overland flow increased both magnitude and frequency of erosion. To create a process sediment budget, we used surficial and ecological mapping, hillslope and stream gages, and novel sensors to locate, quantify and model the generation of fine sediments polluting the reef. Ecological and geomorphic mapping from LiDAR and multi-spectral imagery located overland flow areas with vegetation cover below a threshold preventing erosion. Here, feral goat grazing exposed volcanic soils whose low matrix hydraulic conductivities (1-25 mm/hour) promote Horton overland flow. We instrumented steep, barren hillslopes with soil moisture sensors, overland flow meters, Parshal flumes, ISCO sediment samplers, and a rain gage and conducted repeat Tripod LiDAR and infiltration tests. To characterize soil resistance to overland flow erosion, we used a Cohesive Strength Meter (CSM) to simulate water stress. At the 13.5 km 2 watershed mouth we used a USGS stream gage with an ISCO sediment sampler to estimate total load. Over 3 years, storms triggered overland flow during rainfall intensities above 10-15 mm/hr. Overland flow meters indicate such flows can be up to 3 cm deep, with a tendency to deepen downslope. CSM tests indicate that these depths are insufficient to erode soils where vegetation is dense, but far above threshold values of 2-3 mm for bare soils. Sediment ratings curves for both hillslope and downstream catchment gages show clock-wise hysteresis during the first intense storms in the fall, becoming linear later in the season. During fall storms, sediment concentration is often 10X higher at a given stage. Revised annual lowering rates from experimental hillslopes are 1.5 cm/a (erosion pins), 1.4 cm/a (suspended sediment) and 1.6 cm/a (repeat Tripod LiDAR). These rates are at least 100-fold greater than the long-term river lowering rate of 0.13 mm/a. A sediment budget constructed by extrapolating hillslope lowering rates to the portions of the catchments mapped as unvegetated overland flow predicts a total yearly flux of ~ 6500 t, in agreement with the measured total of ~6200 t. Decadal records illustrate that rainfall intensities sufficient to generate ov\u2026", "author" : [ { "dropping-particle" : "", "family" : "Stock", "given" : "J. D.", "non-dropping-particle" : "", "parse-names" : false, "suffix" : "" }, { "dropping-particle" : "", "family" : "Rosener", "given" : "M.", "non-dropping-particle" : "", "parse-names" : false, "suffix" : "" }, { "dropping-particle" : "", "family" : "Schmidt", "given" : "K. M.", "non-dropping-particle" : "", "parse-names" : false, "suffix" : "" }, { "dropping-particle" : "", "family" : "Hanshaw", "given" : "M. N.", "non-dropping-particle" : "", "parse-names" : false, "suffix" : "" }, { "dropping-particle" : "", "family" : "Brooks", "given" : "B. A.", "non-dropping-particle" : "", "parse-names" : false, "suffix" : "" }, { "dropping-particle" : "", "family" : "Tribble", "given" : "G.", "non-dropping-particle" : "", "parse-names" : false, "suffix" : "" }, { "dropping-particle" : "", "family" : "Jacobi", "given" : "J.", "non-dropping-particle" : "", "parse-names" : false, "suffix" : "" } ], "container-title" : "American Geophysical Union Fall Meeting", "id" : "ITEM-1", "issued" : { "date-parts" : [ [ "2010" ] ] }, "page" : "abstract#EP22A-01", "title" : "Sediment budget for a polluted Hawaiian reef using hillslope monitoring and process mapping", "type" : "paper-conference" }, "uris" : [ "http://www.mendeley.com/documents/?uuid=4378c49d-290f-4de2-b054-3c2ff8e4d978" ] } ], "mendeley" : { "manualFormatting" : "Stock et al. (2010)", "previouslyFormattedCitation" : "(Stock et al., 2010)" }, "properties" : { "noteIndex" : 0 }, "schema" : "https://github.com/citation-style-language/schema/raw/master/csl-citation.json" }</w:instrText>
      </w:r>
      <w:r>
        <w:fldChar w:fldCharType="separate"/>
      </w:r>
      <w:r>
        <w:rPr>
          <w:noProof/>
        </w:rPr>
        <w:t>Stock et al.</w:t>
      </w:r>
      <w:r w:rsidRPr="00F608EC">
        <w:rPr>
          <w:noProof/>
        </w:rPr>
        <w:t xml:space="preserve"> </w:t>
      </w:r>
      <w:r>
        <w:rPr>
          <w:noProof/>
        </w:rPr>
        <w:t>(</w:t>
      </w:r>
      <w:r w:rsidRPr="00F608EC">
        <w:rPr>
          <w:noProof/>
        </w:rPr>
        <w:t>2010)</w:t>
      </w:r>
      <w:r>
        <w:fldChar w:fldCharType="end"/>
      </w:r>
      <w:r>
        <w:t xml:space="preserve"> </w:t>
      </w:r>
      <w:r w:rsidRPr="00F608EC">
        <w:t xml:space="preserve">found that less than 5% of the land produces most of the sediment, and of that 5%, only 1% produces </w:t>
      </w:r>
      <w:r>
        <w:t xml:space="preserve">~50% of the sediment, concluding that management should focus on mediating erosion hotspots </w:t>
      </w:r>
      <w:r>
        <w:fldChar w:fldCharType="begin" w:fldLock="1"/>
      </w:r>
      <w:r>
        <w:instrText>ADDIN CSL_CITATION { "citationItems" : [ { "id" : "ITEM-1", "itemData" : { "DOI" : "10.1016/j.cosust.2014.01.003", "ISSN" : "18773435", "author" : [ { "dropping-particle" : "", "family" : "Risk", "given" : "Michael J", "non-dropping-particle" : "", "parse-names" : false, "suffix" : "" } ], "container-title" : "Current Opinion in Environmental Sustainability", "id" : "ITEM-1", "issued" : { "date-parts" : [ [ "2014", "4" ] ] }, "page" : "108-117", "publisher" : "Elsevier B.V.", "title" : "Assessing the effects of sediments and nutrients on coral reefs", "type" : "article-journal", "volume" : "7" }, "uris" : [ "http://www.mendeley.com/documents/?uuid=6d838c59-39c0-49c0-9060-c7c5ae6170ba" ] } ], "mendeley" : { "previouslyFormattedCitation" : "(Risk, 2014)" }, "properties" : { "noteIndex" : 0 }, "schema" : "https://github.com/citation-style-language/schema/raw/master/csl-citation.json" }</w:instrText>
      </w:r>
      <w:r>
        <w:fldChar w:fldCharType="separate"/>
      </w:r>
      <w:r w:rsidRPr="00160919">
        <w:rPr>
          <w:noProof/>
        </w:rPr>
        <w:t>(Risk, 2014)</w:t>
      </w:r>
      <w:r>
        <w:fldChar w:fldCharType="end"/>
      </w:r>
      <w:r>
        <w:t xml:space="preserve">. </w:t>
      </w:r>
      <w:r w:rsidRPr="00703BBA">
        <w:t>Successful reduction of sediment</w:t>
      </w:r>
      <w:r>
        <w:t xml:space="preserve"> impacts</w:t>
      </w:r>
      <w:r w:rsidRPr="00703BBA">
        <w:t xml:space="preserve"> to coral reefs requires identifying and quantifying </w:t>
      </w:r>
      <w:r>
        <w:t>key</w:t>
      </w:r>
      <w:r w:rsidRPr="00703BBA">
        <w:t xml:space="preserve"> sources of </w:t>
      </w:r>
      <w:r>
        <w:t xml:space="preserve">terrigenous </w:t>
      </w:r>
      <w:r w:rsidRPr="00703BBA">
        <w:t>sediment to focus management efforts in the watershed and design mitigation measures.</w:t>
      </w:r>
      <w:r>
        <w:t xml:space="preserve"> </w:t>
      </w:r>
      <w:r>
        <w:t>However, k</w:t>
      </w:r>
      <w:r>
        <w:t xml:space="preserve">nowledge of fluvial SSY on most Pacific volcanic islands remains limited due to difficulties associated with in situ monitoring, however existing sediment yield models are not well-calibrated to the climatic, topographic, and geologic conditions found on steep, tropical islands (Calhoun and Fletcher, 1999). </w:t>
      </w:r>
      <w:r w:rsidRPr="00703BBA">
        <w:t>Developing reliable models that predict SSY from small, mountainous catchments is a significant contribution for local coral conservation, and can</w:t>
      </w:r>
      <w:r>
        <w:t xml:space="preserve"> also</w:t>
      </w:r>
      <w:r w:rsidRPr="00703BBA">
        <w:t xml:space="preserve"> further improve models applied at the regional scale </w:t>
      </w:r>
      <w:r w:rsidRPr="00703BBA">
        <w:fldChar w:fldCharType="begin" w:fldLock="1"/>
      </w:r>
      <w: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"note" : "1. Compile data on SSY events from 8 catchments\n2. Do regressions on several statistical correlations using a few different correlation methods\n3. Check correlations with several determination coefficients (like R2, Spearman's)\n4. Look at global dispersion around correlation model lines: inter site variability explain differences in alpha (intercepts); slopes mostly the same\n5. Look at dispersion around site-specific correlation model lines: \nseasonality?(yes, but no overall pattern)\n increase in Q rising limb?(yes)\nhigher antecedent Q?(yes)\n6. Compare to SSY-Qmax relationships elsewhere\n        \nAsselman 2000 has a great discussion of the meaning of the a and b parameters",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"previouslyFormattedCitation" : "(Duvert et al., 2012)" }, "properties" : { "noteIndex" : 0 }, "schema" : "https://github.com/citation-style-language/schema/raw/master/csl-citation.json" }</w:instrText>
      </w:r>
      <w:r w:rsidRPr="00703BBA">
        <w:fldChar w:fldCharType="separate"/>
      </w:r>
      <w:r w:rsidRPr="002778B6">
        <w:rPr>
          <w:noProof/>
        </w:rPr>
        <w:t>(Duvert et al., 2012)</w:t>
      </w:r>
      <w:r w:rsidRPr="00703BBA">
        <w:fldChar w:fldCharType="end"/>
      </w:r>
      <w:r w:rsidRPr="00703BBA">
        <w:t xml:space="preserve">. </w:t>
      </w:r>
    </w:p>
    <w:p w14:paraId="3D2E4859" w14:textId="77777777" w:rsidR="002007FF" w:rsidRDefault="002007FF" w:rsidP="002007FF">
      <w:pPr>
        <w:ind w:firstLine="576"/>
      </w:pPr>
      <w:r>
        <w:t>SSY generated by individual storm events (SSY</w:t>
      </w:r>
      <w:r>
        <w:rPr>
          <w:vertAlign w:val="subscript"/>
        </w:rPr>
        <w:t>EV</w:t>
      </w:r>
      <w:r>
        <w:t>) may correlate with various precipitation and discharge variables (“storm metrics”), including total precipitation, the Erosivity Index, total discharge, or maximum event discharge (Qmax), but the best correlation has consistently been found with Qmax. Qmax integrates the whole hydrological response of a watershed, making it a good predictor variable of SSY</w:t>
      </w:r>
      <w:r w:rsidRPr="00160919">
        <w:rPr>
          <w:vertAlign w:val="subscript"/>
        </w:rPr>
        <w:t>EV</w:t>
      </w:r>
      <w:r>
        <w:t xml:space="preserve"> in diverse environments </w:t>
      </w:r>
      <w:r>
        <w:fldChar w:fldCharType="begin" w:fldLock="1"/>
      </w:r>
      <w: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"note" : "1. Compile data on SSY events from 8 catchments\n2. Do regressions on several statistical correlations using a few different correlation methods\n3. Check correlations with several determination coefficients (like R2, Spearman's)\n4. Look at global dispersion around correlation model lines: inter site variability explain differences in alpha (intercepts); slopes mostly the same\n5. Look at dispersion around site-specific correlation model lines: \nseasonality?(yes, but no overall pattern)\n increase in Q rising limb?(yes)\nhigher antecedent Q?(yes)\n6. Compare to SSY-Qmax relationships elsewhere\n        \nAsselman 2000 has a great discussion of the meaning of the a and b parameters",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"author" : [ { "dropping-particle" : "", "family" : "Rankl", "given" : "James G.", "non-dropping-particle" : "", "parse-names" : false, "suffix" : "" } ], "id" : "ITEM-2", "issued" : { "date-parts" : [ [ "2004" ] ] }, "title" : "Relations Between Total-Sediment Load and Peak Discharge for Rainstorm Runoff on Five Ephemeral Streams in Wyoming", "type" : "report" }, "uris" : [ "http://www.mendeley.com/documents/?uuid=8cf735a6-3369-474f-8f96-4346821808f5" ] } ], "mendeley" : { "previouslyFormattedCitation" : "(Duvert et al., 2012; Rankl, 2004)" }, "properties" : { "noteIndex" : 0 }, "schema" : "https://github.com/citation-style-language/schema/raw/master/csl-citation.json" }</w:instrText>
      </w:r>
      <w:r>
        <w:fldChar w:fldCharType="separate"/>
      </w:r>
      <w:r w:rsidRPr="00B450DB">
        <w:rPr>
          <w:noProof/>
        </w:rPr>
        <w:t>(Duvert et al., 2012; Rankl, 2004)</w:t>
      </w:r>
      <w:r>
        <w:fldChar w:fldCharType="end"/>
      </w:r>
      <w:r>
        <w:t>. High correlation between SSY</w:t>
      </w:r>
      <w:r w:rsidRPr="00160919">
        <w:rPr>
          <w:vertAlign w:val="subscript"/>
        </w:rPr>
        <w:t>EV</w:t>
      </w:r>
      <w:r>
        <w:t xml:space="preserve"> and Qmax has been found in semi-arid, temperate, and sub-humid watersheds in Wyoming </w:t>
      </w:r>
      <w:r>
        <w:fldChar w:fldCharType="begin" w:fldLock="1"/>
      </w:r>
      <w:r>
        <w:instrText>ADDIN CSL_CITATION { "citationItems" : [ { "id" : "ITEM-1", "itemData" : { "author" : [ { "dropping-particle" : "", "family" : "Rankl", "given" : "James G.", "non-dropping-particle" : "", "parse-names" : false, "suffix" : "" } ], "id" : "ITEM-1", "issued" : { "date-parts" : [ [ "2004" ] ] }, "title" : "Relations Between Total-Sediment Load and Peak Discharge for Rainstorm Runoff on Five Ephemeral Streams in Wyoming", "type" : "report" }, "uris" : [ "http://www.mendeley.com/documents/?uuid=8cf735a6-3369-474f-8f96-4346821808f5" ] } ], "mendeley" : { "previouslyFormattedCitation" : "(Rankl, 2004)" }, "properties" : { "noteIndex" : 0 }, "schema" : "https://github.com/citation-style-language/schema/raw/master/csl-citation.json" }</w:instrText>
      </w:r>
      <w:r>
        <w:fldChar w:fldCharType="separate"/>
      </w:r>
      <w:r w:rsidRPr="00B80EA3">
        <w:rPr>
          <w:noProof/>
        </w:rPr>
        <w:t>(Rankl, 2004)</w:t>
      </w:r>
      <w:r>
        <w:fldChar w:fldCharType="end"/>
      </w:r>
      <w:r>
        <w:t xml:space="preserve">, Mexico, Italy, France </w:t>
      </w:r>
      <w:r>
        <w:fldChar w:fldCharType="begin" w:fldLock="1"/>
      </w:r>
      <w: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"note" : "1. Compile data on SSY events from 8 catchments\n2. Do regressions on several statistical correlations using a few different correlation methods\n3. Check correlations with several determination coefficients (like R2, Spearman's)\n4. Look at global dispersion around correlation model lines: inter site variability explain differences in alpha (intercepts); slopes mostly the same\n5. Look at dispersion around site-specific correlation model lines: \nseasonality?(yes, but no overall pattern)\n increase in Q rising limb?(yes)\nhigher antecedent Q?(yes)\n6. Compare to SSY-Qmax relationships elsewhere\n        \nAsselman 2000 has a great discussion of the meaning of the a and b parameters",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"previouslyFormattedCitation" : "(Duvert et al., 2012)" }, "properties" : { "noteIndex" : 0 }, "schema" : "https://github.com/citation-style-language/schema/raw/master/csl-citation.json" }</w:instrText>
      </w:r>
      <w:r>
        <w:fldChar w:fldCharType="separate"/>
      </w:r>
      <w:r w:rsidRPr="00B80EA3">
        <w:rPr>
          <w:noProof/>
        </w:rPr>
        <w:t>(Duvert et al., 2012)</w:t>
      </w:r>
      <w:r>
        <w:fldChar w:fldCharType="end"/>
      </w:r>
      <w:r>
        <w:t xml:space="preserve">, and New Zealand </w:t>
      </w:r>
      <w:r>
        <w:fldChar w:fldCharType="begin" w:fldLock="1"/>
      </w:r>
      <w:r>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"id" : "ITEM-2",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"ITEM-2", "issue" : "3", "issued" : { "date-parts" : [ [ "2011", "9" ] ] }, "page" : "333-356", "title" : "Sediment yield response to large storm events and forest harvesting, Motueka River, New Zealand", "type" : "article-journal", "volume" : "45" }, "uris" : [ "http://www.mendeley.com/documents/?uuid=6bc2684b-87fb-454c-afee-27dc666c3670" ] } ], "mendeley" : { "previouslyFormattedCitation" : "(Basher et al., 2011; Hicks, 1990)" }, "properties" : { "noteIndex" : 0 }, "schema" : "https://github.com/citation-style-language/schema/raw/master/csl-citation.json" }</w:instrText>
      </w:r>
      <w:r>
        <w:fldChar w:fldCharType="separate"/>
      </w:r>
      <w:r w:rsidRPr="00546763">
        <w:rPr>
          <w:noProof/>
        </w:rPr>
        <w:t>(Basher et al., 2011; Hicks, 1990)</w:t>
      </w:r>
      <w:r>
        <w:fldChar w:fldCharType="end"/>
      </w:r>
      <w:r>
        <w:t xml:space="preserve">, but this approach has not been attempted for steep, tropical watersheds on volcanic islands.  </w:t>
      </w:r>
    </w:p>
    <w:p w14:paraId="339A42E4" w14:textId="77777777" w:rsidR="002007FF" w:rsidRPr="00703BBA" w:rsidRDefault="002007FF" w:rsidP="002007FF">
      <w:pPr>
        <w:ind w:firstLine="576"/>
      </w:pPr>
      <w:r>
        <w:t xml:space="preserve">The anthropogenic impact on SSY may vary by storm magnitude, as documented in Mediterranean climates </w:t>
      </w:r>
      <w:r>
        <w:fldChar w:fldCharType="begin" w:fldLock="1"/>
      </w:r>
      <w:r>
        <w:instrText>ADDIN CSL_CITATION { "citationItems" : [ { "id" : "ITEM-1", "itemData" : { "DOI" : "10.1016/j.landurbplan.2004.11.015", "ISSN" : "01692046", "author" : [ { "dropping-particle" : "", "family" : "White", "given" : "Michael D.", "non-dropping-particle" : "", "parse-names" : false, "suffix" : "" }, { "dropping-particle" : "", "family" : "Greer", "given" : "Keith a.", "non-dropping-particle" : "", "parse-names" : false, "suffix" : "" } ], "container-title" : "Landscape and Urban Planning", "id" : "ITEM-1", "issue" : "2", "issued" : { "date-parts" : [ [ "2006", "1" ] ] }, "page" : "125-138", "title" : "The effects of watershed urbanization on the stream hydrology and riparian vegetation of Los Pe\u00f1asquitos Creek, California", "type" : "article-journal", "volume" : "74" }, "uris" : [ "http://www.mendeley.com/documents/?uuid=cb33da40-fb81-4e95-955a-a8ca18e0e3b8" ] } ], "mendeley" : { "previouslyFormattedCitation" : "(White and Greer, 2006)" }, "properties" : { "noteIndex" : 0 }, "schema" : "https://github.com/citation-style-language/schema/raw/master/csl-citation.json" }</w:instrText>
      </w:r>
      <w:r>
        <w:fldChar w:fldCharType="separate"/>
      </w:r>
      <w:r w:rsidRPr="00532115">
        <w:rPr>
          <w:noProof/>
        </w:rPr>
        <w:t>(White and Greer, 2006)</w:t>
      </w:r>
      <w:r>
        <w:fldChar w:fldCharType="end"/>
      </w:r>
      <w:r>
        <w:t xml:space="preserve"> and in Pacific Northwest forests </w:t>
      </w:r>
      <w:r>
        <w:fldChar w:fldCharType="begin" w:fldLock="1"/>
      </w:r>
      <w: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"previouslyFormattedCitation" : "(Lewis et al., 2001)" }, "properties" : { "noteIndex" : 0 }, "schema" : "https://github.com/citation-style-language/schema/raw/master/csl-citation.json" }</w:instrText>
      </w:r>
      <w:r>
        <w:fldChar w:fldCharType="separate"/>
      </w:r>
      <w:r w:rsidRPr="00532115">
        <w:rPr>
          <w:noProof/>
        </w:rPr>
        <w:t>(Lewis et al., 2001)</w:t>
      </w:r>
      <w:r>
        <w:fldChar w:fldCharType="end"/>
      </w:r>
      <w:r>
        <w:t>. As storm magnitude increases, water and/or SSY from natural areas may increase relative to human-disturbed areas,</w:t>
      </w:r>
      <w:r w:rsidRPr="00C67770">
        <w:t xml:space="preserve"> </w:t>
      </w:r>
      <w:r>
        <w:t xml:space="preserve">diminishing anthropogenic impact. While large storms account for most SSY in natural conditions, human-disturbed areas may show the most significant disturbance for smaller storms </w:t>
      </w:r>
      <w:r>
        <w:fldChar w:fldCharType="begin" w:fldLock="1"/>
      </w:r>
      <w: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"previouslyFormattedCitation" : "(Lewis et al., 2001)" }, "properties" : { "noteIndex" : 0 }, "schema" : "https://github.com/citation-style-language/schema/raw/master/csl-citation.json" }</w:instrText>
      </w:r>
      <w:r>
        <w:fldChar w:fldCharType="separate"/>
      </w:r>
      <w:r w:rsidRPr="003B2155">
        <w:rPr>
          <w:noProof/>
        </w:rPr>
        <w:t>(Lewis et al., 2001)</w:t>
      </w:r>
      <w:r>
        <w:fldChar w:fldCharType="end"/>
      </w:r>
      <w:r>
        <w:t xml:space="preserve">. It is hypothesized that the disturbance ratio (DR) is highest for small storms, when background SSY from the undisturbed forest is low and erodible sediment from disturbed surfaces in the lower watershed is the dominant source. For large storms, it is hypothesized mass movements and bank erosion contribute to naturally high SSY from the undisturbed upper watershed, reducing the DR for large events. </w:t>
      </w:r>
    </w:p>
    <w:p w14:paraId="40050663" w14:textId="77777777" w:rsidR="002007FF" w:rsidRDefault="002007FF" w:rsidP="002007FF">
      <w:pPr>
        <w:ind w:firstLine="360"/>
      </w:pPr>
      <w:r>
        <w:t xml:space="preserve">This </w:t>
      </w:r>
      <w:r w:rsidR="00FF0539">
        <w:t>questions addressed include:</w:t>
      </w:r>
      <w:r>
        <w:t xml:space="preserve"> </w:t>
      </w:r>
      <w:r>
        <w:t>How has human disturbance increased sediment loading to Faga’alu Bay?</w:t>
      </w:r>
      <w:r>
        <w:t xml:space="preserve"> H</w:t>
      </w:r>
      <w:r>
        <w:t>ow do sediment contributions from human-disturbed areas and undisturbed areas vary with storm size?</w:t>
      </w:r>
      <w:r>
        <w:t xml:space="preserve"> And </w:t>
      </w:r>
      <w:proofErr w:type="gramStart"/>
      <w:r>
        <w:t>Which</w:t>
      </w:r>
      <w:proofErr w:type="gramEnd"/>
      <w:r>
        <w:t xml:space="preserve"> is the best predictor of storm event suspended sediment yield (SSY</w:t>
      </w:r>
      <w:r w:rsidRPr="001F334C">
        <w:rPr>
          <w:vertAlign w:val="subscript"/>
        </w:rPr>
        <w:t>EV</w:t>
      </w:r>
      <w:r>
        <w:t>): total precipitation, Erosivity Index, total discharge, or maximum event discharge?</w:t>
      </w:r>
    </w:p>
    <w:p w14:paraId="1BD2CA7A" w14:textId="77777777" w:rsidR="00FF0539" w:rsidRDefault="00FF0539" w:rsidP="00FF0539">
      <w:r>
        <w:lastRenderedPageBreak/>
        <w:t>STUDY AREA</w:t>
      </w:r>
    </w:p>
    <w:p w14:paraId="00AE5AE1" w14:textId="77777777" w:rsidR="00FF0539" w:rsidRDefault="00FF0539" w:rsidP="00FF0539">
      <w:pPr>
        <w:ind w:firstLine="360"/>
      </w:pPr>
      <w:r>
        <w:t>The t</w:t>
      </w:r>
      <w:r w:rsidRPr="00703BBA">
        <w:t>wo study watersheds, Faga’alu</w:t>
      </w:r>
      <w:r>
        <w:t xml:space="preserve"> </w:t>
      </w:r>
      <w:r>
        <w:t>(1.86 km</w:t>
      </w:r>
      <w:r w:rsidRPr="00CB1411">
        <w:rPr>
          <w:vertAlign w:val="superscript"/>
        </w:rPr>
        <w:t>2</w:t>
      </w:r>
      <w:r>
        <w:t xml:space="preserve">) </w:t>
      </w:r>
      <w:r>
        <w:t xml:space="preserve">and </w:t>
      </w:r>
      <w:r>
        <w:t>Nu’uuli (2.14km</w:t>
      </w:r>
      <w:r w:rsidRPr="00CB1411">
        <w:rPr>
          <w:vertAlign w:val="superscript"/>
        </w:rPr>
        <w:t>2</w:t>
      </w:r>
      <w:r>
        <w:t>)</w:t>
      </w:r>
      <w:r>
        <w:t>,</w:t>
      </w:r>
      <w:r w:rsidRPr="00703BBA">
        <w:t xml:space="preserve"> are characterized by larg</w:t>
      </w:r>
      <w:r>
        <w:t xml:space="preserve">e areas of undisturbed, steeply </w:t>
      </w:r>
      <w:r w:rsidRPr="00703BBA">
        <w:t>slop</w:t>
      </w:r>
      <w:r>
        <w:t>ing</w:t>
      </w:r>
      <w:r w:rsidRPr="00703BBA">
        <w:t xml:space="preserve">, heavily forested hillsides in the upper watershed, and </w:t>
      </w:r>
      <w:r>
        <w:t xml:space="preserve">similarly steep topography with </w:t>
      </w:r>
      <w:r w:rsidRPr="00703BBA">
        <w:t xml:space="preserve">relatively </w:t>
      </w:r>
      <w:r>
        <w:t>small</w:t>
      </w:r>
      <w:r w:rsidRPr="00703BBA">
        <w:t xml:space="preserve"> flat area</w:t>
      </w:r>
      <w:r>
        <w:t>s that are</w:t>
      </w:r>
      <w:r w:rsidRPr="00703BBA">
        <w:t xml:space="preserve"> urbanized or densely settled in the lower watershed</w:t>
      </w:r>
      <w:r>
        <w:t xml:space="preserve"> </w:t>
      </w:r>
      <w:r w:rsidRPr="00703BBA">
        <w:t>(</w:t>
      </w:r>
      <w:r w:rsidRPr="00703BBA">
        <w:fldChar w:fldCharType="begin"/>
      </w:r>
      <w:r w:rsidRPr="00703BBA">
        <w:instrText xml:space="preserve"> REF _Ref383161294 \h  \* MERGEFORMAT </w:instrText>
      </w:r>
      <w:r w:rsidRPr="00703BBA">
        <w:fldChar w:fldCharType="separate"/>
      </w:r>
      <w:r w:rsidRPr="00703BBA">
        <w:t xml:space="preserve">Figure </w:t>
      </w:r>
      <w:r>
        <w:rPr>
          <w:noProof/>
        </w:rPr>
        <w:t>1</w:t>
      </w:r>
      <w:r w:rsidRPr="00703BBA">
        <w:fldChar w:fldCharType="end"/>
      </w:r>
      <w:r w:rsidRPr="00703BBA">
        <w:t>)</w:t>
      </w:r>
      <w:r>
        <w:t>.</w:t>
      </w:r>
      <w:r w:rsidRPr="00703BBA">
        <w:t xml:space="preserve"> </w:t>
      </w:r>
      <w:r>
        <w:t xml:space="preserve">This settlement pattern is typical for volcanic islands with steep topography in the south Pacific. </w:t>
      </w:r>
      <w:r w:rsidRPr="00703BBA">
        <w:t>Initial monitoring efforts focused on Faga’alu,</w:t>
      </w:r>
      <w:r>
        <w:t xml:space="preserve"> which discharges to</w:t>
      </w:r>
      <w:r w:rsidRPr="00703BBA">
        <w:t xml:space="preserve"> a sediment-impacted reef </w:t>
      </w:r>
      <w:r w:rsidRPr="00703BBA">
        <w:fldChar w:fldCharType="begin" w:fldLock="1"/>
      </w:r>
      <w:r>
        <w:instrText>ADDIN CSL_CITATION { "citationItems" : [ { "id" : "ITEM-1", "itemData" : { "author" : [ { "dropping-particle" : "", "family" : "Aeby", "given" : "Greta", "non-dropping-particle" : "", "parse-names" : false, "suffix" : "" }, { "dropping-particle" : "", "family" : "Aletto", "given" : "Susan Cooper", "non-dropping-particle" : "", "parse-names" : false, "suffix" : "" }, { "dropping-particle" : "", "family" : "Anderson", "given" : "Paul", "non-dropping-particle" : "", "parse-names" : false, "suffix" : "" }, { "dropping-particle" : "", "family" : "Carroll", "given" : "Benjamin P.", "non-dropping-particle" : "", "parse-names" : false, "suffix" : "" }, { "dropping-particle" : "", "family" : "DiDonato", "given" : "Eva M", "non-dropping-particle" : "", "parse-names" : false, "suffix" : "" }, { "dropping-particle" : "", "family" : "DiDonato", "given" : "Guy T", "non-dropping-particle" : "", "parse-names" : false, "suffix" : "" }, { "dropping-particle" : "", "family" : "Farmer", "given" : "Virginia", "non-dropping-particle" : "", "parse-names" : false, "suffix" : "" }, { "dropping-particle" : "", "family" : "Fenner", "given" : "Douglas", "non-dropping-particle" : "", "parse-names" : false, "suffix" : "" }, { "dropping-particle" : "", "family" : "Gove", "given" : "Jameson", "non-dropping-particle" : "", "parse-names" : false, "suffix" : "" }, { "dropping-particle" : "", "family" : "Gulick", "given" : "Sharon", "non-dropping-particle" : "", "parse-names" : false, "suffix" : "" } ], "id" : "ITEM-1", "issued" : { "date-parts" : [ [ "2006" ] ] }, "title" : "The State of Coral Reef Ecosystems of American Samoa", "type" : "article-journal" }, "uris" : [ "http://www.mendeley.com/documents/?uuid=94296330-dbab-4e5e-85c4-8ff1e40a88f5" ] } ], "mendeley" : { "previouslyFormattedCitation" : "(Aeby et al., 2006)" }, "properties" : { "noteIndex" : 0 }, "schema" : "https://github.com/citation-style-language/schema/raw/master/csl-citation.json" }</w:instrText>
      </w:r>
      <w:r w:rsidRPr="00703BBA">
        <w:fldChar w:fldCharType="separate"/>
      </w:r>
      <w:r w:rsidRPr="002778B6">
        <w:rPr>
          <w:noProof/>
        </w:rPr>
        <w:t>(Aeby et al., 2006)</w:t>
      </w:r>
      <w:r w:rsidRPr="00703BBA">
        <w:fldChar w:fldCharType="end"/>
      </w:r>
      <w:r w:rsidRPr="00703BBA">
        <w:t>.</w:t>
      </w:r>
      <w:r>
        <w:t xml:space="preserve"> </w:t>
      </w:r>
      <w:r w:rsidRPr="00703BBA">
        <w:t>Faga’alu includes two unique features not found in “typical” watersheds in American Samoa: 1) an open aggregate quarry</w:t>
      </w:r>
      <w:r>
        <w:t>,</w:t>
      </w:r>
      <w:r w:rsidRPr="00703BBA">
        <w:t xml:space="preserve"> and 2) a large impervious area associated w</w:t>
      </w:r>
      <w:r>
        <w:t>ith a hospital</w:t>
      </w:r>
      <w:r w:rsidRPr="00703BBA">
        <w:t xml:space="preserve">. Nu’uuli watershed is adjacent Faga’alu and </w:t>
      </w:r>
      <w:r>
        <w:t xml:space="preserve">is </w:t>
      </w:r>
      <w:r w:rsidRPr="00703BBA">
        <w:t>similar in precipitatio</w:t>
      </w:r>
      <w:r>
        <w:t xml:space="preserve">n, size, relief, and landcover, </w:t>
      </w:r>
      <w:r w:rsidRPr="00703BBA">
        <w:t>providing an opportunity to compare sediment loading from a more “typical” watershed and estimate the influence of t</w:t>
      </w:r>
      <w:r>
        <w:t>he quarry and impervious area</w:t>
      </w:r>
      <w:r w:rsidRPr="00703BBA">
        <w:t xml:space="preserve"> in Faga’alu. </w:t>
      </w:r>
    </w:p>
    <w:p w14:paraId="3BE111D3" w14:textId="77777777" w:rsidR="00FF0539" w:rsidRPr="00703BBA" w:rsidRDefault="00FF0539" w:rsidP="00FF0539">
      <w:pPr>
        <w:keepNext/>
      </w:pPr>
      <w:r w:rsidRPr="00703BBA">
        <w:rPr>
          <w:noProof/>
        </w:rPr>
        <w:drawing>
          <wp:inline distT="0" distB="0" distL="0" distR="0" wp14:anchorId="665D0E5A" wp14:editId="1AFC7C7F">
            <wp:extent cx="4707500" cy="3162300"/>
            <wp:effectExtent l="0" t="0" r="0" b="0"/>
            <wp:docPr id="1" name="Pictur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uuuli_and_Fagaalu.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12662" cy="3165768"/>
                    </a:xfrm>
                    <a:prstGeom prst="rect">
                      <a:avLst/>
                    </a:prstGeom>
                  </pic:spPr>
                </pic:pic>
              </a:graphicData>
            </a:graphic>
          </wp:inline>
        </w:drawing>
      </w:r>
    </w:p>
    <w:p w14:paraId="4475AC50" w14:textId="77777777" w:rsidR="00FF0539" w:rsidRDefault="00FF0539" w:rsidP="00FF0539">
      <w:pPr>
        <w:pStyle w:val="Caption"/>
        <w:rPr>
          <w:i w:val="0"/>
          <w:iCs w:val="0"/>
        </w:rPr>
      </w:pPr>
      <w:bookmarkStart w:id="0" w:name="_Ref383161294"/>
      <w:bookmarkStart w:id="1" w:name="_Ref383161271"/>
      <w:bookmarkStart w:id="2" w:name="_Ref392743604"/>
      <w:r w:rsidRPr="00703BBA">
        <w:t xml:space="preserve">Figure </w:t>
      </w:r>
      <w:r>
        <w:fldChar w:fldCharType="begin"/>
      </w:r>
      <w:r>
        <w:instrText xml:space="preserve"> SEQ Figure \* ARABIC </w:instrText>
      </w:r>
      <w:r>
        <w:fldChar w:fldCharType="separate"/>
      </w:r>
      <w:r>
        <w:rPr>
          <w:noProof/>
        </w:rPr>
        <w:t>1</w:t>
      </w:r>
      <w:r>
        <w:rPr>
          <w:noProof/>
        </w:rPr>
        <w:fldChar w:fldCharType="end"/>
      </w:r>
      <w:bookmarkEnd w:id="0"/>
      <w:r w:rsidRPr="00703BBA">
        <w:t xml:space="preserve"> Faga'alu and Nu'uuli watersheds showing upper (</w:t>
      </w:r>
      <w:r>
        <w:t>undisturbed) and lower (human-disturbed</w:t>
      </w:r>
      <w:r w:rsidRPr="00703BBA">
        <w:t>) s</w:t>
      </w:r>
      <w:r>
        <w:t>ubwatershed</w:t>
      </w:r>
      <w:r w:rsidRPr="00703BBA">
        <w:t xml:space="preserve">s. </w:t>
      </w:r>
      <w:bookmarkEnd w:id="1"/>
      <w:bookmarkEnd w:id="2"/>
    </w:p>
    <w:p w14:paraId="71604423" w14:textId="77777777" w:rsidR="00FF0539" w:rsidRDefault="00FF0539" w:rsidP="00FF0539">
      <w:pPr>
        <w:pStyle w:val="NoSpacing"/>
        <w:jc w:val="both"/>
      </w:pPr>
      <w:r>
        <w:t xml:space="preserve"> </w:t>
      </w:r>
      <w:r>
        <w:t>Land use in both Faga’alu and Nu’uuli watersheds includes agriculture, roads, and urbanization (</w:t>
      </w:r>
      <w:r>
        <w:fldChar w:fldCharType="begin"/>
      </w:r>
      <w:r>
        <w:instrText xml:space="preserve"> REF _Ref388254438 \h </w:instrText>
      </w:r>
      <w:r>
        <w:fldChar w:fldCharType="separate"/>
      </w:r>
      <w:r>
        <w:t xml:space="preserve">Table </w:t>
      </w:r>
      <w:r>
        <w:rPr>
          <w:noProof/>
        </w:rPr>
        <w:t>1</w:t>
      </w:r>
      <w:r>
        <w:fldChar w:fldCharType="end"/>
      </w:r>
      <w:r>
        <w:fldChar w:fldCharType="begin"/>
      </w:r>
      <w:r>
        <w:instrText xml:space="preserve"> REF _Ref388030338 \h </w:instrText>
      </w:r>
      <w:r>
        <w:fldChar w:fldCharType="end"/>
      </w:r>
      <w:r>
        <w:t xml:space="preserve">). The predominant land cover in the Faga’alu and Nu’uuli watersheds is undisturbed forest on the steep hillsides (85.7% and 93.3%). These forests are prone to natural landslides that can contribute sediment during storm events </w:t>
      </w:r>
      <w:r>
        <w:fldChar w:fldCharType="begin" w:fldLock="1"/>
      </w:r>
      <w:r>
        <w:instrText>ADDIN CSL_CITATION { "citationItems" : [ { "id" : "ITEM-1", "itemData" : { "author" : [ { "dropping-particle" : "", "family" : "Buchanan-Banks", "given" : "Jane", "non-dropping-particle" : "", "parse-names" : false, "suffix" : "" } ], "id" : "ITEM-1", "issued" : { "date-parts" : [ [ "1979" ] ] }, "title" : "The October 28 1979 Landslidng on Tutuila", "type" : "report" }, "uris" : [ "http://www.mendeley.com/documents/?uuid=bbdbe252-c9d2-4924-9f63-3e0e82648fcd" ] }, { "id" : "ITEM-2", "itemData" : { "author" : [ { "dropping-particle" : "", "family" : "Calhoun", "given" : "R Scott", "non-dropping-particle" : "", "parse-names" : false, "suffix" : "" }, { "dropping-particle" : "", "family" : "Fletcher", "given" : "Charles H", "non-dropping-particle" : "", "parse-names" : false, "suffix" : "" } ], "container-title" : "Geomorphology", "id" : "ITEM-2", "issued" : { "date-parts" : [ [ "1999" ] ] }, "page" : "213-226", "title" : "Measured and predicted sediment yield from a subtropical , heavy rainfall , steep-sided river basin : Hanalei , Kauai , Hawaiian Islands", "type" : "article-journal", "volume" : "30" }, "uris" : [ "http://www.mendeley.com/documents/?uuid=dbbe8c4e-7248-40c9-bda8-1d143a639b8b" ] } ], "mendeley" : { "previouslyFormattedCitation" : "(Buchanan-Banks, 1979; Calhoun and Fletcher, 1999)" }, "properties" : { "noteIndex" : 0 }, "schema" : "https://github.com/citation-style-language/schema/raw/master/csl-citation.json" }</w:instrText>
      </w:r>
      <w:r>
        <w:fldChar w:fldCharType="separate"/>
      </w:r>
      <w:r w:rsidRPr="00FC7C8C">
        <w:rPr>
          <w:noProof/>
        </w:rPr>
        <w:t>(Buchanan-Banks, 1979; Calhoun and Fletcher, 1999)</w:t>
      </w:r>
      <w:r>
        <w:fldChar w:fldCharType="end"/>
      </w:r>
      <w:r>
        <w:fldChar w:fldCharType="begin"/>
      </w:r>
      <w:r>
        <w:instrText xml:space="preserve"> ADDIN EN.CITE &lt;EndNote&gt;&lt;Cite&gt;&lt;Author&gt;Calhoun&lt;/Author&gt;&lt;Year&gt;1999&lt;/Year&gt;&lt;RecNum&gt;9&lt;/RecNum&gt;&lt;DisplayText&gt;(Calhoun and Fletcher 1999)&lt;/DisplayText&gt;&lt;record&gt;&lt;rec-number&gt;9&lt;/rec-number&gt;&lt;foreign-keys&gt;&lt;key app="EN" db-id="9rz0sxsf5wzadbeat27vewpbwtea5drfdesw"&gt;9&lt;/key&gt;&lt;/foreign-keys&gt;&lt;ref-type name="Journal Article"&gt;17&lt;/ref-type&gt;&lt;contributors&gt;&lt;authors&gt;&lt;author&gt;Calhoun, R.S.&lt;/author&gt;&lt;author&gt;Fletcher, C.H.&lt;/author&gt;&lt;/authors&gt;&lt;/contributors&gt;&lt;titles&gt;&lt;title&gt;Measured and predicted sediment yield from a subtropical, heavy rainfall, steep-sided river basin: Hanalei, Kauai, Hawaiian Islands&lt;/title&gt;&lt;secondary-title&gt;Geomorphology&lt;/secondary-title&gt;&lt;/titles&gt;&lt;periodical&gt;&lt;full-title&gt;Geomorphology&lt;/full-title&gt;&lt;/periodical&gt;&lt;pages&gt;213-226&lt;/pages&gt;&lt;volume&gt;30&lt;/volume&gt;&lt;number&gt;3&lt;/number&gt;&lt;dates&gt;&lt;year&gt;1999&lt;/year&gt;&lt;/dates&gt;&lt;isbn&gt;0169-555X&lt;/isbn&gt;&lt;urls&gt;&lt;/urls&gt;&lt;custom1&gt;&amp;#xD;&lt;/custom1&gt;&lt;/record&gt;&lt;/Cite&gt;&lt;/EndNote&gt;</w:instrText>
      </w:r>
      <w:r>
        <w:fldChar w:fldCharType="end"/>
      </w:r>
      <w:r>
        <w:t>.</w:t>
      </w:r>
      <w:r w:rsidRPr="00151A43">
        <w:t xml:space="preserve"> </w:t>
      </w:r>
      <w:r>
        <w:t xml:space="preserve">Compared to other watersheds on Tutuila, a relatively large portion of Faga’alu watershed is urbanized </w:t>
      </w:r>
      <w:commentRangeStart w:id="3"/>
      <w:commentRangeStart w:id="4"/>
      <w:r>
        <w:t xml:space="preserve">(“high intensity developed in </w:t>
      </w:r>
      <w:r>
        <w:fldChar w:fldCharType="begin"/>
      </w:r>
      <w:r>
        <w:instrText xml:space="preserve"> REF _Ref388254438 \h </w:instrText>
      </w:r>
      <w:r>
        <w:fldChar w:fldCharType="separate"/>
      </w:r>
      <w:r>
        <w:t xml:space="preserve">Table </w:t>
      </w:r>
      <w:r>
        <w:rPr>
          <w:noProof/>
        </w:rPr>
        <w:t>1</w:t>
      </w:r>
      <w:r>
        <w:fldChar w:fldCharType="end"/>
      </w:r>
      <w:r>
        <w:t>, 4.6%)</w:t>
      </w:r>
      <w:commentRangeEnd w:id="3"/>
      <w:r>
        <w:rPr>
          <w:rStyle w:val="CommentReference"/>
          <w:rFonts w:asciiTheme="minorHAnsi" w:eastAsiaTheme="minorHAnsi" w:hAnsiTheme="minorHAnsi" w:cstheme="minorBidi"/>
        </w:rPr>
        <w:commentReference w:id="3"/>
      </w:r>
      <w:commentRangeEnd w:id="4"/>
      <w:r>
        <w:rPr>
          <w:rStyle w:val="CommentReference"/>
          <w:rFonts w:asciiTheme="minorHAnsi" w:eastAsiaTheme="minorHAnsi" w:hAnsiTheme="minorHAnsi" w:cstheme="minorBidi"/>
        </w:rPr>
        <w:commentReference w:id="4"/>
      </w:r>
      <w:r>
        <w:t>, due to large areas of impervious surface associated with the hospital and the numerous residences and businesses.  A small portion of the watershed (1.1%) is developed open space, which includes landscaped lawns and parks.</w:t>
      </w:r>
    </w:p>
    <w:p w14:paraId="1522F312" w14:textId="77777777" w:rsidR="00FF0539" w:rsidRPr="00AC2A16" w:rsidRDefault="00FF0539" w:rsidP="00FF0539">
      <w:pPr>
        <w:pStyle w:val="NoSpacing"/>
        <w:ind w:firstLine="720"/>
        <w:jc w:val="both"/>
        <w:rPr>
          <w:rFonts w:asciiTheme="minorHAnsi" w:eastAsiaTheme="minorHAnsi" w:hAnsiTheme="minorHAnsi" w:cstheme="minorBidi"/>
          <w:i/>
          <w:iCs/>
          <w:color w:val="44546A" w:themeColor="text2"/>
          <w:sz w:val="16"/>
          <w:szCs w:val="16"/>
        </w:rPr>
      </w:pPr>
      <w:commentRangeStart w:id="5"/>
      <w:r>
        <w:t>In addition to some small, household gardens there are several small agricultural areas growing banana and taro on the steep hillsides</w:t>
      </w:r>
      <w:commentRangeEnd w:id="5"/>
      <w:r>
        <w:rPr>
          <w:rStyle w:val="CommentReference"/>
          <w:rFonts w:asciiTheme="minorHAnsi" w:eastAsiaTheme="minorHAnsi" w:hAnsiTheme="minorHAnsi" w:cstheme="minorBidi"/>
        </w:rPr>
        <w:commentReference w:id="5"/>
      </w:r>
      <w:r>
        <w:t>. In both Faga’alu and Nu’uuli, the NOAA Land Cover map (2.5m res.) classified t</w:t>
      </w:r>
      <w:commentRangeStart w:id="6"/>
      <w:commentRangeStart w:id="7"/>
      <w:r>
        <w:t>he  agricultural plots as “Grassland” due to the high grass cover in the plots (</w:t>
      </w:r>
      <w:r>
        <w:fldChar w:fldCharType="begin"/>
      </w:r>
      <w:r>
        <w:instrText xml:space="preserve"> REF _Ref388254438 \h </w:instrText>
      </w:r>
      <w:r>
        <w:fldChar w:fldCharType="separate"/>
      </w:r>
      <w:r>
        <w:t xml:space="preserve">Table </w:t>
      </w:r>
      <w:r>
        <w:rPr>
          <w:noProof/>
        </w:rPr>
        <w:t>1</w:t>
      </w:r>
      <w:r>
        <w:fldChar w:fldCharType="end"/>
      </w:r>
      <w:r>
        <w:t xml:space="preserve">) </w:t>
      </w:r>
      <w:r>
        <w:fldChar w:fldCharType="begin" w:fldLock="1"/>
      </w:r>
      <w:r>
        <w:instrText>ADDIN CSL_CITATION { "citationItems" : [ { "id" : "ITEM-1", "itemData" : { "author" : [ { "dropping-particle" : "", "family" : "NOAA's Ocean Service", "given" : "", "non-dropping-particle" : "", "parse-names" : false, "suffix" : "" }, { "dropping-particle" : "", "family" : "Coastal Services Center", "given" : "", "non-dropping-particle" : "", "parse-names" : false, "suffix" : "" } ], "id" : "ITEM-1", "issued" : { "date-parts" : [ [ "2010" ] ] }, "title" : "2010 C-CAP Land Cover, Territory of American Samoa, Tutuila", "type" : "article" }, "uris" : [ "http://www.mendeley.com/documents/?uuid=19b6ea61-8113-44b5-a8b3-19d1c579fedb" ] } ], "mendeley" : { "previouslyFormattedCitation" : "(NOAA\u2019s Ocean Service and Coastal Services Center, 2010)" }, "properties" : { "noteIndex" : 0 }, "schema" : "https://github.com/citation-style-language/schema/raw/master/csl-citation.json" }</w:instrText>
      </w:r>
      <w:r>
        <w:fldChar w:fldCharType="separate"/>
      </w:r>
      <w:r w:rsidRPr="00FC7C8C">
        <w:rPr>
          <w:noProof/>
        </w:rPr>
        <w:t>(NOAA’s Ocean Service and Coastal Services Center, 2010)</w:t>
      </w:r>
      <w:r>
        <w:fldChar w:fldCharType="end"/>
      </w:r>
      <w:r>
        <w:t xml:space="preserve">. </w:t>
      </w:r>
      <w:bookmarkStart w:id="8" w:name="_Ref388030338"/>
      <w:commentRangeEnd w:id="6"/>
      <w:r>
        <w:rPr>
          <w:rStyle w:val="CommentReference"/>
          <w:rFonts w:asciiTheme="minorHAnsi" w:eastAsiaTheme="minorHAnsi" w:hAnsiTheme="minorHAnsi" w:cstheme="minorBidi"/>
        </w:rPr>
        <w:commentReference w:id="6"/>
      </w:r>
      <w:bookmarkEnd w:id="8"/>
      <w:commentRangeEnd w:id="7"/>
      <w:r>
        <w:rPr>
          <w:rStyle w:val="CommentReference"/>
          <w:rFonts w:asciiTheme="minorHAnsi" w:eastAsiaTheme="minorHAnsi" w:hAnsiTheme="minorHAnsi" w:cstheme="minorBidi"/>
        </w:rPr>
        <w:commentReference w:id="7"/>
      </w:r>
      <w:r>
        <w:t xml:space="preserve">These plots are currently receiving technical assistance from the Natural Resource Conservation Service (NRCS) to mitigate erosion problems. </w:t>
      </w:r>
    </w:p>
    <w:tbl>
      <w:tblPr>
        <w:tblW w:w="837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080"/>
        <w:gridCol w:w="630"/>
        <w:gridCol w:w="1080"/>
        <w:gridCol w:w="1080"/>
        <w:gridCol w:w="1170"/>
        <w:gridCol w:w="720"/>
        <w:gridCol w:w="720"/>
        <w:gridCol w:w="810"/>
      </w:tblGrid>
      <w:tr w:rsidR="00FF0539" w:rsidRPr="00020DFC" w14:paraId="6C817A09" w14:textId="77777777" w:rsidTr="00CD3A71">
        <w:trPr>
          <w:trHeight w:val="683"/>
        </w:trPr>
        <w:tc>
          <w:tcPr>
            <w:tcW w:w="8370" w:type="dxa"/>
            <w:gridSpan w:val="9"/>
            <w:tcBorders>
              <w:right w:val="single" w:sz="4" w:space="0" w:color="auto"/>
            </w:tcBorders>
            <w:shd w:val="clear" w:color="auto" w:fill="auto"/>
            <w:noWrap/>
            <w:vAlign w:val="bottom"/>
          </w:tcPr>
          <w:p w14:paraId="78D3B2DB" w14:textId="77777777" w:rsidR="00FF0539" w:rsidRPr="00AC2A16" w:rsidRDefault="00FF0539" w:rsidP="00CD3A71">
            <w:pPr>
              <w:pStyle w:val="NoSpacing"/>
              <w:rPr>
                <w:rFonts w:asciiTheme="minorHAnsi" w:hAnsiTheme="minorHAnsi"/>
                <w:b/>
                <w:sz w:val="18"/>
                <w:szCs w:val="18"/>
              </w:rPr>
            </w:pPr>
            <w:bookmarkStart w:id="9" w:name="_Ref388254438"/>
            <w:r>
              <w:lastRenderedPageBreak/>
              <w:t xml:space="preserve">Table </w:t>
            </w:r>
            <w:r>
              <w:fldChar w:fldCharType="begin"/>
            </w:r>
            <w:r>
              <w:instrText xml:space="preserve"> SEQ Table \* ARABIC </w:instrText>
            </w:r>
            <w:r>
              <w:fldChar w:fldCharType="separate"/>
            </w:r>
            <w:r>
              <w:rPr>
                <w:noProof/>
              </w:rPr>
              <w:t>1</w:t>
            </w:r>
            <w:r>
              <w:rPr>
                <w:noProof/>
              </w:rPr>
              <w:fldChar w:fldCharType="end"/>
            </w:r>
            <w:bookmarkEnd w:id="9"/>
            <w:r>
              <w:t xml:space="preserve">. Land use categories in </w:t>
            </w:r>
            <w:proofErr w:type="spellStart"/>
            <w:r>
              <w:t>Fag'alu</w:t>
            </w:r>
            <w:proofErr w:type="spellEnd"/>
            <w:r>
              <w:t xml:space="preserve"> and Nu'uuli watersheds.</w:t>
            </w:r>
          </w:p>
        </w:tc>
      </w:tr>
      <w:tr w:rsidR="00FF0539" w:rsidRPr="00020DFC" w14:paraId="39437DDE" w14:textId="77777777" w:rsidTr="00CD3A71">
        <w:trPr>
          <w:trHeight w:val="683"/>
        </w:trPr>
        <w:tc>
          <w:tcPr>
            <w:tcW w:w="1080" w:type="dxa"/>
            <w:shd w:val="clear" w:color="auto" w:fill="auto"/>
            <w:noWrap/>
            <w:vAlign w:val="bottom"/>
            <w:hideMark/>
          </w:tcPr>
          <w:p w14:paraId="3E339C7D" w14:textId="77777777" w:rsidR="00FF0539" w:rsidRPr="00AC2A16" w:rsidRDefault="00FF0539" w:rsidP="00CD3A71">
            <w:pPr>
              <w:pStyle w:val="NoSpacing"/>
              <w:rPr>
                <w:rFonts w:asciiTheme="minorHAnsi" w:hAnsiTheme="minorHAnsi"/>
                <w:b/>
                <w:sz w:val="18"/>
                <w:szCs w:val="18"/>
              </w:rPr>
            </w:pPr>
            <w:r w:rsidRPr="00AC2A16">
              <w:rPr>
                <w:rFonts w:asciiTheme="minorHAnsi" w:hAnsiTheme="minorHAnsi"/>
                <w:b/>
                <w:sz w:val="18"/>
                <w:szCs w:val="18"/>
              </w:rPr>
              <w:t>Watershed</w:t>
            </w:r>
          </w:p>
        </w:tc>
        <w:tc>
          <w:tcPr>
            <w:tcW w:w="1080" w:type="dxa"/>
            <w:shd w:val="clear" w:color="auto" w:fill="auto"/>
            <w:noWrap/>
            <w:vAlign w:val="bottom"/>
            <w:hideMark/>
          </w:tcPr>
          <w:p w14:paraId="5D072C91" w14:textId="77777777" w:rsidR="00FF0539" w:rsidRPr="00AC2A16" w:rsidRDefault="00FF0539" w:rsidP="00CD3A71">
            <w:pPr>
              <w:pStyle w:val="NoSpacing"/>
              <w:rPr>
                <w:rFonts w:asciiTheme="minorHAnsi" w:hAnsiTheme="minorHAnsi"/>
                <w:b/>
                <w:sz w:val="18"/>
                <w:szCs w:val="18"/>
              </w:rPr>
            </w:pPr>
            <w:r w:rsidRPr="00AC2A16">
              <w:rPr>
                <w:rFonts w:asciiTheme="minorHAnsi" w:hAnsiTheme="minorHAnsi"/>
                <w:b/>
                <w:sz w:val="18"/>
                <w:szCs w:val="18"/>
              </w:rPr>
              <w:t>Cumulative Area km</w:t>
            </w:r>
            <w:r w:rsidRPr="00AC2A16">
              <w:rPr>
                <w:rFonts w:asciiTheme="minorHAnsi" w:hAnsiTheme="minorHAnsi"/>
                <w:b/>
                <w:sz w:val="18"/>
                <w:szCs w:val="18"/>
                <w:vertAlign w:val="superscript"/>
              </w:rPr>
              <w:t>2</w:t>
            </w:r>
          </w:p>
        </w:tc>
        <w:tc>
          <w:tcPr>
            <w:tcW w:w="630" w:type="dxa"/>
            <w:shd w:val="clear" w:color="auto" w:fill="auto"/>
            <w:noWrap/>
            <w:vAlign w:val="bottom"/>
            <w:hideMark/>
          </w:tcPr>
          <w:p w14:paraId="7745A99D" w14:textId="77777777" w:rsidR="00FF0539" w:rsidRPr="00AC2A16" w:rsidRDefault="00FF0539" w:rsidP="00CD3A71">
            <w:pPr>
              <w:pStyle w:val="NoSpacing"/>
              <w:rPr>
                <w:rFonts w:asciiTheme="minorHAnsi" w:hAnsiTheme="minorHAnsi"/>
                <w:b/>
                <w:sz w:val="18"/>
                <w:szCs w:val="18"/>
              </w:rPr>
            </w:pPr>
            <w:r w:rsidRPr="00AC2A16">
              <w:rPr>
                <w:rFonts w:asciiTheme="minorHAnsi" w:hAnsiTheme="minorHAnsi"/>
                <w:b/>
                <w:sz w:val="18"/>
                <w:szCs w:val="18"/>
              </w:rPr>
              <w:t>%</w:t>
            </w:r>
          </w:p>
        </w:tc>
        <w:tc>
          <w:tcPr>
            <w:tcW w:w="1080" w:type="dxa"/>
            <w:tcBorders>
              <w:top w:val="single" w:sz="4" w:space="0" w:color="auto"/>
              <w:left w:val="nil"/>
              <w:bottom w:val="single" w:sz="4" w:space="0" w:color="auto"/>
              <w:right w:val="single" w:sz="4" w:space="0" w:color="auto"/>
            </w:tcBorders>
            <w:shd w:val="clear" w:color="auto" w:fill="auto"/>
            <w:vAlign w:val="bottom"/>
          </w:tcPr>
          <w:p w14:paraId="4688DE4D" w14:textId="77777777" w:rsidR="00FF0539" w:rsidRPr="00AC2A16" w:rsidRDefault="00FF0539" w:rsidP="00CD3A71">
            <w:pPr>
              <w:pStyle w:val="NoSpacing"/>
              <w:rPr>
                <w:rFonts w:asciiTheme="minorHAnsi" w:hAnsiTheme="minorHAnsi"/>
                <w:b/>
                <w:sz w:val="18"/>
                <w:szCs w:val="18"/>
              </w:rPr>
            </w:pPr>
            <w:r w:rsidRPr="00AC2A16">
              <w:rPr>
                <w:rFonts w:asciiTheme="minorHAnsi" w:hAnsiTheme="minorHAnsi"/>
                <w:b/>
                <w:sz w:val="18"/>
                <w:szCs w:val="18"/>
              </w:rPr>
              <w:t>% High Intensity Developed</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BC509F7" w14:textId="77777777" w:rsidR="00FF0539" w:rsidRPr="00AC2A16" w:rsidRDefault="00FF0539" w:rsidP="00CD3A71">
            <w:pPr>
              <w:pStyle w:val="NoSpacing"/>
              <w:rPr>
                <w:rFonts w:asciiTheme="minorHAnsi" w:hAnsiTheme="minorHAnsi"/>
                <w:b/>
                <w:sz w:val="18"/>
                <w:szCs w:val="18"/>
              </w:rPr>
            </w:pPr>
            <w:r w:rsidRPr="00AC2A16">
              <w:rPr>
                <w:rFonts w:asciiTheme="minorHAnsi" w:hAnsiTheme="minorHAnsi"/>
                <w:b/>
                <w:sz w:val="18"/>
                <w:szCs w:val="18"/>
              </w:rPr>
              <w:t>% Developed Open Space</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211C01FA" w14:textId="77777777" w:rsidR="00FF0539" w:rsidRPr="00AC2A16" w:rsidRDefault="00FF0539" w:rsidP="00CD3A71">
            <w:pPr>
              <w:pStyle w:val="NoSpacing"/>
              <w:rPr>
                <w:rFonts w:asciiTheme="minorHAnsi" w:hAnsiTheme="minorHAnsi"/>
                <w:b/>
                <w:sz w:val="18"/>
                <w:szCs w:val="18"/>
              </w:rPr>
            </w:pPr>
            <w:r w:rsidRPr="00AC2A16">
              <w:rPr>
                <w:rFonts w:asciiTheme="minorHAnsi" w:hAnsiTheme="minorHAnsi"/>
                <w:b/>
                <w:sz w:val="18"/>
                <w:szCs w:val="18"/>
              </w:rPr>
              <w:t>% Grassland</w:t>
            </w:r>
          </w:p>
          <w:p w14:paraId="4A84A4F8" w14:textId="77777777" w:rsidR="00FF0539" w:rsidRPr="00AC2A16" w:rsidRDefault="00FF0539" w:rsidP="00CD3A71">
            <w:pPr>
              <w:pStyle w:val="NoSpacing"/>
              <w:rPr>
                <w:rFonts w:asciiTheme="minorHAnsi" w:hAnsiTheme="minorHAnsi"/>
                <w:b/>
                <w:sz w:val="18"/>
                <w:szCs w:val="18"/>
              </w:rPr>
            </w:pPr>
            <w:r w:rsidRPr="00AC2A16">
              <w:rPr>
                <w:rFonts w:asciiTheme="minorHAnsi" w:hAnsiTheme="minorHAnsi"/>
                <w:b/>
                <w:sz w:val="18"/>
                <w:szCs w:val="18"/>
              </w:rPr>
              <w:t>(agriculture)</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DB98D11" w14:textId="77777777" w:rsidR="00FF0539" w:rsidRPr="00AC2A16" w:rsidRDefault="00FF0539" w:rsidP="00CD3A71">
            <w:pPr>
              <w:pStyle w:val="NoSpacing"/>
              <w:rPr>
                <w:rFonts w:asciiTheme="minorHAnsi" w:hAnsiTheme="minorHAnsi"/>
                <w:b/>
                <w:sz w:val="18"/>
                <w:szCs w:val="18"/>
              </w:rPr>
            </w:pPr>
            <w:r w:rsidRPr="00AC2A16">
              <w:rPr>
                <w:rFonts w:asciiTheme="minorHAnsi" w:hAnsiTheme="minorHAnsi"/>
                <w:b/>
                <w:sz w:val="18"/>
                <w:szCs w:val="18"/>
              </w:rPr>
              <w:t>% Forest</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265B040" w14:textId="77777777" w:rsidR="00FF0539" w:rsidRPr="00AC2A16" w:rsidRDefault="00FF0539" w:rsidP="00CD3A71">
            <w:pPr>
              <w:pStyle w:val="NoSpacing"/>
              <w:rPr>
                <w:rFonts w:asciiTheme="minorHAnsi" w:hAnsiTheme="minorHAnsi"/>
                <w:b/>
                <w:sz w:val="18"/>
                <w:szCs w:val="18"/>
              </w:rPr>
            </w:pPr>
            <w:r w:rsidRPr="00AC2A16">
              <w:rPr>
                <w:rFonts w:asciiTheme="minorHAnsi" w:hAnsiTheme="minorHAnsi"/>
                <w:b/>
                <w:sz w:val="18"/>
                <w:szCs w:val="18"/>
              </w:rPr>
              <w:t>% Scrub/ Shrub</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02275062" w14:textId="77777777" w:rsidR="00FF0539" w:rsidRPr="00AC2A16" w:rsidRDefault="00FF0539" w:rsidP="00CD3A71">
            <w:pPr>
              <w:pStyle w:val="NoSpacing"/>
              <w:rPr>
                <w:rFonts w:asciiTheme="minorHAnsi" w:hAnsiTheme="minorHAnsi"/>
                <w:b/>
                <w:sz w:val="18"/>
                <w:szCs w:val="18"/>
              </w:rPr>
            </w:pPr>
            <w:r w:rsidRPr="00AC2A16">
              <w:rPr>
                <w:rFonts w:asciiTheme="minorHAnsi" w:hAnsiTheme="minorHAnsi"/>
                <w:b/>
                <w:sz w:val="18"/>
                <w:szCs w:val="18"/>
              </w:rPr>
              <w:t>% Bare Land</w:t>
            </w:r>
          </w:p>
        </w:tc>
      </w:tr>
      <w:tr w:rsidR="00FF0539" w:rsidRPr="003C092A" w14:paraId="5F4752D5" w14:textId="77777777" w:rsidTr="00CD3A71">
        <w:trPr>
          <w:trHeight w:val="300"/>
        </w:trPr>
        <w:tc>
          <w:tcPr>
            <w:tcW w:w="8370" w:type="dxa"/>
            <w:gridSpan w:val="9"/>
            <w:tcBorders>
              <w:right w:val="single" w:sz="4" w:space="0" w:color="auto"/>
            </w:tcBorders>
            <w:shd w:val="clear" w:color="auto" w:fill="auto"/>
            <w:noWrap/>
            <w:vAlign w:val="bottom"/>
          </w:tcPr>
          <w:p w14:paraId="6D408550" w14:textId="77777777" w:rsidR="00FF0539" w:rsidRPr="002663A3" w:rsidRDefault="00FF0539" w:rsidP="00CD3A71">
            <w:pPr>
              <w:pStyle w:val="NoSpacing"/>
              <w:rPr>
                <w:rFonts w:asciiTheme="minorHAnsi" w:hAnsiTheme="minorHAnsi"/>
                <w:b/>
                <w:color w:val="000000" w:themeColor="text1"/>
                <w:sz w:val="18"/>
                <w:szCs w:val="18"/>
              </w:rPr>
            </w:pPr>
            <w:r w:rsidRPr="002663A3">
              <w:rPr>
                <w:rFonts w:asciiTheme="minorHAnsi" w:hAnsiTheme="minorHAnsi"/>
                <w:b/>
                <w:i/>
                <w:sz w:val="18"/>
                <w:szCs w:val="18"/>
              </w:rPr>
              <w:t>Faga’alu</w:t>
            </w:r>
          </w:p>
        </w:tc>
      </w:tr>
      <w:tr w:rsidR="00FF0539" w:rsidRPr="003C092A" w14:paraId="1269FD79" w14:textId="77777777" w:rsidTr="00CD3A71">
        <w:trPr>
          <w:trHeight w:val="300"/>
        </w:trPr>
        <w:tc>
          <w:tcPr>
            <w:tcW w:w="1080" w:type="dxa"/>
            <w:shd w:val="clear" w:color="auto" w:fill="auto"/>
            <w:noWrap/>
            <w:vAlign w:val="bottom"/>
            <w:hideMark/>
          </w:tcPr>
          <w:p w14:paraId="4E41B07C" w14:textId="77777777" w:rsidR="00FF0539" w:rsidRPr="00AC2A16" w:rsidRDefault="00FF0539" w:rsidP="00CD3A71">
            <w:pPr>
              <w:pStyle w:val="NoSpacing"/>
              <w:rPr>
                <w:rFonts w:asciiTheme="minorHAnsi" w:hAnsiTheme="minorHAnsi"/>
                <w:i/>
                <w:sz w:val="18"/>
                <w:szCs w:val="18"/>
              </w:rPr>
            </w:pPr>
            <w:r w:rsidRPr="00AC2A16">
              <w:rPr>
                <w:rFonts w:asciiTheme="minorHAnsi" w:hAnsiTheme="minorHAnsi"/>
                <w:i/>
                <w:sz w:val="18"/>
                <w:szCs w:val="18"/>
              </w:rPr>
              <w:t xml:space="preserve">   FOREST (UPPER)</w:t>
            </w:r>
          </w:p>
        </w:tc>
        <w:tc>
          <w:tcPr>
            <w:tcW w:w="1080" w:type="dxa"/>
            <w:shd w:val="clear" w:color="auto" w:fill="auto"/>
            <w:noWrap/>
            <w:vAlign w:val="bottom"/>
            <w:hideMark/>
          </w:tcPr>
          <w:p w14:paraId="491C6F98" w14:textId="77777777" w:rsidR="00FF0539" w:rsidRPr="00CB1411" w:rsidRDefault="00FF0539" w:rsidP="00CD3A71">
            <w:pPr>
              <w:pStyle w:val="NoSpacing"/>
              <w:rPr>
                <w:rFonts w:asciiTheme="minorHAnsi" w:hAnsiTheme="minorHAnsi"/>
                <w:color w:val="000000" w:themeColor="text1"/>
                <w:sz w:val="18"/>
                <w:szCs w:val="18"/>
              </w:rPr>
            </w:pPr>
            <w:r w:rsidRPr="00CB1411">
              <w:rPr>
                <w:rFonts w:asciiTheme="minorHAnsi" w:hAnsiTheme="minorHAnsi"/>
                <w:color w:val="000000" w:themeColor="text1"/>
                <w:sz w:val="18"/>
                <w:szCs w:val="18"/>
              </w:rPr>
              <w:t>0.90</w:t>
            </w:r>
          </w:p>
        </w:tc>
        <w:tc>
          <w:tcPr>
            <w:tcW w:w="630" w:type="dxa"/>
            <w:shd w:val="clear" w:color="auto" w:fill="auto"/>
            <w:noWrap/>
            <w:vAlign w:val="bottom"/>
            <w:hideMark/>
          </w:tcPr>
          <w:p w14:paraId="62F1FF4C" w14:textId="77777777" w:rsidR="00FF0539" w:rsidRPr="00CB1411" w:rsidRDefault="00FF0539" w:rsidP="00CD3A71">
            <w:pPr>
              <w:pStyle w:val="NoSpacing"/>
              <w:rPr>
                <w:rFonts w:asciiTheme="minorHAnsi" w:hAnsiTheme="minorHAnsi"/>
                <w:color w:val="000000" w:themeColor="text1"/>
                <w:sz w:val="18"/>
                <w:szCs w:val="18"/>
              </w:rPr>
            </w:pPr>
            <w:r w:rsidRPr="00CB1411">
              <w:rPr>
                <w:rFonts w:asciiTheme="minorHAnsi" w:hAnsiTheme="minorHAnsi"/>
                <w:color w:val="000000" w:themeColor="text1"/>
                <w:sz w:val="18"/>
                <w:szCs w:val="18"/>
              </w:rPr>
              <w:t>48%</w:t>
            </w:r>
          </w:p>
        </w:tc>
        <w:tc>
          <w:tcPr>
            <w:tcW w:w="1080" w:type="dxa"/>
            <w:tcBorders>
              <w:top w:val="single" w:sz="4" w:space="0" w:color="auto"/>
              <w:left w:val="nil"/>
              <w:bottom w:val="single" w:sz="4" w:space="0" w:color="auto"/>
              <w:right w:val="single" w:sz="4" w:space="0" w:color="auto"/>
            </w:tcBorders>
            <w:shd w:val="clear" w:color="auto" w:fill="auto"/>
            <w:vAlign w:val="bottom"/>
          </w:tcPr>
          <w:p w14:paraId="78DBE1B8" w14:textId="77777777" w:rsidR="00FF0539" w:rsidRPr="00CB1411" w:rsidRDefault="00FF0539" w:rsidP="00CD3A71">
            <w:pPr>
              <w:pStyle w:val="NoSpacing"/>
              <w:rPr>
                <w:rFonts w:asciiTheme="minorHAnsi" w:hAnsiTheme="minorHAnsi"/>
                <w:color w:val="000000" w:themeColor="text1"/>
                <w:sz w:val="18"/>
                <w:szCs w:val="18"/>
              </w:rPr>
            </w:pPr>
            <w:r w:rsidRPr="00CB1411">
              <w:rPr>
                <w:rFonts w:asciiTheme="minorHAnsi" w:hAnsiTheme="minorHAnsi"/>
                <w:color w:val="000000" w:themeColor="text1"/>
                <w:sz w:val="18"/>
                <w:szCs w:val="18"/>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66F4B41" w14:textId="77777777" w:rsidR="00FF0539" w:rsidRPr="00CB1411" w:rsidRDefault="00FF0539" w:rsidP="00CD3A71">
            <w:pPr>
              <w:pStyle w:val="NoSpacing"/>
              <w:rPr>
                <w:rFonts w:asciiTheme="minorHAnsi" w:hAnsiTheme="minorHAnsi"/>
                <w:color w:val="000000" w:themeColor="text1"/>
                <w:sz w:val="18"/>
                <w:szCs w:val="18"/>
              </w:rPr>
            </w:pPr>
            <w:r w:rsidRPr="00CB1411">
              <w:rPr>
                <w:rFonts w:asciiTheme="minorHAnsi" w:hAnsiTheme="minorHAnsi"/>
                <w:color w:val="000000" w:themeColor="text1"/>
                <w:sz w:val="18"/>
                <w:szCs w:val="18"/>
              </w:rPr>
              <w:t>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16A6B663" w14:textId="77777777" w:rsidR="00FF0539" w:rsidRPr="00CB1411" w:rsidRDefault="00FF0539" w:rsidP="00CD3A71">
            <w:pPr>
              <w:pStyle w:val="NoSpacing"/>
              <w:rPr>
                <w:rFonts w:asciiTheme="minorHAnsi" w:hAnsiTheme="minorHAnsi"/>
                <w:color w:val="000000" w:themeColor="text1"/>
                <w:sz w:val="18"/>
                <w:szCs w:val="18"/>
              </w:rPr>
            </w:pPr>
            <w:r w:rsidRPr="00CB1411">
              <w:rPr>
                <w:rFonts w:asciiTheme="minorHAnsi" w:hAnsiTheme="minorHAnsi"/>
                <w:color w:val="000000" w:themeColor="text1"/>
                <w:sz w:val="18"/>
                <w:szCs w:val="18"/>
              </w:rPr>
              <w:t>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4AFA92B" w14:textId="77777777" w:rsidR="00FF0539" w:rsidRPr="00CB1411" w:rsidRDefault="00FF0539" w:rsidP="00CD3A71">
            <w:pPr>
              <w:pStyle w:val="NoSpacing"/>
              <w:rPr>
                <w:rFonts w:asciiTheme="minorHAnsi" w:hAnsiTheme="minorHAnsi"/>
                <w:color w:val="000000" w:themeColor="text1"/>
                <w:sz w:val="18"/>
                <w:szCs w:val="18"/>
              </w:rPr>
            </w:pPr>
            <w:r w:rsidRPr="00CB1411">
              <w:rPr>
                <w:rFonts w:asciiTheme="minorHAnsi" w:hAnsiTheme="minorHAnsi"/>
                <w:color w:val="000000" w:themeColor="text1"/>
                <w:sz w:val="18"/>
                <w:szCs w:val="18"/>
              </w:rPr>
              <w:t>82.4%</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1F988C0" w14:textId="77777777" w:rsidR="00FF0539" w:rsidRPr="00CB1411" w:rsidRDefault="00FF0539" w:rsidP="00CD3A71">
            <w:pPr>
              <w:pStyle w:val="NoSpacing"/>
              <w:rPr>
                <w:rFonts w:asciiTheme="minorHAnsi" w:hAnsiTheme="minorHAnsi"/>
                <w:color w:val="000000" w:themeColor="text1"/>
                <w:sz w:val="18"/>
                <w:szCs w:val="18"/>
              </w:rPr>
            </w:pPr>
            <w:r w:rsidRPr="00CB1411">
              <w:rPr>
                <w:rFonts w:asciiTheme="minorHAnsi" w:hAnsiTheme="minorHAnsi"/>
                <w:color w:val="000000" w:themeColor="text1"/>
                <w:sz w:val="18"/>
                <w:szCs w:val="18"/>
              </w:rPr>
              <w:t>17.1%</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4CFFF515" w14:textId="77777777" w:rsidR="00FF0539" w:rsidRPr="00CB1411" w:rsidRDefault="00FF0539" w:rsidP="00CD3A71">
            <w:pPr>
              <w:pStyle w:val="NoSpacing"/>
              <w:rPr>
                <w:rFonts w:asciiTheme="minorHAnsi" w:hAnsiTheme="minorHAnsi"/>
                <w:color w:val="000000" w:themeColor="text1"/>
                <w:sz w:val="18"/>
                <w:szCs w:val="18"/>
              </w:rPr>
            </w:pPr>
            <w:r w:rsidRPr="00CB1411">
              <w:rPr>
                <w:rFonts w:asciiTheme="minorHAnsi" w:hAnsiTheme="minorHAnsi"/>
                <w:color w:val="000000" w:themeColor="text1"/>
                <w:sz w:val="18"/>
                <w:szCs w:val="18"/>
              </w:rPr>
              <w:t>0.4%</w:t>
            </w:r>
          </w:p>
        </w:tc>
      </w:tr>
      <w:tr w:rsidR="00FF0539" w:rsidRPr="003C092A" w14:paraId="6DEA3343" w14:textId="77777777" w:rsidTr="00CD3A71">
        <w:trPr>
          <w:trHeight w:val="300"/>
        </w:trPr>
        <w:tc>
          <w:tcPr>
            <w:tcW w:w="1080" w:type="dxa"/>
            <w:shd w:val="clear" w:color="auto" w:fill="auto"/>
            <w:noWrap/>
            <w:vAlign w:val="bottom"/>
            <w:hideMark/>
          </w:tcPr>
          <w:p w14:paraId="072DD271" w14:textId="77777777" w:rsidR="00FF0539" w:rsidRPr="00AC2A16" w:rsidRDefault="00FF0539" w:rsidP="00CD3A71">
            <w:pPr>
              <w:pStyle w:val="NoSpacing"/>
              <w:rPr>
                <w:rFonts w:asciiTheme="minorHAnsi" w:hAnsiTheme="minorHAnsi"/>
                <w:i/>
                <w:sz w:val="18"/>
                <w:szCs w:val="18"/>
              </w:rPr>
            </w:pPr>
            <w:r w:rsidRPr="00AC2A16">
              <w:rPr>
                <w:rFonts w:asciiTheme="minorHAnsi" w:hAnsiTheme="minorHAnsi"/>
                <w:i/>
                <w:sz w:val="18"/>
                <w:szCs w:val="18"/>
              </w:rPr>
              <w:t xml:space="preserve">   QUARRY</w:t>
            </w:r>
          </w:p>
        </w:tc>
        <w:tc>
          <w:tcPr>
            <w:tcW w:w="1080" w:type="dxa"/>
            <w:shd w:val="clear" w:color="auto" w:fill="auto"/>
            <w:noWrap/>
            <w:vAlign w:val="bottom"/>
            <w:hideMark/>
          </w:tcPr>
          <w:p w14:paraId="03EEF778" w14:textId="77777777" w:rsidR="00FF0539" w:rsidRPr="00CB1411" w:rsidRDefault="00FF0539" w:rsidP="00CD3A71">
            <w:pPr>
              <w:pStyle w:val="NoSpacing"/>
              <w:rPr>
                <w:rFonts w:asciiTheme="minorHAnsi" w:hAnsiTheme="minorHAnsi"/>
                <w:color w:val="000000" w:themeColor="text1"/>
                <w:sz w:val="18"/>
                <w:szCs w:val="18"/>
              </w:rPr>
            </w:pPr>
            <w:r w:rsidRPr="00CB1411">
              <w:rPr>
                <w:rFonts w:asciiTheme="minorHAnsi" w:hAnsiTheme="minorHAnsi"/>
                <w:color w:val="000000" w:themeColor="text1"/>
                <w:sz w:val="18"/>
                <w:szCs w:val="18"/>
              </w:rPr>
              <w:t>1.17</w:t>
            </w:r>
          </w:p>
        </w:tc>
        <w:tc>
          <w:tcPr>
            <w:tcW w:w="630" w:type="dxa"/>
            <w:shd w:val="clear" w:color="auto" w:fill="auto"/>
            <w:noWrap/>
            <w:vAlign w:val="bottom"/>
            <w:hideMark/>
          </w:tcPr>
          <w:p w14:paraId="019875D6" w14:textId="77777777" w:rsidR="00FF0539" w:rsidRPr="00CB1411" w:rsidRDefault="00FF0539" w:rsidP="00CD3A71">
            <w:pPr>
              <w:pStyle w:val="NoSpacing"/>
              <w:rPr>
                <w:rFonts w:asciiTheme="minorHAnsi" w:hAnsiTheme="minorHAnsi"/>
                <w:color w:val="000000" w:themeColor="text1"/>
                <w:sz w:val="18"/>
                <w:szCs w:val="18"/>
              </w:rPr>
            </w:pPr>
            <w:r w:rsidRPr="00CB1411">
              <w:rPr>
                <w:rFonts w:asciiTheme="minorHAnsi" w:hAnsiTheme="minorHAnsi"/>
                <w:color w:val="000000" w:themeColor="text1"/>
                <w:sz w:val="18"/>
                <w:szCs w:val="18"/>
              </w:rPr>
              <w:t>63%</w:t>
            </w:r>
          </w:p>
        </w:tc>
        <w:tc>
          <w:tcPr>
            <w:tcW w:w="1080" w:type="dxa"/>
            <w:tcBorders>
              <w:top w:val="single" w:sz="4" w:space="0" w:color="auto"/>
              <w:left w:val="nil"/>
              <w:bottom w:val="single" w:sz="4" w:space="0" w:color="auto"/>
              <w:right w:val="single" w:sz="4" w:space="0" w:color="auto"/>
            </w:tcBorders>
            <w:shd w:val="clear" w:color="auto" w:fill="auto"/>
            <w:vAlign w:val="bottom"/>
          </w:tcPr>
          <w:p w14:paraId="50ED51E8" w14:textId="77777777" w:rsidR="00FF0539" w:rsidRPr="00CB1411" w:rsidRDefault="00FF0539" w:rsidP="00CD3A71">
            <w:pPr>
              <w:pStyle w:val="NoSpacing"/>
              <w:rPr>
                <w:rFonts w:asciiTheme="minorHAnsi" w:hAnsiTheme="minorHAnsi"/>
                <w:color w:val="000000" w:themeColor="text1"/>
                <w:sz w:val="18"/>
                <w:szCs w:val="18"/>
              </w:rPr>
            </w:pPr>
            <w:r w:rsidRPr="00CB1411">
              <w:rPr>
                <w:rFonts w:asciiTheme="minorHAnsi" w:hAnsiTheme="minorHAnsi"/>
                <w:color w:val="000000" w:themeColor="text1"/>
                <w:sz w:val="18"/>
                <w:szCs w:val="18"/>
              </w:rPr>
              <w:t>0.2%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3B6C0FD8" w14:textId="77777777" w:rsidR="00FF0539" w:rsidRPr="00CB1411" w:rsidRDefault="00FF0539" w:rsidP="00CD3A71">
            <w:pPr>
              <w:pStyle w:val="NoSpacing"/>
              <w:rPr>
                <w:rFonts w:asciiTheme="minorHAnsi" w:hAnsiTheme="minorHAnsi"/>
                <w:color w:val="000000" w:themeColor="text1"/>
                <w:sz w:val="18"/>
                <w:szCs w:val="18"/>
              </w:rPr>
            </w:pPr>
            <w:r w:rsidRPr="00CB1411">
              <w:rPr>
                <w:rFonts w:asciiTheme="minorHAnsi" w:hAnsiTheme="minorHAnsi"/>
                <w:color w:val="000000" w:themeColor="text1"/>
                <w:sz w:val="18"/>
                <w:szCs w:val="18"/>
              </w:rPr>
              <w:t>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3BA89940" w14:textId="77777777" w:rsidR="00FF0539" w:rsidRPr="00CB1411" w:rsidRDefault="00FF0539" w:rsidP="00CD3A71">
            <w:pPr>
              <w:pStyle w:val="NoSpacing"/>
              <w:rPr>
                <w:rFonts w:asciiTheme="minorHAnsi" w:hAnsiTheme="minorHAnsi"/>
                <w:color w:val="000000" w:themeColor="text1"/>
                <w:sz w:val="18"/>
                <w:szCs w:val="18"/>
              </w:rPr>
            </w:pPr>
            <w:r w:rsidRPr="00CB1411">
              <w:rPr>
                <w:rFonts w:asciiTheme="minorHAnsi" w:hAnsiTheme="minorHAnsi"/>
                <w:color w:val="000000" w:themeColor="text1"/>
                <w:sz w:val="18"/>
                <w:szCs w:val="18"/>
              </w:rPr>
              <w:t>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4E0C068A" w14:textId="77777777" w:rsidR="00FF0539" w:rsidRPr="00CB1411" w:rsidRDefault="00FF0539" w:rsidP="00CD3A71">
            <w:pPr>
              <w:pStyle w:val="NoSpacing"/>
              <w:rPr>
                <w:rFonts w:asciiTheme="minorHAnsi" w:hAnsiTheme="minorHAnsi"/>
                <w:color w:val="000000" w:themeColor="text1"/>
                <w:sz w:val="18"/>
                <w:szCs w:val="18"/>
              </w:rPr>
            </w:pPr>
            <w:r w:rsidRPr="00CB1411">
              <w:rPr>
                <w:rFonts w:asciiTheme="minorHAnsi" w:hAnsiTheme="minorHAnsi"/>
                <w:color w:val="000000" w:themeColor="text1"/>
                <w:sz w:val="18"/>
                <w:szCs w:val="18"/>
              </w:rPr>
              <w:t>84.7%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E63B140" w14:textId="77777777" w:rsidR="00FF0539" w:rsidRPr="00CB1411" w:rsidRDefault="00FF0539" w:rsidP="00CD3A71">
            <w:pPr>
              <w:pStyle w:val="NoSpacing"/>
              <w:rPr>
                <w:rFonts w:asciiTheme="minorHAnsi" w:hAnsiTheme="minorHAnsi"/>
                <w:color w:val="000000" w:themeColor="text1"/>
                <w:sz w:val="18"/>
                <w:szCs w:val="18"/>
              </w:rPr>
            </w:pPr>
            <w:r w:rsidRPr="00CB1411">
              <w:rPr>
                <w:rFonts w:asciiTheme="minorHAnsi" w:hAnsiTheme="minorHAnsi"/>
                <w:color w:val="000000" w:themeColor="text1"/>
                <w:sz w:val="18"/>
                <w:szCs w:val="18"/>
              </w:rPr>
              <w:t>13.3%</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1193CB48" w14:textId="77777777" w:rsidR="00FF0539" w:rsidRPr="00CB1411" w:rsidRDefault="00FF0539" w:rsidP="00CD3A71">
            <w:pPr>
              <w:pStyle w:val="NoSpacing"/>
              <w:rPr>
                <w:rFonts w:asciiTheme="minorHAnsi" w:hAnsiTheme="minorHAnsi"/>
                <w:color w:val="000000" w:themeColor="text1"/>
                <w:sz w:val="18"/>
                <w:szCs w:val="18"/>
              </w:rPr>
            </w:pPr>
            <w:r w:rsidRPr="00CB1411">
              <w:rPr>
                <w:rFonts w:asciiTheme="minorHAnsi" w:hAnsiTheme="minorHAnsi"/>
                <w:color w:val="000000" w:themeColor="text1"/>
                <w:sz w:val="18"/>
                <w:szCs w:val="18"/>
              </w:rPr>
              <w:t>1.6%</w:t>
            </w:r>
          </w:p>
        </w:tc>
      </w:tr>
      <w:tr w:rsidR="00FF0539" w:rsidRPr="003C092A" w14:paraId="5424A24B" w14:textId="77777777" w:rsidTr="00CD3A71">
        <w:trPr>
          <w:trHeight w:val="300"/>
        </w:trPr>
        <w:tc>
          <w:tcPr>
            <w:tcW w:w="1080" w:type="dxa"/>
            <w:shd w:val="clear" w:color="auto" w:fill="auto"/>
            <w:noWrap/>
            <w:vAlign w:val="bottom"/>
            <w:hideMark/>
          </w:tcPr>
          <w:p w14:paraId="4CBD94B0" w14:textId="77777777" w:rsidR="00FF0539" w:rsidRPr="00AC2A16" w:rsidRDefault="00FF0539" w:rsidP="00CD3A71">
            <w:pPr>
              <w:pStyle w:val="NoSpacing"/>
              <w:rPr>
                <w:rFonts w:asciiTheme="minorHAnsi" w:hAnsiTheme="minorHAnsi"/>
                <w:i/>
                <w:sz w:val="18"/>
                <w:szCs w:val="18"/>
              </w:rPr>
            </w:pPr>
            <w:r w:rsidRPr="00AC2A16">
              <w:rPr>
                <w:rFonts w:asciiTheme="minorHAnsi" w:hAnsiTheme="minorHAnsi"/>
                <w:i/>
                <w:sz w:val="18"/>
                <w:szCs w:val="18"/>
              </w:rPr>
              <w:t xml:space="preserve">   VILLAGE (TOTAL)</w:t>
            </w:r>
          </w:p>
        </w:tc>
        <w:tc>
          <w:tcPr>
            <w:tcW w:w="1080" w:type="dxa"/>
            <w:shd w:val="clear" w:color="auto" w:fill="auto"/>
            <w:noWrap/>
            <w:vAlign w:val="bottom"/>
            <w:hideMark/>
          </w:tcPr>
          <w:p w14:paraId="1FFE0DD0" w14:textId="77777777" w:rsidR="00FF0539" w:rsidRPr="00CB1411" w:rsidRDefault="00FF0539" w:rsidP="00CD3A71">
            <w:pPr>
              <w:pStyle w:val="NoSpacing"/>
              <w:rPr>
                <w:rFonts w:asciiTheme="minorHAnsi" w:hAnsiTheme="minorHAnsi"/>
                <w:color w:val="000000" w:themeColor="text1"/>
                <w:sz w:val="18"/>
                <w:szCs w:val="18"/>
              </w:rPr>
            </w:pPr>
            <w:r w:rsidRPr="00CB1411">
              <w:rPr>
                <w:rFonts w:asciiTheme="minorHAnsi" w:hAnsiTheme="minorHAnsi"/>
                <w:color w:val="000000" w:themeColor="text1"/>
                <w:sz w:val="18"/>
                <w:szCs w:val="18"/>
              </w:rPr>
              <w:t>1.78</w:t>
            </w:r>
          </w:p>
        </w:tc>
        <w:tc>
          <w:tcPr>
            <w:tcW w:w="630" w:type="dxa"/>
            <w:shd w:val="clear" w:color="auto" w:fill="auto"/>
            <w:noWrap/>
            <w:vAlign w:val="bottom"/>
            <w:hideMark/>
          </w:tcPr>
          <w:p w14:paraId="7064B149" w14:textId="77777777" w:rsidR="00FF0539" w:rsidRPr="00CB1411" w:rsidRDefault="00FF0539" w:rsidP="00CD3A71">
            <w:pPr>
              <w:pStyle w:val="NoSpacing"/>
              <w:rPr>
                <w:rFonts w:asciiTheme="minorHAnsi" w:hAnsiTheme="minorHAnsi"/>
                <w:color w:val="000000" w:themeColor="text1"/>
                <w:sz w:val="18"/>
                <w:szCs w:val="18"/>
              </w:rPr>
            </w:pPr>
            <w:r w:rsidRPr="00CB1411">
              <w:rPr>
                <w:rFonts w:asciiTheme="minorHAnsi" w:hAnsiTheme="minorHAnsi"/>
                <w:color w:val="000000" w:themeColor="text1"/>
                <w:sz w:val="18"/>
                <w:szCs w:val="18"/>
              </w:rPr>
              <w:t>95%</w:t>
            </w:r>
          </w:p>
        </w:tc>
        <w:tc>
          <w:tcPr>
            <w:tcW w:w="1080" w:type="dxa"/>
            <w:tcBorders>
              <w:top w:val="single" w:sz="4" w:space="0" w:color="auto"/>
              <w:left w:val="nil"/>
              <w:bottom w:val="single" w:sz="4" w:space="0" w:color="auto"/>
              <w:right w:val="single" w:sz="4" w:space="0" w:color="auto"/>
            </w:tcBorders>
            <w:shd w:val="clear" w:color="auto" w:fill="auto"/>
            <w:vAlign w:val="bottom"/>
          </w:tcPr>
          <w:p w14:paraId="61F23DB8" w14:textId="77777777" w:rsidR="00FF0539" w:rsidRPr="00CB1411" w:rsidRDefault="00FF0539" w:rsidP="00CD3A71">
            <w:pPr>
              <w:pStyle w:val="NoSpacing"/>
              <w:rPr>
                <w:rFonts w:asciiTheme="minorHAnsi" w:hAnsiTheme="minorHAnsi"/>
                <w:color w:val="000000" w:themeColor="text1"/>
                <w:sz w:val="18"/>
                <w:szCs w:val="18"/>
              </w:rPr>
            </w:pPr>
            <w:r w:rsidRPr="00CB1411">
              <w:rPr>
                <w:rFonts w:asciiTheme="minorHAnsi" w:hAnsiTheme="minorHAnsi"/>
                <w:color w:val="000000" w:themeColor="text1"/>
                <w:sz w:val="18"/>
                <w:szCs w:val="18"/>
              </w:rPr>
              <w:t>3.2%</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2536B3F5" w14:textId="77777777" w:rsidR="00FF0539" w:rsidRPr="00CB1411" w:rsidRDefault="00FF0539" w:rsidP="00CD3A71">
            <w:pPr>
              <w:pStyle w:val="NoSpacing"/>
              <w:rPr>
                <w:rFonts w:asciiTheme="minorHAnsi" w:hAnsiTheme="minorHAnsi"/>
                <w:color w:val="000000" w:themeColor="text1"/>
                <w:sz w:val="18"/>
                <w:szCs w:val="18"/>
              </w:rPr>
            </w:pPr>
            <w:r w:rsidRPr="00CB1411">
              <w:rPr>
                <w:rFonts w:asciiTheme="minorHAnsi" w:hAnsiTheme="minorHAnsi"/>
                <w:color w:val="000000" w:themeColor="text1"/>
                <w:sz w:val="18"/>
                <w:szCs w:val="18"/>
              </w:rPr>
              <w:t>0.9%</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3EA27800" w14:textId="77777777" w:rsidR="00FF0539" w:rsidRPr="00CB1411" w:rsidRDefault="00FF0539" w:rsidP="00CD3A71">
            <w:pPr>
              <w:pStyle w:val="NoSpacing"/>
              <w:rPr>
                <w:rFonts w:asciiTheme="minorHAnsi" w:hAnsiTheme="minorHAnsi"/>
                <w:color w:val="000000" w:themeColor="text1"/>
                <w:sz w:val="18"/>
                <w:szCs w:val="18"/>
              </w:rPr>
            </w:pPr>
            <w:r w:rsidRPr="00CB1411">
              <w:rPr>
                <w:rFonts w:asciiTheme="minorHAnsi" w:hAnsiTheme="minorHAnsi"/>
                <w:color w:val="000000" w:themeColor="text1"/>
                <w:sz w:val="18"/>
                <w:szCs w:val="18"/>
              </w:rPr>
              <w:t>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9E2621A" w14:textId="77777777" w:rsidR="00FF0539" w:rsidRPr="00CB1411" w:rsidRDefault="00FF0539" w:rsidP="00CD3A71">
            <w:pPr>
              <w:pStyle w:val="NoSpacing"/>
              <w:rPr>
                <w:rFonts w:asciiTheme="minorHAnsi" w:hAnsiTheme="minorHAnsi"/>
                <w:color w:val="000000" w:themeColor="text1"/>
                <w:sz w:val="18"/>
                <w:szCs w:val="18"/>
              </w:rPr>
            </w:pPr>
            <w:r w:rsidRPr="00CB1411">
              <w:rPr>
                <w:rFonts w:asciiTheme="minorHAnsi" w:hAnsiTheme="minorHAnsi"/>
                <w:color w:val="000000" w:themeColor="text1"/>
                <w:sz w:val="18"/>
                <w:szCs w:val="18"/>
              </w:rPr>
              <w:t>85.7%</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7CDA71EF" w14:textId="77777777" w:rsidR="00FF0539" w:rsidRPr="00CB1411" w:rsidRDefault="00FF0539" w:rsidP="00CD3A71">
            <w:pPr>
              <w:pStyle w:val="NoSpacing"/>
              <w:rPr>
                <w:rFonts w:asciiTheme="minorHAnsi" w:hAnsiTheme="minorHAnsi"/>
                <w:color w:val="000000" w:themeColor="text1"/>
                <w:sz w:val="18"/>
                <w:szCs w:val="18"/>
              </w:rPr>
            </w:pPr>
            <w:r w:rsidRPr="00CB1411">
              <w:rPr>
                <w:rFonts w:asciiTheme="minorHAnsi" w:hAnsiTheme="minorHAnsi"/>
                <w:color w:val="000000" w:themeColor="text1"/>
                <w:sz w:val="18"/>
                <w:szCs w:val="18"/>
              </w:rPr>
              <w:t>9.0%</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6351CCA4" w14:textId="77777777" w:rsidR="00FF0539" w:rsidRPr="00CB1411" w:rsidRDefault="00FF0539" w:rsidP="00CD3A71">
            <w:pPr>
              <w:pStyle w:val="NoSpacing"/>
              <w:rPr>
                <w:rFonts w:asciiTheme="minorHAnsi" w:hAnsiTheme="minorHAnsi"/>
                <w:color w:val="000000" w:themeColor="text1"/>
                <w:sz w:val="18"/>
                <w:szCs w:val="18"/>
              </w:rPr>
            </w:pPr>
            <w:r w:rsidRPr="00CB1411">
              <w:rPr>
                <w:rFonts w:asciiTheme="minorHAnsi" w:hAnsiTheme="minorHAnsi"/>
                <w:color w:val="000000" w:themeColor="text1"/>
                <w:sz w:val="18"/>
                <w:szCs w:val="18"/>
              </w:rPr>
              <w:t>1.1%</w:t>
            </w:r>
          </w:p>
        </w:tc>
      </w:tr>
      <w:tr w:rsidR="00FF0539" w:rsidRPr="003C092A" w14:paraId="2B5D8FF5" w14:textId="77777777" w:rsidTr="00CD3A71">
        <w:trPr>
          <w:trHeight w:val="315"/>
        </w:trPr>
        <w:tc>
          <w:tcPr>
            <w:tcW w:w="1080" w:type="dxa"/>
            <w:shd w:val="clear" w:color="auto" w:fill="auto"/>
            <w:noWrap/>
            <w:vAlign w:val="bottom"/>
            <w:hideMark/>
          </w:tcPr>
          <w:p w14:paraId="1C72F49C" w14:textId="77777777" w:rsidR="00FF0539" w:rsidRPr="00AC2A16" w:rsidRDefault="00FF0539" w:rsidP="00CD3A71">
            <w:pPr>
              <w:pStyle w:val="NoSpacing"/>
              <w:rPr>
                <w:rFonts w:asciiTheme="minorHAnsi" w:hAnsiTheme="minorHAnsi"/>
                <w:i/>
                <w:sz w:val="18"/>
                <w:szCs w:val="18"/>
              </w:rPr>
            </w:pPr>
            <w:proofErr w:type="spellStart"/>
            <w:r w:rsidRPr="00AC2A16">
              <w:rPr>
                <w:rFonts w:asciiTheme="minorHAnsi" w:hAnsiTheme="minorHAnsi"/>
                <w:i/>
                <w:sz w:val="18"/>
                <w:szCs w:val="18"/>
              </w:rPr>
              <w:t>Fag’alu</w:t>
            </w:r>
            <w:proofErr w:type="spellEnd"/>
            <w:r w:rsidRPr="00AC2A16">
              <w:rPr>
                <w:rFonts w:asciiTheme="minorHAnsi" w:hAnsiTheme="minorHAnsi"/>
                <w:i/>
                <w:sz w:val="18"/>
                <w:szCs w:val="18"/>
              </w:rPr>
              <w:t xml:space="preserve"> total</w:t>
            </w:r>
          </w:p>
        </w:tc>
        <w:tc>
          <w:tcPr>
            <w:tcW w:w="1080" w:type="dxa"/>
            <w:shd w:val="clear" w:color="auto" w:fill="auto"/>
            <w:noWrap/>
            <w:vAlign w:val="bottom"/>
            <w:hideMark/>
          </w:tcPr>
          <w:p w14:paraId="011EC497" w14:textId="77777777" w:rsidR="00FF0539" w:rsidRPr="00CB1411" w:rsidRDefault="00FF0539" w:rsidP="00CD3A71">
            <w:pPr>
              <w:pStyle w:val="NoSpacing"/>
              <w:rPr>
                <w:rFonts w:asciiTheme="minorHAnsi" w:hAnsiTheme="minorHAnsi"/>
                <w:color w:val="000000" w:themeColor="text1"/>
                <w:sz w:val="18"/>
                <w:szCs w:val="18"/>
              </w:rPr>
            </w:pPr>
            <w:r w:rsidRPr="00CB1411">
              <w:rPr>
                <w:rFonts w:asciiTheme="minorHAnsi" w:hAnsiTheme="minorHAnsi"/>
                <w:color w:val="000000" w:themeColor="text1"/>
                <w:sz w:val="18"/>
                <w:szCs w:val="18"/>
              </w:rPr>
              <w:t>1.86</w:t>
            </w:r>
          </w:p>
        </w:tc>
        <w:tc>
          <w:tcPr>
            <w:tcW w:w="630" w:type="dxa"/>
            <w:shd w:val="clear" w:color="auto" w:fill="auto"/>
            <w:noWrap/>
            <w:vAlign w:val="bottom"/>
            <w:hideMark/>
          </w:tcPr>
          <w:p w14:paraId="14688603" w14:textId="77777777" w:rsidR="00FF0539" w:rsidRPr="00CB1411" w:rsidRDefault="00FF0539" w:rsidP="00CD3A71">
            <w:pPr>
              <w:pStyle w:val="NoSpacing"/>
              <w:rPr>
                <w:rFonts w:asciiTheme="minorHAnsi" w:hAnsiTheme="minorHAnsi"/>
                <w:color w:val="000000" w:themeColor="text1"/>
                <w:sz w:val="18"/>
                <w:szCs w:val="18"/>
              </w:rPr>
            </w:pPr>
            <w:r w:rsidRPr="00CB1411">
              <w:rPr>
                <w:rFonts w:asciiTheme="minorHAnsi" w:hAnsiTheme="minorHAnsi"/>
                <w:color w:val="000000" w:themeColor="text1"/>
                <w:sz w:val="18"/>
                <w:szCs w:val="18"/>
              </w:rPr>
              <w:t>100%</w:t>
            </w:r>
          </w:p>
        </w:tc>
        <w:tc>
          <w:tcPr>
            <w:tcW w:w="1080" w:type="dxa"/>
            <w:tcBorders>
              <w:top w:val="single" w:sz="4" w:space="0" w:color="auto"/>
              <w:left w:val="nil"/>
              <w:bottom w:val="single" w:sz="4" w:space="0" w:color="auto"/>
              <w:right w:val="single" w:sz="4" w:space="0" w:color="auto"/>
            </w:tcBorders>
            <w:shd w:val="clear" w:color="auto" w:fill="auto"/>
            <w:vAlign w:val="bottom"/>
          </w:tcPr>
          <w:p w14:paraId="08E9DA91" w14:textId="77777777" w:rsidR="00FF0539" w:rsidRPr="00CB1411" w:rsidRDefault="00FF0539" w:rsidP="00CD3A71">
            <w:pPr>
              <w:pStyle w:val="NoSpacing"/>
              <w:rPr>
                <w:rFonts w:asciiTheme="minorHAnsi" w:hAnsiTheme="minorHAnsi"/>
                <w:color w:val="000000" w:themeColor="text1"/>
                <w:sz w:val="18"/>
                <w:szCs w:val="18"/>
              </w:rPr>
            </w:pPr>
            <w:r w:rsidRPr="00CB1411">
              <w:rPr>
                <w:rFonts w:asciiTheme="minorHAnsi" w:hAnsiTheme="minorHAnsi"/>
                <w:color w:val="000000" w:themeColor="text1"/>
                <w:sz w:val="18"/>
                <w:szCs w:val="18"/>
              </w:rPr>
              <w:t>4.6%</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E729182" w14:textId="77777777" w:rsidR="00FF0539" w:rsidRPr="00CB1411" w:rsidRDefault="00FF0539" w:rsidP="00CD3A71">
            <w:pPr>
              <w:pStyle w:val="NoSpacing"/>
              <w:rPr>
                <w:rFonts w:asciiTheme="minorHAnsi" w:hAnsiTheme="minorHAnsi"/>
                <w:color w:val="000000" w:themeColor="text1"/>
                <w:sz w:val="18"/>
                <w:szCs w:val="18"/>
              </w:rPr>
            </w:pPr>
            <w:r w:rsidRPr="00CB1411">
              <w:rPr>
                <w:rFonts w:asciiTheme="minorHAnsi" w:hAnsiTheme="minorHAnsi"/>
                <w:color w:val="000000" w:themeColor="text1"/>
                <w:sz w:val="18"/>
                <w:szCs w:val="18"/>
              </w:rPr>
              <w:t>1.1%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5C44D31F" w14:textId="77777777" w:rsidR="00FF0539" w:rsidRPr="00CB1411" w:rsidRDefault="00FF0539" w:rsidP="00CD3A71">
            <w:pPr>
              <w:pStyle w:val="NoSpacing"/>
              <w:rPr>
                <w:rFonts w:asciiTheme="minorHAnsi" w:hAnsiTheme="minorHAnsi"/>
                <w:color w:val="000000" w:themeColor="text1"/>
                <w:sz w:val="18"/>
                <w:szCs w:val="18"/>
              </w:rPr>
            </w:pPr>
            <w:r w:rsidRPr="00CB1411">
              <w:rPr>
                <w:rFonts w:asciiTheme="minorHAnsi" w:hAnsiTheme="minorHAnsi"/>
                <w:color w:val="000000" w:themeColor="text1"/>
                <w:sz w:val="18"/>
                <w:szCs w:val="18"/>
              </w:rPr>
              <w:t>0.2%</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576438DF" w14:textId="77777777" w:rsidR="00FF0539" w:rsidRPr="00CB1411" w:rsidRDefault="00FF0539" w:rsidP="00CD3A71">
            <w:pPr>
              <w:pStyle w:val="NoSpacing"/>
              <w:rPr>
                <w:rFonts w:asciiTheme="minorHAnsi" w:hAnsiTheme="minorHAnsi"/>
                <w:color w:val="000000" w:themeColor="text1"/>
                <w:sz w:val="18"/>
                <w:szCs w:val="18"/>
              </w:rPr>
            </w:pPr>
            <w:r w:rsidRPr="00CB1411">
              <w:rPr>
                <w:rFonts w:asciiTheme="minorHAnsi" w:hAnsiTheme="minorHAnsi"/>
                <w:color w:val="000000" w:themeColor="text1"/>
                <w:sz w:val="18"/>
                <w:szCs w:val="18"/>
              </w:rPr>
              <w:t>84.5%</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AE694AF" w14:textId="77777777" w:rsidR="00FF0539" w:rsidRPr="00CB1411" w:rsidRDefault="00FF0539" w:rsidP="00CD3A71">
            <w:pPr>
              <w:pStyle w:val="NoSpacing"/>
              <w:rPr>
                <w:rFonts w:asciiTheme="minorHAnsi" w:hAnsiTheme="minorHAnsi"/>
                <w:color w:val="000000" w:themeColor="text1"/>
                <w:sz w:val="18"/>
                <w:szCs w:val="18"/>
              </w:rPr>
            </w:pPr>
            <w:r w:rsidRPr="00CB1411">
              <w:rPr>
                <w:rFonts w:asciiTheme="minorHAnsi" w:hAnsiTheme="minorHAnsi"/>
                <w:color w:val="000000" w:themeColor="text1"/>
                <w:sz w:val="18"/>
                <w:szCs w:val="18"/>
              </w:rPr>
              <w:t>8.6%</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3AE2D6F7" w14:textId="77777777" w:rsidR="00FF0539" w:rsidRPr="00CB1411" w:rsidRDefault="00FF0539" w:rsidP="00CD3A71">
            <w:pPr>
              <w:pStyle w:val="NoSpacing"/>
              <w:rPr>
                <w:rFonts w:asciiTheme="minorHAnsi" w:hAnsiTheme="minorHAnsi"/>
                <w:color w:val="000000" w:themeColor="text1"/>
                <w:sz w:val="18"/>
                <w:szCs w:val="18"/>
              </w:rPr>
            </w:pPr>
            <w:r w:rsidRPr="00CB1411">
              <w:rPr>
                <w:rFonts w:asciiTheme="minorHAnsi" w:hAnsiTheme="minorHAnsi"/>
                <w:color w:val="000000" w:themeColor="text1"/>
                <w:sz w:val="18"/>
                <w:szCs w:val="18"/>
              </w:rPr>
              <w:t>1.0%</w:t>
            </w:r>
          </w:p>
        </w:tc>
      </w:tr>
      <w:tr w:rsidR="00FF0539" w:rsidRPr="003C092A" w14:paraId="257A5F75" w14:textId="77777777" w:rsidTr="00CD3A71">
        <w:trPr>
          <w:trHeight w:val="300"/>
        </w:trPr>
        <w:tc>
          <w:tcPr>
            <w:tcW w:w="8370" w:type="dxa"/>
            <w:gridSpan w:val="9"/>
            <w:tcBorders>
              <w:right w:val="single" w:sz="4" w:space="0" w:color="auto"/>
            </w:tcBorders>
            <w:shd w:val="clear" w:color="auto" w:fill="auto"/>
            <w:noWrap/>
            <w:vAlign w:val="bottom"/>
          </w:tcPr>
          <w:p w14:paraId="3F6875C2" w14:textId="77777777" w:rsidR="00FF0539" w:rsidRPr="002663A3" w:rsidRDefault="00FF0539" w:rsidP="00CD3A71">
            <w:pPr>
              <w:pStyle w:val="NoSpacing"/>
              <w:rPr>
                <w:rFonts w:asciiTheme="minorHAnsi" w:hAnsiTheme="minorHAnsi"/>
                <w:b/>
                <w:color w:val="000000" w:themeColor="text1"/>
                <w:sz w:val="18"/>
                <w:szCs w:val="18"/>
              </w:rPr>
            </w:pPr>
            <w:r w:rsidRPr="002663A3">
              <w:rPr>
                <w:rFonts w:asciiTheme="minorHAnsi" w:hAnsiTheme="minorHAnsi"/>
                <w:b/>
                <w:i/>
                <w:sz w:val="18"/>
                <w:szCs w:val="18"/>
              </w:rPr>
              <w:t>Nu’uuli</w:t>
            </w:r>
          </w:p>
        </w:tc>
      </w:tr>
      <w:tr w:rsidR="00FF0539" w:rsidRPr="003C092A" w14:paraId="6C9AB1EC" w14:textId="77777777" w:rsidTr="00CD3A71">
        <w:trPr>
          <w:trHeight w:val="300"/>
        </w:trPr>
        <w:tc>
          <w:tcPr>
            <w:tcW w:w="1080" w:type="dxa"/>
            <w:shd w:val="clear" w:color="auto" w:fill="auto"/>
            <w:noWrap/>
            <w:vAlign w:val="bottom"/>
            <w:hideMark/>
          </w:tcPr>
          <w:p w14:paraId="62ACC605" w14:textId="77777777" w:rsidR="00FF0539" w:rsidRPr="00AC2A16" w:rsidRDefault="00FF0539" w:rsidP="00CD3A71">
            <w:pPr>
              <w:pStyle w:val="NoSpacing"/>
              <w:rPr>
                <w:rFonts w:asciiTheme="minorHAnsi" w:hAnsiTheme="minorHAnsi"/>
                <w:i/>
                <w:sz w:val="18"/>
                <w:szCs w:val="18"/>
              </w:rPr>
            </w:pPr>
            <w:r w:rsidRPr="00AC2A16">
              <w:rPr>
                <w:rFonts w:asciiTheme="minorHAnsi" w:hAnsiTheme="minorHAnsi"/>
                <w:i/>
                <w:sz w:val="18"/>
                <w:szCs w:val="18"/>
              </w:rPr>
              <w:t xml:space="preserve">     Upper</w:t>
            </w:r>
          </w:p>
        </w:tc>
        <w:tc>
          <w:tcPr>
            <w:tcW w:w="1080" w:type="dxa"/>
            <w:shd w:val="clear" w:color="auto" w:fill="auto"/>
            <w:noWrap/>
            <w:vAlign w:val="bottom"/>
            <w:hideMark/>
          </w:tcPr>
          <w:p w14:paraId="1935A8B4" w14:textId="77777777" w:rsidR="00FF0539" w:rsidRPr="00CB1411" w:rsidRDefault="00FF0539" w:rsidP="00CD3A71">
            <w:pPr>
              <w:pStyle w:val="NoSpacing"/>
              <w:rPr>
                <w:rFonts w:asciiTheme="minorHAnsi" w:hAnsiTheme="minorHAnsi"/>
                <w:color w:val="000000" w:themeColor="text1"/>
                <w:sz w:val="18"/>
                <w:szCs w:val="18"/>
              </w:rPr>
            </w:pPr>
            <w:r w:rsidRPr="00CB1411">
              <w:rPr>
                <w:rFonts w:asciiTheme="minorHAnsi" w:hAnsiTheme="minorHAnsi"/>
                <w:color w:val="000000" w:themeColor="text1"/>
                <w:sz w:val="18"/>
                <w:szCs w:val="18"/>
              </w:rPr>
              <w:t>1.49</w:t>
            </w:r>
          </w:p>
        </w:tc>
        <w:tc>
          <w:tcPr>
            <w:tcW w:w="630" w:type="dxa"/>
            <w:shd w:val="clear" w:color="auto" w:fill="auto"/>
            <w:noWrap/>
            <w:vAlign w:val="bottom"/>
            <w:hideMark/>
          </w:tcPr>
          <w:p w14:paraId="3A95B0AC" w14:textId="77777777" w:rsidR="00FF0539" w:rsidRPr="00CB1411" w:rsidRDefault="00FF0539" w:rsidP="00CD3A71">
            <w:pPr>
              <w:pStyle w:val="NoSpacing"/>
              <w:rPr>
                <w:rFonts w:asciiTheme="minorHAnsi" w:hAnsiTheme="minorHAnsi"/>
                <w:color w:val="000000" w:themeColor="text1"/>
                <w:sz w:val="18"/>
                <w:szCs w:val="18"/>
              </w:rPr>
            </w:pPr>
            <w:r w:rsidRPr="00CB1411">
              <w:rPr>
                <w:rFonts w:asciiTheme="minorHAnsi" w:hAnsiTheme="minorHAnsi"/>
                <w:color w:val="000000" w:themeColor="text1"/>
                <w:sz w:val="18"/>
                <w:szCs w:val="18"/>
              </w:rPr>
              <w:t>70%</w:t>
            </w:r>
          </w:p>
        </w:tc>
        <w:tc>
          <w:tcPr>
            <w:tcW w:w="1080" w:type="dxa"/>
            <w:tcBorders>
              <w:top w:val="single" w:sz="4" w:space="0" w:color="auto"/>
              <w:left w:val="nil"/>
              <w:bottom w:val="single" w:sz="4" w:space="0" w:color="auto"/>
              <w:right w:val="single" w:sz="4" w:space="0" w:color="auto"/>
            </w:tcBorders>
            <w:shd w:val="clear" w:color="auto" w:fill="auto"/>
            <w:vAlign w:val="bottom"/>
          </w:tcPr>
          <w:p w14:paraId="1BA78191" w14:textId="77777777" w:rsidR="00FF0539" w:rsidRPr="00CB1411" w:rsidRDefault="00FF0539" w:rsidP="00CD3A71">
            <w:pPr>
              <w:pStyle w:val="NoSpacing"/>
              <w:rPr>
                <w:rFonts w:asciiTheme="minorHAnsi" w:hAnsiTheme="minorHAnsi"/>
                <w:color w:val="000000" w:themeColor="text1"/>
                <w:sz w:val="18"/>
                <w:szCs w:val="18"/>
              </w:rPr>
            </w:pPr>
            <w:r w:rsidRPr="00CB1411">
              <w:rPr>
                <w:rFonts w:asciiTheme="minorHAnsi" w:hAnsiTheme="minorHAnsi"/>
                <w:color w:val="000000" w:themeColor="text1"/>
                <w:sz w:val="18"/>
                <w:szCs w:val="18"/>
              </w:rPr>
              <w:t>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04224B4E" w14:textId="77777777" w:rsidR="00FF0539" w:rsidRPr="00CB1411" w:rsidRDefault="00FF0539" w:rsidP="00CD3A71">
            <w:pPr>
              <w:pStyle w:val="NoSpacing"/>
              <w:rPr>
                <w:rFonts w:asciiTheme="minorHAnsi" w:hAnsiTheme="minorHAnsi"/>
                <w:color w:val="000000" w:themeColor="text1"/>
                <w:sz w:val="18"/>
                <w:szCs w:val="18"/>
              </w:rPr>
            </w:pPr>
            <w:r w:rsidRPr="00CB1411">
              <w:rPr>
                <w:rFonts w:asciiTheme="minorHAnsi" w:hAnsiTheme="minorHAnsi"/>
                <w:color w:val="000000" w:themeColor="text1"/>
                <w:sz w:val="18"/>
                <w:szCs w:val="18"/>
              </w:rPr>
              <w:t>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32AFA895" w14:textId="77777777" w:rsidR="00FF0539" w:rsidRPr="00CB1411" w:rsidRDefault="00FF0539" w:rsidP="00CD3A71">
            <w:pPr>
              <w:pStyle w:val="NoSpacing"/>
              <w:rPr>
                <w:rFonts w:asciiTheme="minorHAnsi" w:hAnsiTheme="minorHAnsi"/>
                <w:color w:val="000000" w:themeColor="text1"/>
                <w:sz w:val="18"/>
                <w:szCs w:val="18"/>
              </w:rPr>
            </w:pPr>
            <w:r w:rsidRPr="00CB1411">
              <w:rPr>
                <w:rFonts w:asciiTheme="minorHAnsi" w:hAnsiTheme="minorHAnsi"/>
                <w:color w:val="000000" w:themeColor="text1"/>
                <w:sz w:val="18"/>
                <w:szCs w:val="18"/>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17E32D47" w14:textId="77777777" w:rsidR="00FF0539" w:rsidRPr="00CB1411" w:rsidRDefault="00FF0539" w:rsidP="00CD3A71">
            <w:pPr>
              <w:pStyle w:val="NoSpacing"/>
              <w:rPr>
                <w:rFonts w:asciiTheme="minorHAnsi" w:hAnsiTheme="minorHAnsi"/>
                <w:color w:val="000000" w:themeColor="text1"/>
                <w:sz w:val="18"/>
                <w:szCs w:val="18"/>
              </w:rPr>
            </w:pPr>
            <w:r w:rsidRPr="00CB1411">
              <w:rPr>
                <w:rFonts w:asciiTheme="minorHAnsi" w:hAnsiTheme="minorHAnsi"/>
                <w:color w:val="000000" w:themeColor="text1"/>
                <w:sz w:val="18"/>
                <w:szCs w:val="18"/>
              </w:rPr>
              <w:t>94.8%</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14CCBC6" w14:textId="77777777" w:rsidR="00FF0539" w:rsidRPr="00CB1411" w:rsidRDefault="00FF0539" w:rsidP="00CD3A71">
            <w:pPr>
              <w:pStyle w:val="NoSpacing"/>
              <w:rPr>
                <w:rFonts w:asciiTheme="minorHAnsi" w:hAnsiTheme="minorHAnsi"/>
                <w:color w:val="000000" w:themeColor="text1"/>
                <w:sz w:val="18"/>
                <w:szCs w:val="18"/>
              </w:rPr>
            </w:pPr>
            <w:r w:rsidRPr="00CB1411">
              <w:rPr>
                <w:rFonts w:asciiTheme="minorHAnsi" w:hAnsiTheme="minorHAnsi"/>
                <w:color w:val="000000" w:themeColor="text1"/>
                <w:sz w:val="18"/>
                <w:szCs w:val="18"/>
              </w:rPr>
              <w:t>5.2%</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7A320946" w14:textId="77777777" w:rsidR="00FF0539" w:rsidRPr="00CB1411" w:rsidRDefault="00FF0539" w:rsidP="00CD3A71">
            <w:pPr>
              <w:pStyle w:val="NoSpacing"/>
              <w:rPr>
                <w:rFonts w:asciiTheme="minorHAnsi" w:hAnsiTheme="minorHAnsi"/>
                <w:color w:val="000000" w:themeColor="text1"/>
                <w:sz w:val="18"/>
                <w:szCs w:val="18"/>
              </w:rPr>
            </w:pPr>
            <w:r w:rsidRPr="00CB1411">
              <w:rPr>
                <w:rFonts w:asciiTheme="minorHAnsi" w:hAnsiTheme="minorHAnsi"/>
                <w:color w:val="000000" w:themeColor="text1"/>
                <w:sz w:val="18"/>
                <w:szCs w:val="18"/>
              </w:rPr>
              <w:t>0%</w:t>
            </w:r>
          </w:p>
        </w:tc>
      </w:tr>
      <w:tr w:rsidR="00FF0539" w:rsidRPr="00595789" w14:paraId="31E843ED" w14:textId="77777777" w:rsidTr="00CD3A71">
        <w:trPr>
          <w:trHeight w:val="278"/>
        </w:trPr>
        <w:tc>
          <w:tcPr>
            <w:tcW w:w="1080" w:type="dxa"/>
            <w:shd w:val="clear" w:color="auto" w:fill="auto"/>
            <w:noWrap/>
            <w:vAlign w:val="bottom"/>
          </w:tcPr>
          <w:p w14:paraId="05A89AE8" w14:textId="77777777" w:rsidR="00FF0539" w:rsidRPr="00AC2A16" w:rsidRDefault="00FF0539" w:rsidP="00CD3A71">
            <w:pPr>
              <w:pStyle w:val="NoSpacing"/>
              <w:rPr>
                <w:rFonts w:asciiTheme="minorHAnsi" w:hAnsiTheme="minorHAnsi"/>
                <w:i/>
                <w:sz w:val="18"/>
                <w:szCs w:val="18"/>
              </w:rPr>
            </w:pPr>
            <w:r w:rsidRPr="00AC2A16">
              <w:rPr>
                <w:rFonts w:asciiTheme="minorHAnsi" w:hAnsiTheme="minorHAnsi"/>
                <w:i/>
                <w:sz w:val="18"/>
                <w:szCs w:val="18"/>
              </w:rPr>
              <w:t xml:space="preserve">     Lower</w:t>
            </w:r>
          </w:p>
        </w:tc>
        <w:tc>
          <w:tcPr>
            <w:tcW w:w="1080" w:type="dxa"/>
            <w:shd w:val="clear" w:color="auto" w:fill="auto"/>
            <w:noWrap/>
            <w:vAlign w:val="bottom"/>
          </w:tcPr>
          <w:p w14:paraId="304B669C" w14:textId="77777777" w:rsidR="00FF0539" w:rsidRPr="00CB1411" w:rsidRDefault="00FF0539" w:rsidP="00CD3A71">
            <w:pPr>
              <w:pStyle w:val="NoSpacing"/>
              <w:rPr>
                <w:rFonts w:asciiTheme="minorHAnsi" w:hAnsiTheme="minorHAnsi"/>
                <w:color w:val="000000" w:themeColor="text1"/>
                <w:sz w:val="18"/>
                <w:szCs w:val="18"/>
              </w:rPr>
            </w:pPr>
            <w:r w:rsidRPr="00CB1411">
              <w:rPr>
                <w:rFonts w:asciiTheme="minorHAnsi" w:hAnsiTheme="minorHAnsi"/>
                <w:color w:val="000000" w:themeColor="text1"/>
                <w:sz w:val="18"/>
                <w:szCs w:val="18"/>
              </w:rPr>
              <w:t>2.14</w:t>
            </w:r>
          </w:p>
        </w:tc>
        <w:tc>
          <w:tcPr>
            <w:tcW w:w="630" w:type="dxa"/>
            <w:shd w:val="clear" w:color="auto" w:fill="auto"/>
            <w:noWrap/>
            <w:vAlign w:val="bottom"/>
          </w:tcPr>
          <w:p w14:paraId="57AC4E94" w14:textId="77777777" w:rsidR="00FF0539" w:rsidRPr="00CB1411" w:rsidRDefault="00FF0539" w:rsidP="00CD3A71">
            <w:pPr>
              <w:pStyle w:val="NoSpacing"/>
              <w:rPr>
                <w:rFonts w:asciiTheme="minorHAnsi" w:hAnsiTheme="minorHAnsi"/>
                <w:color w:val="000000" w:themeColor="text1"/>
                <w:sz w:val="18"/>
                <w:szCs w:val="18"/>
              </w:rPr>
            </w:pPr>
            <w:r w:rsidRPr="00CB1411">
              <w:rPr>
                <w:rFonts w:asciiTheme="minorHAnsi" w:hAnsiTheme="minorHAnsi"/>
                <w:color w:val="000000" w:themeColor="text1"/>
                <w:sz w:val="18"/>
                <w:szCs w:val="18"/>
              </w:rPr>
              <w:t>100%</w:t>
            </w:r>
          </w:p>
        </w:tc>
        <w:tc>
          <w:tcPr>
            <w:tcW w:w="1080" w:type="dxa"/>
            <w:tcBorders>
              <w:top w:val="single" w:sz="4" w:space="0" w:color="auto"/>
              <w:left w:val="nil"/>
              <w:bottom w:val="single" w:sz="4" w:space="0" w:color="auto"/>
              <w:right w:val="single" w:sz="4" w:space="0" w:color="auto"/>
            </w:tcBorders>
            <w:shd w:val="clear" w:color="auto" w:fill="auto"/>
            <w:vAlign w:val="bottom"/>
          </w:tcPr>
          <w:p w14:paraId="084F70CA" w14:textId="77777777" w:rsidR="00FF0539" w:rsidRPr="00CB1411" w:rsidRDefault="00FF0539" w:rsidP="00CD3A71">
            <w:pPr>
              <w:pStyle w:val="NoSpacing"/>
              <w:rPr>
                <w:rFonts w:asciiTheme="minorHAnsi" w:hAnsiTheme="minorHAnsi"/>
                <w:color w:val="000000" w:themeColor="text1"/>
                <w:sz w:val="18"/>
                <w:szCs w:val="18"/>
              </w:rPr>
            </w:pPr>
            <w:r w:rsidRPr="00CB1411">
              <w:rPr>
                <w:rFonts w:asciiTheme="minorHAnsi" w:hAnsiTheme="minorHAnsi"/>
                <w:color w:val="000000" w:themeColor="text1"/>
                <w:sz w:val="18"/>
                <w:szCs w:val="18"/>
              </w:rPr>
              <w:t>2.0%</w:t>
            </w:r>
          </w:p>
        </w:tc>
        <w:tc>
          <w:tcPr>
            <w:tcW w:w="1080" w:type="dxa"/>
            <w:tcBorders>
              <w:top w:val="single" w:sz="4" w:space="0" w:color="auto"/>
              <w:left w:val="single" w:sz="4" w:space="0" w:color="auto"/>
              <w:bottom w:val="single" w:sz="4" w:space="0" w:color="auto"/>
              <w:right w:val="single" w:sz="4" w:space="0" w:color="auto"/>
            </w:tcBorders>
            <w:shd w:val="clear" w:color="auto" w:fill="auto"/>
            <w:vAlign w:val="bottom"/>
          </w:tcPr>
          <w:p w14:paraId="6AA6B3DF" w14:textId="77777777" w:rsidR="00FF0539" w:rsidRPr="00CB1411" w:rsidRDefault="00FF0539" w:rsidP="00CD3A71">
            <w:pPr>
              <w:pStyle w:val="NoSpacing"/>
              <w:rPr>
                <w:rFonts w:asciiTheme="minorHAnsi" w:hAnsiTheme="minorHAnsi"/>
                <w:color w:val="000000" w:themeColor="text1"/>
                <w:sz w:val="18"/>
                <w:szCs w:val="18"/>
              </w:rPr>
            </w:pPr>
            <w:r w:rsidRPr="00CB1411">
              <w:rPr>
                <w:rFonts w:asciiTheme="minorHAnsi" w:hAnsiTheme="minorHAnsi"/>
                <w:color w:val="000000" w:themeColor="text1"/>
                <w:sz w:val="18"/>
                <w:szCs w:val="18"/>
              </w:rPr>
              <w:t>0.8%</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184F5E96" w14:textId="77777777" w:rsidR="00FF0539" w:rsidRPr="00CB1411" w:rsidRDefault="00FF0539" w:rsidP="00CD3A71">
            <w:pPr>
              <w:pStyle w:val="NoSpacing"/>
              <w:rPr>
                <w:rFonts w:asciiTheme="minorHAnsi" w:hAnsiTheme="minorHAnsi"/>
                <w:color w:val="000000" w:themeColor="text1"/>
                <w:sz w:val="18"/>
                <w:szCs w:val="18"/>
              </w:rPr>
            </w:pPr>
            <w:r w:rsidRPr="00CB1411">
              <w:rPr>
                <w:rFonts w:asciiTheme="minorHAnsi" w:hAnsiTheme="minorHAnsi"/>
                <w:color w:val="000000" w:themeColor="text1"/>
                <w:sz w:val="18"/>
                <w:szCs w:val="18"/>
              </w:rPr>
              <w:t>0.1%</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37EC5B89" w14:textId="77777777" w:rsidR="00FF0539" w:rsidRPr="00CB1411" w:rsidRDefault="00FF0539" w:rsidP="00CD3A71">
            <w:pPr>
              <w:pStyle w:val="NoSpacing"/>
              <w:rPr>
                <w:rFonts w:asciiTheme="minorHAnsi" w:hAnsiTheme="minorHAnsi"/>
                <w:color w:val="000000" w:themeColor="text1"/>
                <w:sz w:val="18"/>
                <w:szCs w:val="18"/>
              </w:rPr>
            </w:pPr>
            <w:r w:rsidRPr="00CB1411">
              <w:rPr>
                <w:rFonts w:asciiTheme="minorHAnsi" w:hAnsiTheme="minorHAnsi"/>
                <w:color w:val="000000" w:themeColor="text1"/>
                <w:sz w:val="18"/>
                <w:szCs w:val="18"/>
              </w:rPr>
              <w:t>93.3%</w:t>
            </w:r>
          </w:p>
        </w:tc>
        <w:tc>
          <w:tcPr>
            <w:tcW w:w="720" w:type="dxa"/>
            <w:tcBorders>
              <w:top w:val="single" w:sz="4" w:space="0" w:color="auto"/>
              <w:left w:val="single" w:sz="4" w:space="0" w:color="auto"/>
              <w:bottom w:val="single" w:sz="4" w:space="0" w:color="auto"/>
              <w:right w:val="single" w:sz="4" w:space="0" w:color="auto"/>
            </w:tcBorders>
            <w:shd w:val="clear" w:color="auto" w:fill="auto"/>
            <w:vAlign w:val="bottom"/>
          </w:tcPr>
          <w:p w14:paraId="018075B5" w14:textId="77777777" w:rsidR="00FF0539" w:rsidRPr="00CB1411" w:rsidRDefault="00FF0539" w:rsidP="00CD3A71">
            <w:pPr>
              <w:pStyle w:val="NoSpacing"/>
              <w:rPr>
                <w:rFonts w:asciiTheme="minorHAnsi" w:hAnsiTheme="minorHAnsi"/>
                <w:color w:val="000000" w:themeColor="text1"/>
                <w:sz w:val="18"/>
                <w:szCs w:val="18"/>
              </w:rPr>
            </w:pPr>
            <w:r w:rsidRPr="00CB1411">
              <w:rPr>
                <w:rFonts w:asciiTheme="minorHAnsi" w:hAnsiTheme="minorHAnsi"/>
                <w:color w:val="000000" w:themeColor="text1"/>
                <w:sz w:val="18"/>
                <w:szCs w:val="18"/>
              </w:rPr>
              <w:t>3.7%</w:t>
            </w:r>
          </w:p>
        </w:tc>
        <w:tc>
          <w:tcPr>
            <w:tcW w:w="810" w:type="dxa"/>
            <w:tcBorders>
              <w:top w:val="single" w:sz="4" w:space="0" w:color="auto"/>
              <w:left w:val="single" w:sz="4" w:space="0" w:color="auto"/>
              <w:bottom w:val="single" w:sz="4" w:space="0" w:color="auto"/>
              <w:right w:val="single" w:sz="4" w:space="0" w:color="auto"/>
            </w:tcBorders>
            <w:shd w:val="clear" w:color="auto" w:fill="auto"/>
            <w:vAlign w:val="bottom"/>
          </w:tcPr>
          <w:p w14:paraId="3830598D" w14:textId="77777777" w:rsidR="00FF0539" w:rsidRPr="00CB1411" w:rsidRDefault="00FF0539" w:rsidP="00CD3A71">
            <w:pPr>
              <w:pStyle w:val="NoSpacing"/>
              <w:rPr>
                <w:rFonts w:asciiTheme="minorHAnsi" w:hAnsiTheme="minorHAnsi"/>
                <w:i/>
                <w:color w:val="000000" w:themeColor="text1"/>
                <w:sz w:val="18"/>
                <w:szCs w:val="18"/>
              </w:rPr>
            </w:pPr>
            <w:r w:rsidRPr="00CB1411">
              <w:rPr>
                <w:rFonts w:asciiTheme="minorHAnsi" w:hAnsiTheme="minorHAnsi"/>
                <w:i/>
                <w:color w:val="000000" w:themeColor="text1"/>
                <w:sz w:val="18"/>
                <w:szCs w:val="18"/>
              </w:rPr>
              <w:t>0.2%</w:t>
            </w:r>
          </w:p>
        </w:tc>
      </w:tr>
    </w:tbl>
    <w:p w14:paraId="3682A7E6" w14:textId="77777777" w:rsidR="00FF0539" w:rsidRDefault="00FF0539" w:rsidP="00FF0539">
      <w:pPr>
        <w:pStyle w:val="NoSpacing"/>
        <w:ind w:firstLine="720"/>
        <w:jc w:val="both"/>
      </w:pPr>
    </w:p>
    <w:p w14:paraId="4D70035D" w14:textId="77777777" w:rsidR="00FF0539" w:rsidRDefault="00FF0539" w:rsidP="00FF0539">
      <w:pPr>
        <w:pStyle w:val="NoSpacing"/>
        <w:ind w:firstLine="720"/>
        <w:jc w:val="both"/>
      </w:pPr>
      <w:r>
        <w:t>In Faga’alu there is an open-pit aggregate quarry (~2ha)</w:t>
      </w:r>
      <w:r w:rsidRPr="00463877">
        <w:t xml:space="preserve"> </w:t>
      </w:r>
      <w:r>
        <w:t>that accounts for the majority of the 1.1% bare land area in Faga’alu watershed (</w:t>
      </w:r>
      <w:bookmarkStart w:id="10" w:name="_GoBack"/>
      <w:bookmarkEnd w:id="10"/>
      <w:r>
        <w:t xml:space="preserve">). The quarry has been in continuous operation since the 1960’s by advancing into the steep hillside to quarry the underlying basalt formation </w:t>
      </w:r>
      <w:r>
        <w:fldChar w:fldCharType="begin"/>
      </w:r>
      <w:r>
        <w:instrText xml:space="preserve"> ADDIN EN.CITE &lt;EndNote&gt;&lt;Cite&gt;&lt;Author&gt;Latinis&lt;/Author&gt;&lt;Year&gt;1996&lt;/Year&gt;&lt;RecNum&gt;60&lt;/RecNum&gt;&lt;DisplayText&gt;(Latinis 1996)&lt;/DisplayText&gt;&lt;record&gt;&lt;rec-number&gt;60&lt;/rec-number&gt;&lt;foreign-keys&gt;&lt;key app="EN" db-id="9rz0sxsf5wzadbeat27vewpbwtea5drfdesw"&gt;60&lt;/key&gt;&lt;/foreign-keys&gt;&lt;ref-type name="Report"&gt;27&lt;/ref-type&gt;&lt;contributors&gt;&lt;authors&gt;&lt;author&gt;Latinis, D.K., Moore, J., Kennedy, J., Archaeological Consultants of the Pacific Inc.&lt;/author&gt;&lt;/authors&gt;&lt;/contributors&gt;&lt;titles&gt;&lt;title&gt;Archaeological Survey and Investigations Conducted at the Faga&amp;apos;alu Quarry, Ma&amp;apos;oputasi County, Tutuila, American Samoa, February 1996: Prepared for George Poysky, Sr., Samoa Maritime, PO Box 418, Pago Pago, American Samoa, 96799&lt;/title&gt;&lt;/titles&gt;&lt;dates&gt;&lt;year&gt;1996&lt;/year&gt;&lt;/dates&gt;&lt;pub-location&gt;59-624 Pupukea Rd., Haleiwa, HI 96712&lt;/pub-location&gt;&lt;publisher&gt;Archaeological Consultants of the Pacific Inc.&lt;/publisher&gt;&lt;isbn&gt;7500006&lt;/isbn&gt;&lt;urls&gt;&lt;/urls&gt;&lt;custom1&gt;&amp;#xD;&lt;/custom1&gt;&lt;/record&gt;&lt;/Cite&gt;&lt;/EndNote&gt;</w:instrText>
      </w:r>
      <w:r>
        <w:fldChar w:fldCharType="separate"/>
      </w:r>
      <w:r>
        <w:rPr>
          <w:noProof/>
        </w:rPr>
        <w:t>(</w:t>
      </w:r>
      <w:hyperlink w:anchor="_ENREF_8" w:tooltip="Latinis, 1996 #60" w:history="1">
        <w:r>
          <w:rPr>
            <w:noProof/>
          </w:rPr>
          <w:t>Latinis 1996</w:t>
        </w:r>
      </w:hyperlink>
      <w:r>
        <w:rPr>
          <w:noProof/>
        </w:rPr>
        <w:t>)</w:t>
      </w:r>
      <w:r>
        <w:fldChar w:fldCharType="end"/>
      </w:r>
      <w:r>
        <w:t xml:space="preserve">. The quarry operators have installed some sediment management practices such as silt fences and settling ponds </w:t>
      </w:r>
      <w:r>
        <w:fldChar w:fldCharType="begin" w:fldLock="1"/>
      </w:r>
      <w:r>
        <w:instrText>ADDIN CSL_CITATION { "citationItems" : [ { "id" : "ITEM-1", "itemData" : { "author" : [ { "dropping-particle" : "", "family" : "Horsley-Witten", "given" : "", "non-dropping-particle" : "", "parse-names" : false, "suffix" : "" } ], "id" : "ITEM-1", "issued" : { "date-parts" : [ [ "2011" ] ] }, "title" : "American Samoa Erosion and Sediment Control Field Guide", "type" : "article" }, "uris" : [ "http://www.mendeley.com/documents/?uuid=d8205442-ff95-43b7-9b66-1b4f45e1df5e" ] } ], "mendeley" : { "previouslyFormattedCitation" : "(Horsley-Witten, 2011)" }, "properties" : { "noteIndex" : 0 }, "schema" : "https://github.com/citation-style-language/schema/raw/master/csl-citation.json" }</w:instrText>
      </w:r>
      <w:r>
        <w:fldChar w:fldCharType="separate"/>
      </w:r>
      <w:r w:rsidRPr="00FC7C8C">
        <w:rPr>
          <w:noProof/>
        </w:rPr>
        <w:t>(Horsley-Witten, 2011)</w:t>
      </w:r>
      <w:r>
        <w:fldChar w:fldCharType="end"/>
      </w:r>
      <w:r>
        <w:t xml:space="preserve"> but they are unmaintained and likely inadequate to control the large amount of sediment mobilized by the intense tropical rains </w:t>
      </w:r>
      <w:r>
        <w:fldChar w:fldCharType="begin" w:fldLock="1"/>
      </w:r>
      <w:r>
        <w:instrText>ADDIN CSL_CITATION { "citationItems" : [ { "id" : "ITEM-1", "itemData" : { "author" : [ { "dropping-particle" : "", "family" : "Horsley-Witten", "given" : "", "non-dropping-particle" : "", "parse-names" : false, "suffix" : "" } ], "id" : "ITEM-1", "issued" : { "date-parts" : [ [ "2012" ] ] }, "title" : "Post-Construction Stormwater Training Memorandum", "type" : "report" }, "uris" : [ "http://www.mendeley.com/documents/?uuid=db11588f-5c5d-4ef8-8fd7-646812881027" ] } ], "mendeley" : { "previouslyFormattedCitation" : "(Horsley-Witten, 2012a)" }, "properties" : { "noteIndex" : 0 }, "schema" : "https://github.com/citation-style-language/schema/raw/master/csl-citation.json" }</w:instrText>
      </w:r>
      <w:r>
        <w:fldChar w:fldCharType="separate"/>
      </w:r>
      <w:r w:rsidRPr="00FC7C8C">
        <w:rPr>
          <w:noProof/>
        </w:rPr>
        <w:t>(Horsley-Witten, 2012a)</w:t>
      </w:r>
      <w:r>
        <w:fldChar w:fldCharType="end"/>
      </w:r>
      <w:r>
        <w:t xml:space="preserve">. Longitudinal sampling of Faga’alu stream in 2011 showed significantly increased turbidity downstream of the quarry and of a new bridge construction site on the village road </w:t>
      </w:r>
      <w:r>
        <w:fldChar w:fldCharType="begin" w:fldLock="1"/>
      </w:r>
      <w:r>
        <w:instrText>ADDIN CSL_CITATION { "citationItems" : [ { "id" : "ITEM-1", "itemData" : { "author" : [ { "dropping-particle" : "", "family" : "Curtis", "given" : "Steven", "non-dropping-particle" : "", "parse-names" : false, "suffix" : "" }, { "dropping-particle" : "", "family" : "Wetzell", "given" : "L", "non-dropping-particle" : "", "parse-names" : false, "suffix" : "" }, { "dropping-particle" : "", "family" : "Wiles", "given" : "P.", "non-dropping-particle" : "", "parse-names" : false, "suffix" : "" }, { "dropping-particle" : "", "family" : "Tinitali", "given" : "R", "non-dropping-particle" : "", "parse-names" : false, "suffix" : "" } ], "id" : "ITEM-1", "issued" : { "date-parts" : [ [ "2011" ] ] }, "title" : "Turbidity in Faga\u2019alu Stream: The Sources, Impacts, and Solutions", "type" : "article-journal" }, "uris" : [ "http://www.mendeley.com/documents/?uuid=88e13805-68ef-4e90-9ed0-e5ae20151e2c" ] } ], "mendeley" : { "previouslyFormattedCitation" : "(Curtis et al., 2011)" }, "properties" : { "noteIndex" : 0 }, "schema" : "https://github.com/citation-style-language/schema/raw/master/csl-citation.json" }</w:instrText>
      </w:r>
      <w:r>
        <w:fldChar w:fldCharType="separate"/>
      </w:r>
      <w:r w:rsidRPr="00FC7C8C">
        <w:rPr>
          <w:noProof/>
        </w:rPr>
        <w:t>(Curtis et al., 2011)</w:t>
      </w:r>
      <w:r>
        <w:fldChar w:fldCharType="end"/>
      </w:r>
      <w:r>
        <w:t xml:space="preserve">. Construction of the bridge was completed March 2012 and no longer increases turbidity. There are several small footpaths and unpaved driveways, but most unpaved roads are stabilized with compacted gravel and do not appear to be a major contributor of sediment </w:t>
      </w:r>
      <w:r>
        <w:fldChar w:fldCharType="begin" w:fldLock="1"/>
      </w:r>
      <w:r>
        <w:instrText>ADDIN CSL_CITATION { "citationItems" : [ { "id" : "ITEM-1", "itemData" : { "author" : [ { "dropping-particle" : "", "family" : "Horsley-Witten", "given" : "", "non-dropping-particle" : "", "parse-names" : false, "suffix" : "" } ], "id" : "ITEM-1", "issued" : { "date-parts" : [ [ "2012" ] ] }, "title" : "Post-Construction Stormwater Training Workshop, Field Work, and Interagency Meeting Summary", "type" : "report" }, "uris" : [ "http://www.mendeley.com/documents/?uuid=243bbdad-ab82-49b4-9524-b594979cd4fb" ] } ], "mendeley" : { "previouslyFormattedCitation" : "(Horsley-Witten, 2012b)" }, "properties" : { "noteIndex" : 0 }, "schema" : "https://github.com/citation-style-language/schema/raw/master/csl-citation.json" }</w:instrText>
      </w:r>
      <w:r>
        <w:fldChar w:fldCharType="separate"/>
      </w:r>
      <w:r w:rsidRPr="00FC7C8C">
        <w:rPr>
          <w:noProof/>
        </w:rPr>
        <w:t>(Horsley-Witten, 2012b)</w:t>
      </w:r>
      <w:r>
        <w:fldChar w:fldCharType="end"/>
      </w:r>
      <w:r>
        <w:t>.</w:t>
      </w:r>
    </w:p>
    <w:p w14:paraId="5D3DD456" w14:textId="77777777" w:rsidR="00FF0539" w:rsidRDefault="00FF0539" w:rsidP="00FF0539">
      <w:pPr>
        <w:pStyle w:val="NoSpacing"/>
        <w:ind w:firstLine="720"/>
        <w:jc w:val="both"/>
      </w:pPr>
      <w:r>
        <w:t xml:space="preserve">Three water impoundment structures were built in the upper Faga’alu watershed for drinking water supply and hydropower but only the highest, Matafao Reservoir, was ever connected to the municipal water system but has since fallen out of use </w:t>
      </w:r>
      <w:r>
        <w:fldChar w:fldCharType="begin" w:fldLock="1"/>
      </w:r>
      <w:r>
        <w:instrText>ADDIN CSL_CITATION { "citationItems" : [ { "id" : "ITEM-1", "itemData" : { "author" : [ { "dropping-particle" : "", "family" : "Tonkin &amp; Taylor International Ltd.", "given" : "", "non-dropping-particle" : "", "parse-names" : false, "suffix" : "" } ], "id" : "ITEM-1", "issued" : { "date-parts" : [ [ "1989" ] ] }, "title" : "Hydropower feasibility studies interim report phase 1.pdf", "type" : "article" }, "uris" : [ "http://www.mendeley.com/documents/?uuid=07dc1e88-625f-4bcf-b00a-fc64fec9e26d" ] } ], "mendeley" : { "previouslyFormattedCitation" : "(Tonkin &amp; Taylor International Ltd., 1989)" }, "properties" : { "noteIndex" : 0 }, "schema" : "https://github.com/citation-style-language/schema/raw/master/csl-citation.json" }</w:instrText>
      </w:r>
      <w:r>
        <w:fldChar w:fldCharType="separate"/>
      </w:r>
      <w:r w:rsidRPr="00FC7C8C">
        <w:rPr>
          <w:noProof/>
        </w:rPr>
        <w:t>(Tonkin &amp; Taylor International Ltd., 1989)</w:t>
      </w:r>
      <w:r>
        <w:fldChar w:fldCharType="end"/>
      </w:r>
      <w:r>
        <w:t>. In Nu’uuli, no water impoundment structures were observed in the field or found in the literature.</w:t>
      </w:r>
    </w:p>
    <w:p w14:paraId="2807C102" w14:textId="77777777" w:rsidR="00FF0539" w:rsidRDefault="00FF0539" w:rsidP="00FF0539">
      <w:pPr>
        <w:pStyle w:val="NoSpacing"/>
        <w:keepNext/>
        <w:jc w:val="both"/>
      </w:pPr>
      <w:r>
        <w:rPr>
          <w:noProof/>
        </w:rPr>
        <w:lastRenderedPageBreak/>
        <w:drawing>
          <wp:inline distT="0" distB="0" distL="0" distR="0" wp14:anchorId="6340D9E5" wp14:editId="49F40427">
            <wp:extent cx="5943600" cy="33432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arry before and after.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C84346E" w14:textId="77777777" w:rsidR="00FF0539" w:rsidRPr="0073313F" w:rsidRDefault="00FF0539" w:rsidP="00FF0539">
      <w:pPr>
        <w:pStyle w:val="Caption"/>
        <w:jc w:val="both"/>
      </w:pPr>
      <w:r>
        <w:t xml:space="preserve">Figure </w:t>
      </w:r>
      <w:r>
        <w:fldChar w:fldCharType="begin"/>
      </w:r>
      <w:r>
        <w:instrText xml:space="preserve"> SEQ Figure \* ARABIC </w:instrText>
      </w:r>
      <w:r>
        <w:fldChar w:fldCharType="separate"/>
      </w:r>
      <w:r>
        <w:rPr>
          <w:noProof/>
        </w:rPr>
        <w:t>4</w:t>
      </w:r>
      <w:r>
        <w:rPr>
          <w:noProof/>
        </w:rPr>
        <w:fldChar w:fldCharType="end"/>
      </w:r>
      <w:r>
        <w:t xml:space="preserve"> Photos of the open-pit aggregate quarry in Faga'alu in 2012 (Top) and 2014 (Bottom). Photo: Messina</w:t>
      </w:r>
    </w:p>
    <w:p w14:paraId="06DC3D7A" w14:textId="77777777" w:rsidR="00FF0539" w:rsidRPr="00444547" w:rsidRDefault="00FF0539" w:rsidP="00FF0539"/>
    <w:p w14:paraId="4A2F18CF" w14:textId="77777777" w:rsidR="002007FF" w:rsidRDefault="002007FF"/>
    <w:sectPr w:rsidR="002007F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Geography" w:date="2013-12-07T04:06:00Z" w:initials="G">
    <w:p w14:paraId="31501D77" w14:textId="77777777" w:rsidR="00FF0539" w:rsidRDefault="00FF0539" w:rsidP="00FF0539">
      <w:pPr>
        <w:pStyle w:val="CommentText"/>
      </w:pPr>
      <w:r>
        <w:rPr>
          <w:rStyle w:val="CommentReference"/>
        </w:rPr>
        <w:annotationRef/>
      </w:r>
      <w:r>
        <w:t>Is that of the whole watershed or just the red hatched part?  Seems too small compared to the visual.</w:t>
      </w:r>
    </w:p>
  </w:comment>
  <w:comment w:id="4" w:author="Alex Messina" w:date="2013-12-07T08:17:00Z" w:initials="AM">
    <w:p w14:paraId="69873B24" w14:textId="77777777" w:rsidR="00FF0539" w:rsidRDefault="00FF0539" w:rsidP="00FF0539">
      <w:pPr>
        <w:pStyle w:val="CommentText"/>
      </w:pPr>
      <w:r>
        <w:rPr>
          <w:rStyle w:val="CommentReference"/>
        </w:rPr>
        <w:annotationRef/>
      </w:r>
      <w:r>
        <w:t>Yes I also thought that the percentage would be higher. The CCAP is pretty high resolution so it’s pretty much just picking up rooftops and pavement. Maybe I should call it “Impervious” instead of “Urban”</w:t>
      </w:r>
    </w:p>
    <w:p w14:paraId="03F4B6EA" w14:textId="77777777" w:rsidR="00FF0539" w:rsidRDefault="00FF0539" w:rsidP="00FF0539">
      <w:pPr>
        <w:pStyle w:val="CommentText"/>
      </w:pPr>
    </w:p>
    <w:p w14:paraId="5E19D286" w14:textId="77777777" w:rsidR="00FF0539" w:rsidRDefault="00FF0539" w:rsidP="00FF0539">
      <w:pPr>
        <w:pStyle w:val="CommentText"/>
      </w:pPr>
      <w:r>
        <w:t>TB: Yes, clarify what is mapped as “high intensity developed” and “developed open space”.  What about roads?  Also included in HID?</w:t>
      </w:r>
    </w:p>
  </w:comment>
  <w:comment w:id="5" w:author="Geography" w:date="2014-05-17T14:52:00Z" w:initials="G">
    <w:p w14:paraId="1FAE3C44" w14:textId="77777777" w:rsidR="00FF0539" w:rsidRDefault="00FF0539" w:rsidP="00FF0539">
      <w:pPr>
        <w:pStyle w:val="CommentText"/>
      </w:pPr>
      <w:r>
        <w:rPr>
          <w:rStyle w:val="CommentReference"/>
        </w:rPr>
        <w:annotationRef/>
      </w:r>
      <w:r>
        <w:t>Where is this in table 1?  Clarify in the text.</w:t>
      </w:r>
    </w:p>
  </w:comment>
  <w:comment w:id="6" w:author="Geography" w:date="2013-12-07T04:04:00Z" w:initials="G">
    <w:p w14:paraId="7A4AD185" w14:textId="77777777" w:rsidR="00FF0539" w:rsidRDefault="00FF0539" w:rsidP="00FF0539">
      <w:pPr>
        <w:pStyle w:val="CommentText"/>
      </w:pPr>
      <w:r>
        <w:rPr>
          <w:rStyle w:val="CommentReference"/>
        </w:rPr>
        <w:annotationRef/>
      </w:r>
      <w:r>
        <w:t xml:space="preserve">?  </w:t>
      </w:r>
      <w:proofErr w:type="gramStart"/>
      <w:r>
        <w:t>by</w:t>
      </w:r>
      <w:proofErr w:type="gramEnd"/>
      <w:r>
        <w:t xml:space="preserve"> whom? For what purpose?</w:t>
      </w:r>
    </w:p>
  </w:comment>
  <w:comment w:id="7" w:author="Alex Messina" w:date="2014-05-19T09:20:00Z" w:initials="AM">
    <w:p w14:paraId="2354CCD6" w14:textId="77777777" w:rsidR="00FF0539" w:rsidRDefault="00FF0539" w:rsidP="00FF0539">
      <w:pPr>
        <w:pStyle w:val="CommentText"/>
      </w:pPr>
      <w:r>
        <w:rPr>
          <w:rStyle w:val="CommentReference"/>
        </w:rPr>
        <w:annotationRef/>
      </w:r>
      <w:r>
        <w:t>The categories and classification were from the NCCAP which is a standard classification system used by NOAA. I’m guessing their algorithm classified them grassland because tall grass usually grows in the taro plots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501D77" w15:done="1"/>
  <w15:commentEx w15:paraId="5E19D286" w15:paraIdParent="31501D77" w15:done="1"/>
  <w15:commentEx w15:paraId="1FAE3C44" w15:done="0"/>
  <w15:commentEx w15:paraId="7A4AD185" w15:done="0"/>
  <w15:commentEx w15:paraId="2354CCD6" w15:paraIdParent="7A4AD18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6C56B2"/>
    <w:multiLevelType w:val="hybridMultilevel"/>
    <w:tmpl w:val="61EAA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ography">
    <w15:presenceInfo w15:providerId="None" w15:userId="Geography"/>
  </w15:person>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361"/>
    <w:rsid w:val="002007FF"/>
    <w:rsid w:val="00B51361"/>
    <w:rsid w:val="00C33BE3"/>
    <w:rsid w:val="00E214FB"/>
    <w:rsid w:val="00FF0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1BD83"/>
  <w15:chartTrackingRefBased/>
  <w15:docId w15:val="{7A666E87-7E34-466C-BFC5-1F011ECAD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007FF"/>
    <w:pPr>
      <w:spacing w:after="80" w:line="240" w:lineRule="auto"/>
      <w:ind w:left="720"/>
      <w:contextualSpacing/>
    </w:pPr>
    <w:rPr>
      <w:rFonts w:ascii="Cambria" w:hAnsi="Cambria"/>
      <w:sz w:val="24"/>
    </w:rPr>
  </w:style>
  <w:style w:type="character" w:customStyle="1" w:styleId="ListParagraphChar">
    <w:name w:val="List Paragraph Char"/>
    <w:basedOn w:val="DefaultParagraphFont"/>
    <w:link w:val="ListParagraph"/>
    <w:uiPriority w:val="34"/>
    <w:rsid w:val="002007FF"/>
    <w:rPr>
      <w:rFonts w:ascii="Cambria" w:hAnsi="Cambria"/>
      <w:sz w:val="24"/>
    </w:rPr>
  </w:style>
  <w:style w:type="paragraph" w:styleId="Caption">
    <w:name w:val="caption"/>
    <w:basedOn w:val="Normal"/>
    <w:next w:val="Normal"/>
    <w:uiPriority w:val="35"/>
    <w:unhideWhenUsed/>
    <w:qFormat/>
    <w:rsid w:val="00FF0539"/>
    <w:pPr>
      <w:spacing w:after="200" w:line="240" w:lineRule="auto"/>
    </w:pPr>
    <w:rPr>
      <w:rFonts w:ascii="Cambria" w:hAnsi="Cambria"/>
      <w:i/>
      <w:iCs/>
      <w:color w:val="44546A" w:themeColor="text2"/>
      <w:sz w:val="18"/>
      <w:szCs w:val="18"/>
    </w:rPr>
  </w:style>
  <w:style w:type="character" w:styleId="CommentReference">
    <w:name w:val="annotation reference"/>
    <w:basedOn w:val="DefaultParagraphFont"/>
    <w:uiPriority w:val="99"/>
    <w:semiHidden/>
    <w:unhideWhenUsed/>
    <w:rsid w:val="00FF0539"/>
    <w:rPr>
      <w:sz w:val="16"/>
      <w:szCs w:val="16"/>
    </w:rPr>
  </w:style>
  <w:style w:type="paragraph" w:styleId="CommentText">
    <w:name w:val="annotation text"/>
    <w:basedOn w:val="Normal"/>
    <w:link w:val="CommentTextChar"/>
    <w:uiPriority w:val="99"/>
    <w:semiHidden/>
    <w:unhideWhenUsed/>
    <w:rsid w:val="00FF0539"/>
    <w:pPr>
      <w:spacing w:line="240" w:lineRule="auto"/>
    </w:pPr>
    <w:rPr>
      <w:sz w:val="20"/>
      <w:szCs w:val="20"/>
    </w:rPr>
  </w:style>
  <w:style w:type="character" w:customStyle="1" w:styleId="CommentTextChar">
    <w:name w:val="Comment Text Char"/>
    <w:basedOn w:val="DefaultParagraphFont"/>
    <w:link w:val="CommentText"/>
    <w:uiPriority w:val="99"/>
    <w:semiHidden/>
    <w:rsid w:val="00FF0539"/>
    <w:rPr>
      <w:sz w:val="20"/>
      <w:szCs w:val="20"/>
    </w:rPr>
  </w:style>
  <w:style w:type="paragraph" w:styleId="NoSpacing">
    <w:name w:val="No Spacing"/>
    <w:qFormat/>
    <w:rsid w:val="00FF0539"/>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FF05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05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Users\Alex\AppData\Local\Desktop\samoa\GIS\maps\Fagaalu%20and%20Nuuuli%20Instruments%20subwatersheds.mxd"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828F4-6180-43EA-AD55-C431913A0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4</Pages>
  <Words>6478</Words>
  <Characters>36930</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2</cp:revision>
  <dcterms:created xsi:type="dcterms:W3CDTF">2014-09-09T04:55:00Z</dcterms:created>
  <dcterms:modified xsi:type="dcterms:W3CDTF">2014-09-09T19:56:00Z</dcterms:modified>
</cp:coreProperties>
</file>