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E7F" w:rsidRPr="00AA3FBB" w:rsidRDefault="00AB3E7F" w:rsidP="00AB3E7F">
      <w:pPr>
        <w:pStyle w:val="Heading2"/>
        <w:rPr>
          <w:rFonts w:ascii="Times" w:hAnsi="Times" w:cs="Times"/>
        </w:rPr>
      </w:pPr>
      <w:r>
        <w:rPr>
          <w:rFonts w:ascii="Times" w:hAnsi="Times" w:cs="Times"/>
        </w:rPr>
        <w:t>SUPPLEMENTARY MATERIAL</w:t>
      </w:r>
      <w:r w:rsidRPr="00AA3FBB">
        <w:rPr>
          <w:rFonts w:ascii="Times" w:hAnsi="Times" w:cs="Times"/>
        </w:rPr>
        <w:t xml:space="preserve"> A. Dams in Faga'alu watershed</w:t>
      </w:r>
    </w:p>
    <w:p w:rsidR="00AB3E7F" w:rsidRPr="00AA3FBB" w:rsidRDefault="00AB3E7F" w:rsidP="00AB3E7F">
      <w:pPr>
        <w:rPr>
          <w:rFonts w:cs="Times"/>
        </w:rPr>
      </w:pPr>
      <w:r w:rsidRPr="00AA3FBB">
        <w:rPr>
          <w:rFonts w:cs="Times"/>
        </w:rP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rsidR="00AB3E7F" w:rsidRPr="00AA3FBB" w:rsidRDefault="00AB3E7F" w:rsidP="00AB3E7F">
      <w:pPr>
        <w:rPr>
          <w:rFonts w:cs="Times"/>
        </w:rPr>
      </w:pPr>
      <w:r w:rsidRPr="00AA3FBB">
        <w:rPr>
          <w:rFonts w:cs="Times"/>
        </w:rPr>
        <w:t xml:space="preserve">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of use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 URS Company, 1978)</w:t>
      </w:r>
      <w:r w:rsidRPr="00AA3FBB">
        <w:rPr>
          <w:rFonts w:cs="Times"/>
        </w:rPr>
        <w:fldChar w:fldCharType="end"/>
      </w:r>
      <w:r w:rsidRPr="00AA3FBB">
        <w:rPr>
          <w:rFonts w:cs="Times"/>
        </w:rPr>
        <w:t xml:space="preserve">.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meters of fine sediment </w:t>
      </w:r>
      <w:r w:rsidRPr="00AA3FBB">
        <w:rPr>
          <w:rFonts w:cs="Times"/>
        </w:rPr>
        <w:fldChar w:fldCharType="begin" w:fldLock="1"/>
      </w:r>
      <w:r w:rsidRPr="00AA3FBB">
        <w:rPr>
          <w:rFonts w:cs="Times"/>
        </w:rPr>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rsidRPr="00AA3FBB">
        <w:rPr>
          <w:rFonts w:cs="Times"/>
        </w:rPr>
        <w:fldChar w:fldCharType="separate"/>
      </w:r>
      <w:r w:rsidRPr="00AA3FBB">
        <w:rPr>
          <w:rFonts w:cs="Times"/>
          <w:noProof/>
        </w:rPr>
        <w:t>(Kearns, 2013)</w:t>
      </w:r>
      <w:r w:rsidRPr="00AA3FBB">
        <w:rPr>
          <w:rFonts w:cs="Times"/>
        </w:rPr>
        <w:fldChar w:fldCharType="end"/>
      </w:r>
      <w:r w:rsidRPr="00AA3FBB">
        <w:rPr>
          <w:rFonts w:cs="Times"/>
        </w:rPr>
        <w:t xml:space="preserve">. Interviews with local maintenance staff and historical photos </w:t>
      </w:r>
      <w:r w:rsidRPr="00AA3FBB">
        <w:rPr>
          <w:rFonts w:cs="Times"/>
        </w:rPr>
        <w:lastRenderedPageBreak/>
        <w:t>confirmed the Matafao Reservoir was actively maintained and cleaned of sediment until the early 70's.</w:t>
      </w:r>
    </w:p>
    <w:p w:rsidR="00AB3E7F" w:rsidRPr="00AA3FBB" w:rsidRDefault="00AB3E7F" w:rsidP="00AB3E7F">
      <w:pPr>
        <w:rPr>
          <w:rFonts w:cs="Times"/>
        </w:rPr>
      </w:pPr>
      <w:r w:rsidRPr="00AA3FBB">
        <w:rPr>
          <w:rFonts w:cs="Times"/>
        </w:rPr>
        <w:t xml:space="preserve">The Vaitanoa (Virgin Falls) Dam, was built in 1964 to provide drinking water but the pipe was not completed as of 10/19/89, and a stockpile of some 40 (8 ft. length) 8 in. diameter asbestos-cement pipes was found on the streambanks. Local quarry staff recall the pipes were removed from the site sometime in the 1990's. The Vaitanoa Reservoir had a design volume of 4.5 million gallons (17,000m³), but is assumed to be full of sediment since the drainage valves were never opened and the reservoir was overtopping the spillway as of 10/18/89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A low masonry weir was also constructed downstream of the Vaitanoa Dam, but not connected to any piping.</w:t>
      </w:r>
    </w:p>
    <w:p w:rsidR="00AB3E7F" w:rsidRPr="00AA3FBB" w:rsidRDefault="00AB3E7F" w:rsidP="00AB3E7F">
      <w:pPr>
        <w:rPr>
          <w:rFonts w:cs="Times"/>
        </w:rPr>
      </w:pPr>
      <w:r w:rsidRPr="00AA3FBB">
        <w:rPr>
          <w:rFonts w:cs="Times"/>
        </w:rP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The original capacity was 0.03 million gallons (114 m³) but is now full of coarse sediment up to the spillway crest. No reports were found indicating this structure was ever emptied of sediment.</w:t>
      </w:r>
    </w:p>
    <w:p w:rsidR="00AB3E7F" w:rsidRPr="00AA3FBB" w:rsidRDefault="00AB3E7F" w:rsidP="00AB3E7F">
      <w:pPr>
        <w:pStyle w:val="Heading2"/>
        <w:rPr>
          <w:rFonts w:ascii="Times" w:hAnsi="Times" w:cs="Times"/>
        </w:rPr>
      </w:pPr>
      <w:r>
        <w:rPr>
          <w:rFonts w:ascii="Times" w:hAnsi="Times" w:cs="Times"/>
        </w:rPr>
        <w:t>SUPPLEMENTARY MATERIAL</w:t>
      </w:r>
      <w:r w:rsidRPr="00AA3FBB">
        <w:rPr>
          <w:rFonts w:ascii="Times" w:hAnsi="Times" w:cs="Times"/>
        </w:rPr>
        <w:t xml:space="preserve"> B. Stream gaging in Faga’alu Watershed</w:t>
      </w:r>
    </w:p>
    <w:p w:rsidR="00AB3E7F" w:rsidRPr="00AA3FBB" w:rsidRDefault="00AB3E7F" w:rsidP="00AB3E7F">
      <w:pPr>
        <w:rPr>
          <w:rFonts w:cs="Times"/>
        </w:rPr>
      </w:pPr>
      <w:r w:rsidRPr="00AA3FBB">
        <w:rPr>
          <w:rFonts w:cs="Times"/>
        </w:rPr>
        <w:t>Stream gaging sites were chosen to take advantage of an existing control structure at FG1 (Figure B.1) and a stabilized stream cross section at FG3 (Figure B.2)</w:t>
      </w:r>
      <w:r w:rsidRPr="00AA3FBB">
        <w:rPr>
          <w:rFonts w:cs="Times"/>
        </w:rPr>
        <w:fldChar w:fldCharType="begin" w:fldLock="1"/>
      </w:r>
      <w:r w:rsidRPr="00AA3FBB">
        <w:rPr>
          <w:rFonts w:cs="Times"/>
        </w:rPr>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rsidRPr="00AA3FBB">
        <w:rPr>
          <w:rFonts w:cs="Times"/>
        </w:rPr>
        <w:fldChar w:fldCharType="separate"/>
      </w:r>
      <w:r w:rsidRPr="00AA3FBB">
        <w:rPr>
          <w:rFonts w:cs="Times"/>
          <w:noProof/>
        </w:rPr>
        <w:t>(Duvert and Gratiot, 2010)</w:t>
      </w:r>
      <w:r w:rsidRPr="00AA3FBB">
        <w:rPr>
          <w:rFonts w:cs="Times"/>
        </w:rPr>
        <w:fldChar w:fldCharType="end"/>
      </w:r>
      <w:r w:rsidRPr="00AA3FBB">
        <w:rPr>
          <w:rFonts w:cs="Times"/>
        </w:rPr>
        <w:t xml:space="preserve">. At FG1 and FG3, Q was calculated from 15 minute interval stream stage measurements, using a stage-Q rating curve calibrated to manual Q measurements made under baseflow and stormflow </w:t>
      </w:r>
      <w:r w:rsidRPr="00AA3FBB">
        <w:rPr>
          <w:rFonts w:cs="Times"/>
        </w:rPr>
        <w:lastRenderedPageBreak/>
        <w:t xml:space="preserve">conditions (Figures B.3 and B.4). Stream stage was measured with non-vented pressure transducers (PT) (Solinst Levelogger or Onset HOBO Water Level Logger) installed in stilling wells at FG1 and FG3. Barometric pressure data collected at </w:t>
      </w:r>
      <w:proofErr w:type="spellStart"/>
      <w:r w:rsidRPr="00AA3FBB">
        <w:rPr>
          <w:rFonts w:cs="Times"/>
        </w:rPr>
        <w:t>Wx</w:t>
      </w:r>
      <w:proofErr w:type="spellEnd"/>
      <w:r w:rsidRPr="00AA3FBB">
        <w:rPr>
          <w:rFonts w:cs="Times"/>
        </w:rPr>
        <w:t xml:space="preserve"> were used to calculate stage from the pressure data recorded by the PT. Data gaps in barometric pressure from </w:t>
      </w:r>
      <w:proofErr w:type="spellStart"/>
      <w:r w:rsidRPr="00AA3FBB">
        <w:rPr>
          <w:rFonts w:cs="Times"/>
        </w:rPr>
        <w:t>Wx</w:t>
      </w:r>
      <w:proofErr w:type="spellEnd"/>
      <w:r w:rsidRPr="00AA3FBB">
        <w:rPr>
          <w:rFonts w:cs="Times"/>
        </w:rPr>
        <w:t xml:space="preserve">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rsidRPr="00AA3FBB">
        <w:rPr>
          <w:rFonts w:cs="Times"/>
        </w:rPr>
        <w:fldChar w:fldCharType="begin" w:fldLock="1"/>
      </w:r>
      <w:r w:rsidRPr="00AA3FBB">
        <w:rPr>
          <w:rFonts w:cs="Times"/>
        </w:rP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Pr="00AA3FBB">
        <w:rPr>
          <w:rFonts w:cs="Times"/>
        </w:rPr>
        <w:fldChar w:fldCharType="separate"/>
      </w:r>
      <w:r w:rsidRPr="00AA3FBB">
        <w:rPr>
          <w:rFonts w:cs="Times"/>
          <w:noProof/>
        </w:rPr>
        <w:t>(Harrelson et al., 1994; Turnipseed and Sauer, 2010)</w:t>
      </w:r>
      <w:r w:rsidRPr="00AA3FBB">
        <w:rPr>
          <w:rFonts w:cs="Times"/>
        </w:rPr>
        <w:fldChar w:fldCharType="end"/>
      </w:r>
      <w:r w:rsidRPr="00AA3FBB">
        <w:rPr>
          <w:rFonts w:cs="Times"/>
        </w:rPr>
        <w:t>.</w:t>
      </w:r>
    </w:p>
    <w:p w:rsidR="00AB3E7F" w:rsidRPr="00AA3FBB" w:rsidRDefault="00AB3E7F" w:rsidP="00AB3E7F">
      <w:pPr>
        <w:rPr>
          <w:rFonts w:cs="Times"/>
        </w:rPr>
      </w:pPr>
      <w:r w:rsidRPr="00AA3FBB">
        <w:rPr>
          <w:rFonts w:cs="Times"/>
        </w:rPr>
        <w:t>AV-Q measurements could not be made at high stages at FG1 and FG3 for safety reasons, so stage-Q relationships were constructed to estimate a continuous record of Q. At FG3, the channel is rectangular with stabilized rip-rap on the banks and bed (Figure B.2).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B.3).</w:t>
      </w:r>
    </w:p>
    <w:p w:rsidR="00AB3E7F" w:rsidRPr="00AA3FBB" w:rsidRDefault="00AB3E7F" w:rsidP="00AB3E7F">
      <w:pPr>
        <w:rPr>
          <w:rFonts w:cs="Times"/>
        </w:rPr>
      </w:pPr>
      <w:r w:rsidRPr="00AA3FBB">
        <w:rPr>
          <w:rFonts w:cs="Times"/>
        </w:rPr>
        <w:t xml:space="preserve">At FG1, the flow control structure is a masonry ogee spillway crest of a defunct stream capture. The structure is a rectangular channel 43 cm deep that transitions abruptly to gently sloping banks, causing an abrupt change in the stage-Q relationship (Figure B.1). At FG1, recorded stage height ranged from 4 to 120 cm, while area-velocity Q measurements (n= 22) </w:t>
      </w:r>
      <w:r w:rsidRPr="00AA3FBB">
        <w:rPr>
          <w:rFonts w:cs="Times"/>
        </w:rPr>
        <w:lastRenderedPageBreak/>
        <w: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rsidRPr="00AA3FBB">
        <w:rPr>
          <w:rFonts w:cs="Times"/>
        </w:rPr>
        <w:fldChar w:fldCharType="begin" w:fldLock="1"/>
      </w:r>
      <w:r w:rsidRPr="00AA3FBB">
        <w:rPr>
          <w:rFonts w:cs="Times"/>
        </w:rP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Pr="00AA3FBB">
        <w:rPr>
          <w:rFonts w:cs="Times"/>
        </w:rPr>
        <w:fldChar w:fldCharType="separate"/>
      </w:r>
      <w:r w:rsidRPr="00AA3FBB">
        <w:rPr>
          <w:rFonts w:cs="Times"/>
          <w:noProof/>
        </w:rPr>
        <w:t>(Brunner, 2010)</w:t>
      </w:r>
      <w:r w:rsidRPr="00AA3FBB">
        <w:rPr>
          <w:rFonts w:cs="Times"/>
        </w:rPr>
        <w:fldChar w:fldCharType="end"/>
      </w:r>
      <w:r w:rsidRPr="00AA3FBB">
        <w:rPr>
          <w:rFonts w:cs="Times"/>
        </w:rPr>
        <w:t>. The surveyed geometry of the upstream channel and flow structure at FG1 were input to HEC-RAS, and the HEC-RAS model was calibrated to the Q measurements (Figure B.4). While a power function fit Q measurements better than HEC-RAS for low flow, HEC-RAS fit better for Q above the storm threshold used in analyses of SSY (Figure B.4).</w:t>
      </w:r>
    </w:p>
    <w:p w:rsidR="00AB3E7F" w:rsidRPr="00AA3FBB" w:rsidRDefault="00AB3E7F" w:rsidP="00AB3E7F">
      <w:pPr>
        <w:pStyle w:val="Heading2"/>
        <w:rPr>
          <w:rFonts w:ascii="Times" w:hAnsi="Times" w:cs="Times"/>
        </w:rPr>
      </w:pPr>
      <w:r>
        <w:rPr>
          <w:rFonts w:ascii="Times" w:hAnsi="Times" w:cs="Times"/>
        </w:rPr>
        <w:t>SUPPLEMENTARY MATERIAL</w:t>
      </w:r>
      <w:r w:rsidRPr="00AA3FBB">
        <w:rPr>
          <w:rFonts w:ascii="Times" w:hAnsi="Times" w:cs="Times"/>
        </w:rPr>
        <w:t xml:space="preserve"> </w:t>
      </w:r>
      <w:r>
        <w:rPr>
          <w:rFonts w:ascii="Times" w:hAnsi="Times" w:cs="Times"/>
        </w:rPr>
        <w:t>C</w:t>
      </w:r>
      <w:r w:rsidRPr="00AA3FBB">
        <w:rPr>
          <w:rFonts w:ascii="Times" w:hAnsi="Times" w:cs="Times"/>
        </w:rPr>
        <w:t>. Turbidity-Suspended Sediment Concentration rating curves for turbidimeters in Faga'alu</w:t>
      </w:r>
    </w:p>
    <w:p w:rsidR="00AB3E7F" w:rsidRPr="00AA3FBB" w:rsidRDefault="00AB3E7F" w:rsidP="00AB3E7F">
      <w:pPr>
        <w:rPr>
          <w:rFonts w:cs="Times"/>
        </w:rPr>
      </w:pPr>
      <w:r w:rsidRPr="00AA3FBB">
        <w:rPr>
          <w:rFonts w:cs="Times"/>
        </w:rPr>
        <w:t>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than 10% (4-8%) during each recalibration. The OBS requires calibration every two years, so recalibration was not needed during the study period. All turbidimeters were cleaned following storms to ensure proper operation.</w:t>
      </w:r>
    </w:p>
    <w:p w:rsidR="00AB3E7F" w:rsidRPr="00AA3FBB" w:rsidRDefault="00AB3E7F" w:rsidP="00AB3E7F">
      <w:pPr>
        <w:rPr>
          <w:rFonts w:cs="Times"/>
        </w:rPr>
      </w:pPr>
      <w:r w:rsidRPr="00AA3FBB">
        <w:rPr>
          <w:rFonts w:cs="Times"/>
        </w:rPr>
        <w:lastRenderedPageBreak/>
        <w:t xml:space="preserve">At FG3, </w:t>
      </w:r>
      <w:proofErr w:type="gramStart"/>
      <w:r w:rsidRPr="00AA3FBB">
        <w:rPr>
          <w:rFonts w:cs="Times"/>
        </w:rPr>
        <w:t>a</w:t>
      </w:r>
      <w:proofErr w:type="gramEnd"/>
      <w:r w:rsidRPr="00AA3FBB">
        <w:rPr>
          <w:rFonts w:cs="Times"/>
        </w:rPr>
        <w: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w:t>
      </w:r>
      <w:proofErr w:type="spellStart"/>
      <w:r w:rsidRPr="00AA3FBB">
        <w:rPr>
          <w:rFonts w:cs="Times"/>
        </w:rPr>
        <w:t>OBSa</w:t>
      </w:r>
      <w:proofErr w:type="spellEnd"/>
      <w:r w:rsidRPr="00AA3FBB">
        <w:rPr>
          <w:rFonts w:cs="Times"/>
        </w:rPr>
        <w:t>), and was resampled to 15 min intervals. No data was recorded from August 2013-January 2014 when the wiper clogged with sediment. A new OBS was installed at FG3 from January, 2014, to August, 2014 (</w:t>
      </w:r>
      <w:proofErr w:type="spellStart"/>
      <w:r w:rsidRPr="00AA3FBB">
        <w:rPr>
          <w:rFonts w:cs="Times"/>
        </w:rPr>
        <w:t>OBSb</w:t>
      </w:r>
      <w:proofErr w:type="spellEnd"/>
      <w:r w:rsidRPr="00AA3FBB">
        <w:rPr>
          <w:rFonts w:cs="Times"/>
        </w:rPr>
        <w:t xml:space="preserve">). To correct for some periods of high noise observed in the BS and SS data recorded by the </w:t>
      </w:r>
      <w:proofErr w:type="spellStart"/>
      <w:r w:rsidRPr="00AA3FBB">
        <w:rPr>
          <w:rFonts w:cs="Times"/>
        </w:rPr>
        <w:t>OBSa</w:t>
      </w:r>
      <w:proofErr w:type="spellEnd"/>
      <w:r w:rsidRPr="00AA3FBB">
        <w:rPr>
          <w:rFonts w:cs="Times"/>
        </w:rPr>
        <w:t xml:space="preserve"> in 2013, the </w:t>
      </w:r>
      <w:proofErr w:type="spellStart"/>
      <w:r w:rsidRPr="00AA3FBB">
        <w:rPr>
          <w:rFonts w:cs="Times"/>
        </w:rPr>
        <w:t>OBSb</w:t>
      </w:r>
      <w:proofErr w:type="spellEnd"/>
      <w:r w:rsidRPr="00AA3FBB">
        <w:rPr>
          <w:rFonts w:cs="Times"/>
        </w:rPr>
        <w:t xml:space="preserve"> installed in 2014 was programmed to make a burst of 100 BS and SS measurements at 15 min intervals, and record Median, Mean, STD, Min, and Max. All BS and SS parameters were analyzed to determine which showed the best relationship with SSC. Mean SS showed the highest r</w:t>
      </w:r>
      <w:r w:rsidRPr="00AA3FBB">
        <w:rPr>
          <w:rFonts w:cs="Times"/>
          <w:vertAlign w:val="superscript"/>
        </w:rPr>
        <w:t>2</w:t>
      </w:r>
      <w:r w:rsidRPr="00AA3FBB">
        <w:rPr>
          <w:rFonts w:cs="Times"/>
        </w:rPr>
        <w:t xml:space="preserve"> and is a physically comparable measurement to NTU measured by the YSI and TS (Anderson, 2005).</w:t>
      </w:r>
    </w:p>
    <w:p w:rsidR="00AB3E7F" w:rsidRPr="00AA3FBB" w:rsidRDefault="00AB3E7F" w:rsidP="00AB3E7F">
      <w:pPr>
        <w:rPr>
          <w:rFonts w:cs="Times"/>
        </w:rPr>
      </w:pPr>
      <w:r w:rsidRPr="00AA3FBB">
        <w:rPr>
          <w:rFonts w:cs="Times"/>
        </w:rP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rsidR="00AB3E7F" w:rsidRPr="00AA3FBB" w:rsidRDefault="00AB3E7F" w:rsidP="00AB3E7F">
      <w:pPr>
        <w:rPr>
          <w:rFonts w:cs="Times"/>
        </w:rPr>
      </w:pPr>
      <w:r w:rsidRPr="00AA3FBB">
        <w:rPr>
          <w:rFonts w:cs="Times"/>
        </w:rPr>
        <w:t xml:space="preserve">A unique T-SSC relationship was developed for </w:t>
      </w:r>
      <w:r>
        <w:rPr>
          <w:rFonts w:cs="Times"/>
        </w:rPr>
        <w:t>the YSI and both OBS</w:t>
      </w:r>
      <w:r w:rsidRPr="00AA3FBB">
        <w:rPr>
          <w:rFonts w:cs="Times"/>
        </w:rPr>
        <w:t xml:space="preserve"> turbidimeter</w:t>
      </w:r>
      <w:r>
        <w:rPr>
          <w:rFonts w:cs="Times"/>
        </w:rPr>
        <w:t>s</w:t>
      </w:r>
      <w:r w:rsidRPr="00AA3FBB">
        <w:rPr>
          <w:rFonts w:cs="Times"/>
        </w:rPr>
        <w:t>, at each location</w:t>
      </w:r>
      <w:r>
        <w:rPr>
          <w:rFonts w:cs="Times"/>
        </w:rPr>
        <w:t xml:space="preserve"> of deployment</w:t>
      </w:r>
      <w:r w:rsidRPr="00AA3FBB">
        <w:rPr>
          <w:rFonts w:cs="Times"/>
        </w:rPr>
        <w:t xml:space="preserve">, using 15 min interval T data and SSC samples from storm periods only (Figure </w:t>
      </w:r>
      <w:r>
        <w:rPr>
          <w:rFonts w:cs="Times"/>
        </w:rPr>
        <w:t>C</w:t>
      </w:r>
      <w:r w:rsidRPr="00AA3FBB">
        <w:rPr>
          <w:rFonts w:cs="Times"/>
        </w:rPr>
        <w:t xml:space="preserve">.1). </w:t>
      </w:r>
      <w:r>
        <w:rPr>
          <w:rFonts w:cs="Times"/>
        </w:rPr>
        <w:t xml:space="preserve">The TS meter at FG1 was vandalized before sufficient samples had been collected to establish a T-SSC relationship for high T data, so the T-SSC relationship from the YSI was used for the TS data. The T-SSC relationships were developed using 3 SSC samples </w:t>
      </w:r>
      <w:r>
        <w:rPr>
          <w:rFonts w:cs="Times"/>
        </w:rPr>
        <w:lastRenderedPageBreak/>
        <w:t xml:space="preserve">taken at FG1 with the YSI, 12 at FG1 with the TS, 33 at FG3 with the YSI, 14 with </w:t>
      </w:r>
      <w:proofErr w:type="spellStart"/>
      <w:r>
        <w:rPr>
          <w:rFonts w:cs="Times"/>
        </w:rPr>
        <w:t>OBSa</w:t>
      </w:r>
      <w:proofErr w:type="spellEnd"/>
      <w:r>
        <w:rPr>
          <w:rFonts w:cs="Times"/>
        </w:rPr>
        <w:t xml:space="preserve"> at FG3 and 15 with </w:t>
      </w:r>
      <w:proofErr w:type="spellStart"/>
      <w:r>
        <w:rPr>
          <w:rFonts w:cs="Times"/>
        </w:rPr>
        <w:t>OBSb</w:t>
      </w:r>
      <w:proofErr w:type="spellEnd"/>
      <w:r>
        <w:rPr>
          <w:rFonts w:cs="Times"/>
        </w:rPr>
        <w:t xml:space="preserve"> at FG3. </w:t>
      </w:r>
      <w:r w:rsidRPr="00AA3FBB">
        <w:rPr>
          <w:rFonts w:cs="Times"/>
        </w:rPr>
        <w:t xml:space="preserve">A "synthetic" T-SSC relationship was also developed by placing the turbidimeter in a black tub with water, and sampling T and SSC as sediment was added (Figure </w:t>
      </w:r>
      <w:r>
        <w:rPr>
          <w:rFonts w:cs="Times"/>
        </w:rPr>
        <w:t>C</w:t>
      </w:r>
      <w:r w:rsidRPr="00AA3FBB">
        <w:rPr>
          <w:rFonts w:cs="Times"/>
        </w:rPr>
        <w:t xml:space="preserve">.2), but results were not comparable to T-SSC relationships developed under actual storm conditions </w:t>
      </w:r>
      <w:r w:rsidRPr="00AA3FBB">
        <w:rPr>
          <w:rFonts w:cs="Times"/>
        </w:rPr>
        <w:fldChar w:fldCharType="begin" w:fldLock="1"/>
      </w:r>
      <w:r w:rsidRPr="00AA3FBB">
        <w:rPr>
          <w:rFonts w:cs="Times"/>
        </w:rPr>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Pr="00AA3FBB">
        <w:rPr>
          <w:rFonts w:cs="Times"/>
        </w:rPr>
        <w:fldChar w:fldCharType="separate"/>
      </w:r>
      <w:r w:rsidRPr="00AA3FBB">
        <w:rPr>
          <w:rFonts w:cs="Times"/>
          <w:noProof/>
        </w:rPr>
        <w:t>(Minella et al., 2008)</w:t>
      </w:r>
      <w:r w:rsidRPr="00AA3FBB">
        <w:rPr>
          <w:rFonts w:cs="Times"/>
        </w:rPr>
        <w:fldChar w:fldCharType="end"/>
      </w:r>
      <w:r w:rsidRPr="00AA3FBB">
        <w:rPr>
          <w:rFonts w:cs="Times"/>
        </w:rPr>
        <w:t xml:space="preserve"> and were not used in further analyses.</w:t>
      </w:r>
    </w:p>
    <w:p w:rsidR="00AB3E7F" w:rsidRPr="00AA3FBB" w:rsidRDefault="00AB3E7F" w:rsidP="00AB3E7F">
      <w:pPr>
        <w:rPr>
          <w:rFonts w:cs="Times"/>
        </w:rPr>
      </w:pPr>
      <w:r w:rsidRPr="00AA3FBB">
        <w:rPr>
          <w:rFonts w:cs="Times"/>
        </w:rPr>
        <w:t>The T-SSC relationships varied among sampling sites and sensors but all showed acceptable r</w:t>
      </w:r>
      <w:r w:rsidRPr="00AA3FBB">
        <w:rPr>
          <w:rFonts w:cs="Times"/>
          <w:vertAlign w:val="superscript"/>
        </w:rPr>
        <w:t>2</w:t>
      </w:r>
      <w:r w:rsidRPr="00AA3FBB">
        <w:rPr>
          <w:rFonts w:cs="Times"/>
        </w:rPr>
        <w:t xml:space="preserve"> values (0.79-0.99). Lower </w:t>
      </w:r>
      <w:r>
        <w:rPr>
          <w:rFonts w:cs="Times"/>
        </w:rPr>
        <w:t xml:space="preserve">error </w:t>
      </w:r>
      <w:r w:rsidRPr="00AA3FBB">
        <w:rPr>
          <w:rFonts w:cs="Times"/>
        </w:rPr>
        <w:t>was achieved by using grab samples collected during stormflows only. For the TS deployed at FG1, the r</w:t>
      </w:r>
      <w:r w:rsidRPr="00AA3FBB">
        <w:rPr>
          <w:rFonts w:cs="Times"/>
          <w:vertAlign w:val="superscript"/>
        </w:rPr>
        <w:t>2</w:t>
      </w:r>
      <w:r w:rsidRPr="00AA3FBB">
        <w:rPr>
          <w:rFonts w:cs="Times"/>
        </w:rPr>
        <w:t xml:space="preserve"> values w</w:t>
      </w:r>
      <w:r>
        <w:rPr>
          <w:rFonts w:cs="Times"/>
        </w:rPr>
        <w:t>as</w:t>
      </w:r>
      <w:r w:rsidRPr="00AA3FBB">
        <w:rPr>
          <w:rFonts w:cs="Times"/>
        </w:rPr>
        <w:t xml:space="preserve"> high (0.58</w:t>
      </w:r>
      <w:r>
        <w:rPr>
          <w:rFonts w:cs="Times"/>
        </w:rPr>
        <w:t>)</w:t>
      </w:r>
      <w:r w:rsidRPr="00AA3FBB">
        <w:rPr>
          <w:rFonts w:cs="Times"/>
        </w:rPr>
        <w:t xml:space="preserve"> but the range of T and SSC values were considered too small (0-16 NTU) compared to the maximum observed during the deployment period (1,077 NTU) to develop a robust relationship for higher T values. Instead, the T-SSC relationship developed for the YSI turbidimeter installed at FG1 (Figure </w:t>
      </w:r>
      <w:r>
        <w:rPr>
          <w:rFonts w:cs="Times"/>
        </w:rPr>
        <w:t>C</w:t>
      </w:r>
      <w:r w:rsidRPr="00AA3FBB">
        <w:rPr>
          <w:rFonts w:cs="Times"/>
        </w:rPr>
        <w:t xml:space="preserve">.1a-b, dotted line) was used to calculate SSC from T data collected by the TS and the YSI at FG1. </w:t>
      </w:r>
      <w:r>
        <w:rPr>
          <w:rFonts w:cs="Times"/>
        </w:rPr>
        <w:t xml:space="preserve">The T-SSC relationship from the limited data for the TS at FG1 was similar to the T-SSC relationship for the YSI at FG1. </w:t>
      </w:r>
      <w:r w:rsidRPr="00AA3FBB">
        <w:rPr>
          <w:rFonts w:cs="Times"/>
        </w:rPr>
        <w:t xml:space="preserve">For the YSI, more scatter was observed in the T-SSC relationship at FG3 than at FG1 (Figure </w:t>
      </w:r>
      <w:r>
        <w:rPr>
          <w:rFonts w:cs="Times"/>
        </w:rPr>
        <w:t>C</w:t>
      </w:r>
      <w:r w:rsidRPr="00AA3FBB">
        <w:rPr>
          <w:rFonts w:cs="Times"/>
        </w:rPr>
        <w:t xml:space="preserve">.1a-b), which could be attributed to the higher number and wider range of values sampled, and to temporal variability in sediment characteristics. The </w:t>
      </w:r>
      <w:proofErr w:type="spellStart"/>
      <w:r w:rsidRPr="00AA3FBB">
        <w:rPr>
          <w:rFonts w:cs="Times"/>
        </w:rPr>
        <w:t>OBSa</w:t>
      </w:r>
      <w:proofErr w:type="spellEnd"/>
      <w:r w:rsidRPr="00AA3FBB">
        <w:rPr>
          <w:rFonts w:cs="Times"/>
        </w:rPr>
        <w:t xml:space="preserve"> and </w:t>
      </w:r>
      <w:proofErr w:type="spellStart"/>
      <w:r w:rsidRPr="00AA3FBB">
        <w:rPr>
          <w:rFonts w:cs="Times"/>
        </w:rPr>
        <w:t>OBSb</w:t>
      </w:r>
      <w:proofErr w:type="spellEnd"/>
      <w:r w:rsidRPr="00AA3FBB">
        <w:rPr>
          <w:rFonts w:cs="Times"/>
        </w:rPr>
        <w:t xml:space="preserve"> turbidimeters had high r</w:t>
      </w:r>
      <w:r w:rsidRPr="00AA3FBB">
        <w:rPr>
          <w:rFonts w:cs="Times"/>
          <w:vertAlign w:val="superscript"/>
        </w:rPr>
        <w:t>2</w:t>
      </w:r>
      <w:r w:rsidRPr="00AA3FBB">
        <w:rPr>
          <w:rFonts w:cs="Times"/>
        </w:rPr>
        <w:t xml:space="preserve"> values (0.82, 0.93) and compared well between the two periods of deployment (Figure </w:t>
      </w:r>
      <w:r>
        <w:rPr>
          <w:rFonts w:cs="Times"/>
        </w:rPr>
        <w:t>C</w:t>
      </w:r>
      <w:r w:rsidRPr="00AA3FBB">
        <w:rPr>
          <w:rFonts w:cs="Times"/>
        </w:rPr>
        <w:t>.1c-d).</w:t>
      </w:r>
    </w:p>
    <w:p w:rsidR="00AB3E7F" w:rsidRPr="00AA3FBB" w:rsidRDefault="00AB3E7F" w:rsidP="00AB3E7F">
      <w:pPr>
        <w:pStyle w:val="Heading2"/>
        <w:rPr>
          <w:rFonts w:ascii="Times" w:hAnsi="Times" w:cs="Times"/>
        </w:rPr>
      </w:pPr>
      <w:r>
        <w:rPr>
          <w:rFonts w:ascii="Times" w:hAnsi="Times" w:cs="Times"/>
        </w:rPr>
        <w:t>SUPPLEMENTARY MATERIAL</w:t>
      </w:r>
      <w:r w:rsidRPr="00AA3FBB">
        <w:rPr>
          <w:rFonts w:ascii="Times" w:hAnsi="Times" w:cs="Times"/>
        </w:rPr>
        <w:t xml:space="preserve"> </w:t>
      </w:r>
      <w:r>
        <w:rPr>
          <w:rFonts w:ascii="Times" w:hAnsi="Times" w:cs="Times"/>
        </w:rPr>
        <w:t>D</w:t>
      </w:r>
      <w:r w:rsidRPr="00AA3FBB">
        <w:rPr>
          <w:rFonts w:ascii="Times" w:hAnsi="Times" w:cs="Times"/>
        </w:rPr>
        <w:t>. Water discharge during storm events</w:t>
      </w:r>
    </w:p>
    <w:p w:rsidR="00D5702C" w:rsidRPr="00AA3FBB" w:rsidRDefault="00D5702C" w:rsidP="00D5702C">
      <w:pPr>
        <w:ind w:firstLine="0"/>
        <w:rPr>
          <w:rFonts w:cs="Times"/>
        </w:rPr>
      </w:pPr>
      <w:r w:rsidRPr="00AA3FBB">
        <w:rPr>
          <w:rFonts w:cs="Times"/>
        </w:rPr>
        <w:t>&lt;</w:t>
      </w:r>
      <w:r>
        <w:rPr>
          <w:rFonts w:cs="Times"/>
        </w:rPr>
        <w:t>Figure</w:t>
      </w:r>
      <w:bookmarkStart w:id="0" w:name="_GoBack"/>
      <w:bookmarkEnd w:id="0"/>
      <w:r w:rsidRPr="00AA3FBB">
        <w:rPr>
          <w:rFonts w:cs="Times"/>
        </w:rPr>
        <w:t xml:space="preserve"> </w:t>
      </w:r>
      <w:r>
        <w:rPr>
          <w:rFonts w:cs="Times"/>
        </w:rPr>
        <w:t>D</w:t>
      </w:r>
      <w:r w:rsidRPr="00AA3FBB">
        <w:rPr>
          <w:rFonts w:cs="Times"/>
        </w:rPr>
        <w:t>.1 here please&gt;</w:t>
      </w:r>
    </w:p>
    <w:p w:rsidR="00D5702C" w:rsidRDefault="00D5702C" w:rsidP="00AB3E7F">
      <w:pPr>
        <w:ind w:firstLine="0"/>
        <w:rPr>
          <w:rFonts w:cs="Times"/>
        </w:rPr>
      </w:pPr>
    </w:p>
    <w:p w:rsidR="00AB3E7F" w:rsidRPr="00AA3FBB" w:rsidRDefault="00AB3E7F" w:rsidP="00AB3E7F">
      <w:pPr>
        <w:ind w:firstLine="0"/>
        <w:rPr>
          <w:rFonts w:cs="Times"/>
        </w:rPr>
      </w:pPr>
      <w:r w:rsidRPr="00AA3FBB">
        <w:rPr>
          <w:rFonts w:cs="Times"/>
        </w:rPr>
        <w:t xml:space="preserve">&lt;Table </w:t>
      </w:r>
      <w:r>
        <w:rPr>
          <w:rFonts w:cs="Times"/>
        </w:rPr>
        <w:t>D</w:t>
      </w:r>
      <w:r w:rsidRPr="00AA3FBB">
        <w:rPr>
          <w:rFonts w:cs="Times"/>
        </w:rPr>
        <w:t>.1 here please&gt;</w:t>
      </w:r>
    </w:p>
    <w:p w:rsidR="00AB3E7F" w:rsidRPr="00AA3FBB" w:rsidRDefault="00AB3E7F" w:rsidP="00AB3E7F">
      <w:pPr>
        <w:ind w:firstLine="0"/>
        <w:rPr>
          <w:rFonts w:cs="Times"/>
        </w:rPr>
      </w:pPr>
    </w:p>
    <w:p w:rsidR="00575AFD" w:rsidRDefault="00D5702C"/>
    <w:sectPr w:rsidR="00575AFD" w:rsidSect="005337C0">
      <w:footerReference w:type="default" r:id="rId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rsidR="000036A9" w:rsidRDefault="00D5702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0036A9" w:rsidRDefault="00D5702C">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7F"/>
    <w:rsid w:val="00512B2A"/>
    <w:rsid w:val="0059092E"/>
    <w:rsid w:val="005E7EC7"/>
    <w:rsid w:val="00AB3E7F"/>
    <w:rsid w:val="00B03D61"/>
    <w:rsid w:val="00D00184"/>
    <w:rsid w:val="00D5702C"/>
    <w:rsid w:val="00D9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63C4D-F486-48E1-AF47-E014BC68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E7F"/>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E7F"/>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3E7F"/>
    <w:rPr>
      <w:rFonts w:asciiTheme="majorHAnsi" w:eastAsiaTheme="majorEastAsia" w:hAnsiTheme="majorHAnsi" w:cstheme="majorBidi"/>
      <w:b/>
      <w:color w:val="2E74B5" w:themeColor="accent1" w:themeShade="BF"/>
      <w:sz w:val="26"/>
      <w:szCs w:val="26"/>
    </w:rPr>
  </w:style>
  <w:style w:type="paragraph" w:styleId="Footer">
    <w:name w:val="footer"/>
    <w:basedOn w:val="Normal"/>
    <w:link w:val="FooterChar"/>
    <w:uiPriority w:val="99"/>
    <w:unhideWhenUsed/>
    <w:rsid w:val="00AB3E7F"/>
    <w:pPr>
      <w:tabs>
        <w:tab w:val="center" w:pos="4680"/>
        <w:tab w:val="right" w:pos="9360"/>
      </w:tabs>
    </w:pPr>
  </w:style>
  <w:style w:type="character" w:customStyle="1" w:styleId="FooterChar">
    <w:name w:val="Footer Char"/>
    <w:basedOn w:val="DefaultParagraphFont"/>
    <w:link w:val="Footer"/>
    <w:uiPriority w:val="99"/>
    <w:rsid w:val="00AB3E7F"/>
    <w:rPr>
      <w:rFonts w:ascii="Times" w:hAnsi="Times" w:cs="Times New Roman"/>
      <w:sz w:val="24"/>
      <w:szCs w:val="20"/>
    </w:rPr>
  </w:style>
  <w:style w:type="character" w:styleId="LineNumber">
    <w:name w:val="line number"/>
    <w:basedOn w:val="DefaultParagraphFont"/>
    <w:uiPriority w:val="99"/>
    <w:semiHidden/>
    <w:unhideWhenUsed/>
    <w:rsid w:val="00AB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2016-03-09T02:50:00Z</dcterms:created>
  <dcterms:modified xsi:type="dcterms:W3CDTF">2016-03-09T02:52:00Z</dcterms:modified>
</cp:coreProperties>
</file>