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45"/>
        <w:gridCol w:w="2018"/>
        <w:gridCol w:w="1123"/>
        <w:gridCol w:w="1124"/>
        <w:gridCol w:w="2218"/>
        <w:gridCol w:w="2522"/>
      </w:tblGrid>
      <w:tr w:rsidR="00BB3755" w:rsidRPr="00BB3755" w:rsidTr="00811791">
        <w:tc>
          <w:tcPr>
            <w:tcW w:w="11250" w:type="dxa"/>
            <w:gridSpan w:val="6"/>
            <w:tcBorders>
              <w:top w:val="nil"/>
              <w:left w:val="nil"/>
              <w:bottom w:val="single" w:sz="12" w:space="0" w:color="auto"/>
              <w:right w:val="nil"/>
            </w:tcBorders>
          </w:tcPr>
          <w:p w:rsidR="00BB3755" w:rsidRPr="00BB3755" w:rsidRDefault="00BB3755" w:rsidP="00BB3755">
            <w:pPr>
              <w:spacing w:after="0" w:line="240" w:lineRule="auto"/>
              <w:rPr>
                <w:rFonts w:ascii="Cambria" w:eastAsia="MS Mincho" w:hAnsi="Cambria" w:cs="Times New Roman"/>
              </w:rPr>
            </w:pPr>
            <w:r w:rsidRPr="00BB3755">
              <w:rPr>
                <w:rFonts w:ascii="Cambria" w:eastAsia="MS Mincho" w:hAnsi="Cambria" w:cs="Times New Roman"/>
              </w:rPr>
              <w:t>Table 8. Annual Specific Suspended Sediment Yield (sSSY) from steep, volcanic islands in the tropical Pacific.</w:t>
            </w:r>
          </w:p>
          <w:p w:rsidR="00BB3755" w:rsidRPr="00BB3755" w:rsidRDefault="00BB3755" w:rsidP="00BB3755">
            <w:pPr>
              <w:spacing w:after="0" w:line="240" w:lineRule="auto"/>
              <w:rPr>
                <w:rFonts w:ascii="Cambria" w:eastAsia="MS Mincho" w:hAnsi="Cambria" w:cs="Times New Roman"/>
              </w:rPr>
            </w:pPr>
          </w:p>
        </w:tc>
      </w:tr>
      <w:tr w:rsidR="00BB3755" w:rsidRPr="00BB3755" w:rsidTr="00811791">
        <w:tc>
          <w:tcPr>
            <w:tcW w:w="2245" w:type="dxa"/>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Location</w:t>
            </w:r>
          </w:p>
        </w:tc>
        <w:tc>
          <w:tcPr>
            <w:tcW w:w="2018" w:type="dxa"/>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Watershed drainage area (km2)</w:t>
            </w:r>
          </w:p>
        </w:tc>
        <w:tc>
          <w:tcPr>
            <w:tcW w:w="2247" w:type="dxa"/>
            <w:gridSpan w:val="2"/>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Mean annual precipitation (mm)</w:t>
            </w:r>
          </w:p>
        </w:tc>
        <w:tc>
          <w:tcPr>
            <w:tcW w:w="2218" w:type="dxa"/>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sSSY range</w:t>
            </w:r>
          </w:p>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tons/km2/yr</w:t>
            </w:r>
          </w:p>
        </w:tc>
        <w:tc>
          <w:tcPr>
            <w:tcW w:w="2522" w:type="dxa"/>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Reference</w:t>
            </w:r>
          </w:p>
        </w:tc>
      </w:tr>
      <w:tr w:rsidR="00BB3755" w:rsidRPr="00BB3755" w:rsidTr="00811791">
        <w:tc>
          <w:tcPr>
            <w:tcW w:w="2245"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Faga’alu UPPER</w:t>
            </w:r>
          </w:p>
        </w:tc>
        <w:tc>
          <w:tcPr>
            <w:tcW w:w="2018"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0.88</w:t>
            </w:r>
          </w:p>
        </w:tc>
        <w:tc>
          <w:tcPr>
            <w:tcW w:w="2247" w:type="dxa"/>
            <w:gridSpan w:val="2"/>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p>
        </w:tc>
        <w:tc>
          <w:tcPr>
            <w:tcW w:w="2218" w:type="dxa"/>
            <w:tcBorders>
              <w:top w:val="single" w:sz="4" w:space="0" w:color="auto"/>
              <w:left w:val="nil"/>
              <w:bottom w:val="nil"/>
              <w:right w:val="nil"/>
            </w:tcBorders>
          </w:tcPr>
          <w:p w:rsidR="00BB3755" w:rsidRPr="00BB3755" w:rsidRDefault="00062282" w:rsidP="00BB3755">
            <w:pPr>
              <w:spacing w:after="0" w:line="240" w:lineRule="auto"/>
              <w:jc w:val="center"/>
              <w:rPr>
                <w:rFonts w:ascii="Cambria" w:eastAsia="MS Mincho" w:hAnsi="Cambria" w:cs="Times New Roman"/>
              </w:rPr>
            </w:pPr>
            <w:r>
              <w:rPr>
                <w:rFonts w:ascii="Cambria" w:eastAsia="MS Mincho" w:hAnsi="Cambria" w:cs="Times New Roman"/>
              </w:rPr>
              <w:t>45-68</w:t>
            </w:r>
          </w:p>
        </w:tc>
        <w:tc>
          <w:tcPr>
            <w:tcW w:w="2522"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This study</w:t>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Faga’alu TOTAL</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1.78</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2.380-6,350 (varies with elevation)</w:t>
            </w:r>
          </w:p>
        </w:tc>
        <w:tc>
          <w:tcPr>
            <w:tcW w:w="2218" w:type="dxa"/>
            <w:tcBorders>
              <w:top w:val="nil"/>
              <w:left w:val="nil"/>
              <w:bottom w:val="nil"/>
              <w:right w:val="nil"/>
            </w:tcBorders>
          </w:tcPr>
          <w:p w:rsidR="00BB3755" w:rsidRPr="00BB3755" w:rsidRDefault="00062282" w:rsidP="00BB3755">
            <w:pPr>
              <w:spacing w:after="0" w:line="240" w:lineRule="auto"/>
              <w:jc w:val="center"/>
              <w:rPr>
                <w:rFonts w:ascii="Cambria" w:eastAsia="MS Mincho" w:hAnsi="Cambria" w:cs="Times New Roman"/>
              </w:rPr>
            </w:pPr>
            <w:r>
              <w:rPr>
                <w:rFonts w:ascii="Cambria" w:eastAsia="MS Mincho" w:hAnsi="Cambria" w:cs="Times New Roman"/>
              </w:rPr>
              <w:t>241-247</w:t>
            </w:r>
            <w:bookmarkStart w:id="0" w:name="_GoBack"/>
            <w:bookmarkEnd w:id="0"/>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This study</w:t>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Kawela, Molokai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13.5</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500-3,000 (varies with elevation)</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394</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(Stock and Tribble, 2010)</w:t>
            </w:r>
            <w:r w:rsidRPr="00BB3755">
              <w:rPr>
                <w:rFonts w:ascii="Cambria" w:eastAsia="MS Mincho" w:hAnsi="Cambria" w:cs="Times New Roman"/>
              </w:rPr>
              <w:fldChar w:fldCharType="end"/>
            </w:r>
          </w:p>
        </w:tc>
      </w:tr>
      <w:tr w:rsidR="00B8436D" w:rsidRPr="00BB3755" w:rsidTr="00811791">
        <w:tc>
          <w:tcPr>
            <w:tcW w:w="2245" w:type="dxa"/>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b/>
              </w:rPr>
            </w:pPr>
            <w:r>
              <w:rPr>
                <w:rFonts w:ascii="Cambria" w:eastAsia="MS Mincho" w:hAnsi="Cambria" w:cs="Times New Roman"/>
                <w:b/>
              </w:rPr>
              <w:t>Hanalei, Kauai</w:t>
            </w:r>
          </w:p>
        </w:tc>
        <w:tc>
          <w:tcPr>
            <w:tcW w:w="2018" w:type="dxa"/>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rPr>
            </w:pPr>
            <w:r>
              <w:rPr>
                <w:rFonts w:ascii="Cambria" w:eastAsia="MS Mincho" w:hAnsi="Cambria" w:cs="Times New Roman"/>
              </w:rPr>
              <w:t>60.04</w:t>
            </w:r>
          </w:p>
        </w:tc>
        <w:tc>
          <w:tcPr>
            <w:tcW w:w="2247" w:type="dxa"/>
            <w:gridSpan w:val="2"/>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rPr>
            </w:pPr>
            <w:r>
              <w:rPr>
                <w:rFonts w:ascii="Cambria" w:eastAsia="MS Mincho" w:hAnsi="Cambria" w:cs="Times New Roman"/>
              </w:rPr>
              <w:t>500 – 9,500 (varies with elevation)</w:t>
            </w:r>
          </w:p>
        </w:tc>
        <w:tc>
          <w:tcPr>
            <w:tcW w:w="2218" w:type="dxa"/>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rPr>
            </w:pPr>
            <w:r>
              <w:rPr>
                <w:rFonts w:ascii="Cambria" w:eastAsia="MS Mincho" w:hAnsi="Cambria" w:cs="Times New Roman"/>
              </w:rPr>
              <w:t>545 ± 128</w:t>
            </w:r>
          </w:p>
        </w:tc>
        <w:tc>
          <w:tcPr>
            <w:tcW w:w="2522" w:type="dxa"/>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rPr>
            </w:pPr>
            <w:r>
              <w:rPr>
                <w:rFonts w:ascii="Cambria" w:eastAsia="MS Mincho" w:hAnsi="Cambria" w:cs="Times New Roman"/>
              </w:rPr>
              <w:fldChar w:fldCharType="begin" w:fldLock="1"/>
            </w:r>
            <w:r>
              <w:rPr>
                <w:rFonts w:ascii="Cambria" w:eastAsia="MS Mincho" w:hAnsi="Cambria" w:cs="Times New Roman"/>
              </w:rP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 "properties" : { "noteIndex" : 0 }, "schema" : "https://github.com/citation-style-language/schema/raw/master/csl-citation.json" }</w:instrText>
            </w:r>
            <w:r>
              <w:rPr>
                <w:rFonts w:ascii="Cambria" w:eastAsia="MS Mincho" w:hAnsi="Cambria" w:cs="Times New Roman"/>
              </w:rPr>
              <w:fldChar w:fldCharType="separate"/>
            </w:r>
            <w:r w:rsidRPr="00B8436D">
              <w:rPr>
                <w:rFonts w:ascii="Cambria" w:eastAsia="MS Mincho" w:hAnsi="Cambria" w:cs="Times New Roman"/>
                <w:noProof/>
              </w:rPr>
              <w:t>(Ferrier et al., 2013)</w:t>
            </w:r>
            <w:r>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Hanalei, Kauai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48.4</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2,000-11,000 (varies with elevation)</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525</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(Stock and Tribble, 2010)</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Hanalei, Kauai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54.4</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2,000-11,000 (varies with elevation)</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140±55</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"plainTextFormattedCitation" : "(Calhoun and Fletcher, 1999)", "previouslyFormattedCitation" : "(Calhoun and Fletcher 1999)"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(Calhoun and Fletcher, 1999)</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 xml:space="preserve">St. John, </w:t>
            </w:r>
            <w:proofErr w:type="spellStart"/>
            <w:r w:rsidRPr="00BB3755">
              <w:rPr>
                <w:rFonts w:ascii="Cambria" w:eastAsia="MS Mincho" w:hAnsi="Cambria" w:cs="Times New Roman"/>
                <w:b/>
              </w:rPr>
              <w:t>USVI</w:t>
            </w:r>
            <w:r w:rsidRPr="00BB3755">
              <w:rPr>
                <w:rFonts w:ascii="Cambria" w:eastAsia="MS Mincho" w:hAnsi="Cambria" w:cs="Times New Roman"/>
                <w:b/>
                <w:vertAlign w:val="superscript"/>
              </w:rPr>
              <w:t>a</w:t>
            </w:r>
            <w:proofErr w:type="spellEnd"/>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3.5</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1,300-1,400</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18</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"DOI" : "10.1016/j.jenvman.2006.05.019", "ISSN" : "0301-4797", "PMID" : "17029758", "abstract" : "Accelerated erosion and increased sediment yields resulting from changes in land use are a critical environmental problem. Resource managers and decision makers need spatially explicit tools to help them predict the changes in sediment production and delivery due to unpaved roads and other types of land disturbance. This is a particularly important issue in much of the Caribbean because of the rapid pace of development and potential damage to nearshore coral reef communities. The specific objectives of this study were to: (1) develop a GIS-based sediment budget model; (2) use the model to evaluate the effects of unpaved roads on sediment delivery rates in three watersheds on St. John in the US Virgin Islands; and (3) compare the predicted sediment yields to pre-existing data. The St. John Erosion Model (STJ-EROS) is an ArcInfo-based program that uses empirical sediment production functions and delivery ratios to quantify watershed-scale sediment yields. The program consists of six input routines and five routines to calculate sediment production and delivery. The input routines have interfaces that allow the user to adjust the key variables that control sediment production and delivery. The other five routines use pre-set erosion rate constants, user-defined variables, and values from nine data layers to calculate watershed-scale sediment yields from unpaved road travelways, road cutslopes, streambanks, treethrow, and undisturbed hillslopes. STJ-EROS was applied to three basins on St. John with varying levels of development. Predicted sediment yields under natural conditions ranged from 2 to 7Mgkm(-2)yr(-1), while yield rates for current conditions ranged from 8 to 46Mgkm(-2)yr(-1). Unpaved roads are estimated to be increasing sediment delivery rates by 3-6 times for Lameshur Bay, 5-9 times for Fish Bay, and 4-8 times for Cinnamon Bay. Predicted basin-scale sediment yields for both undisturbed and current conditions are within the range of measured sediment yields and bay sedimentation rates. The structure and user interfaces in STJ-EROS mean that the model can be readily adapted to other areas and used to assess the impact of unpaved roads and other land uses sediment production and delivery.", "author" : [ { "dropping-particle" : "", "family" : "Ramos-Scharr\u00f3n", "given" : "Carlos E", "non-dropping-particle" : "", "parse-names" : false, "suffix" : "" }, { "dropping-particle" : "", "family" : "Macdonald", "given" : "Lee H", "non-dropping-particle" : "", "parse-names" : false, "suffix" : "" } ], "container-title" : "Journal of Environmental Management", "id" : "ITEM-1", "issue" : "2", "issued" : { "date-parts" : [ [ "2007", "7" ] ] }, "page" : "157-72", "title" : "Development and application of a GIS-based sediment budget model.", "type" : "article-journal", "volume" : "84" }, "uris" : [ "http://www.mendeley.com/documents/?uuid=c1bc7677-6d02-4625-94ba-d87d463a1948"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(Ramos-Scharrón and Macdonald, 2007)</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St. John, USVI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2.3</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1,300-1,400</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24</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"author" : [ { "dropping-particle" : "", "family" : "Nemeth", "given" : "R.S.", "non-dropping-particle" : "", "parse-names" : false, "suffix" : "" }, { "dropping-particle" : "", "family" : "Nowlis", "given" : "J.S.", "non-dropping-particle" : "", "parse-names" : false, "suffix" : "" } ], "container-title" : "Bulletin of Marine Science", "id" : "ITEM-1", "issue" : "2", "issued" : { "date-parts" : [ [ "2001" ] ] }, "page" : "759\u2013775.", "title" : "Monitoring the effects of land development on the near-shore marine environment of St. Thomas, USVI.", "type" : "article-journal", "volume" : "69" }, "uris" : [ "http://www.mendeley.com/documents/?uuid=2f99eb1b-d1eb-4603-82e1-e403d7ad3ef4" ] } ], "mendeley" : { "formattedCitation" : "(Nemeth and Nowlis, 2001)", "plainTextFormattedCitation" : "(Nemeth and Nowlis, 2001)", "previouslyFormattedCitation" : "(Nemeth and Nowlis 2001)"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(Nemeth and Nowlis, 2001)</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St. John, USVI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6</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1,300-1,400</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36</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"author" : [ { "dropping-particle" : "", "family" : "Nemeth", "given" : "R.S.", "non-dropping-particle" : "", "parse-names" : false, "suffix" : "" }, { "dropping-particle" : "", "family" : "Nowlis", "given" : "J.S.", "non-dropping-particle" : "", "parse-names" : false, "suffix" : "" } ], "container-title" : "Bulletin of Marine Science", "id" : "ITEM-1", "issue" : "2", "issued" : { "date-parts" : [ [ "2001" ] ] }, "page" : "759\u2013775.", "title" : "Monitoring the effects of land development on the near-shore marine environment of St. Thomas, USVI.", "type" : "article-journal", "volume" : "69" }, "uris" : [ "http://www.mendeley.com/documents/?uuid=2f99eb1b-d1eb-4603-82e1-e403d7ad3ef4" ] } ], "mendeley" : { "formattedCitation" : "(Nemeth and Nowlis, 2001)", "plainTextFormattedCitation" : "(Nemeth and Nowlis, 2001)", "previouslyFormattedCitation" : "(Nemeth and Nowlis 2001)"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(Nemeth and Nowlis, 2001)</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Oahu</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10.4</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1,000-3,800 (varies with elevation)</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330±130; 200±100 (varies with method)</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"DOI" : "10.1016/S0169-555X(96)00053-0", "ISSN" : "0169555X", "author" : [ { "dropping-particle" : "", "family" : "Hill", "given" : "Barry R.", "non-dropping-particle" : "", "parse-names" : false, "suffix" : "" }, { "dropping-particle" : "", "family" : "Fuller", "given" : "Christopher C.", "non-dropping-particle" : "", "parse-names" : false, "suffix" : "" }, { "dropping-particle" : "", "family" : "DeCarlo", "given" : "Eric H.", "non-dropping-particle" : "", "parse-names" : false, "suffix" : "" } ], "container-title" : "Geomorphology", "id" : "ITEM-1", "issue" : "1-2", "issued" : { "date-parts" : [ [ "1997", "9" ] ] }, "page" : "67-79", "title" : "Hillslope soil erosion estimated from aerosol concentrations, North Halawa Valley, Oahu, Hawaii", "type" : "article-journal", "volume" : "20" }, "uris" : [ "http://www.mendeley.com/documents/?uuid=cbb9aa76-64c7-422d-ba40-ee6a96163948" ] } ], "mendeley" : { "formattedCitation" : "(Hill et al., 1997)", "plainTextFormattedCitation" : "(Hill et al., 1997)", "previouslyFormattedCitation" : "(Hill et al. 1997)"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(Hill et al., 1997)</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proofErr w:type="spellStart"/>
            <w:r w:rsidRPr="00BB3755">
              <w:rPr>
                <w:rFonts w:ascii="Cambria" w:eastAsia="MS Mincho" w:hAnsi="Cambria" w:cs="Times New Roman"/>
                <w:b/>
              </w:rPr>
              <w:t>Barro</w:t>
            </w:r>
            <w:proofErr w:type="spellEnd"/>
            <w:r w:rsidRPr="00BB3755">
              <w:rPr>
                <w:rFonts w:ascii="Cambria" w:eastAsia="MS Mincho" w:hAnsi="Cambria" w:cs="Times New Roman"/>
                <w:b/>
              </w:rPr>
              <w:t xml:space="preserve"> Colorado, Panama</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0.033</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2,623±458</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100-200</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(Zimmermann et al., 2012)</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 xml:space="preserve">Fly River, </w:t>
            </w:r>
            <w:proofErr w:type="spellStart"/>
            <w:r w:rsidRPr="00BB3755">
              <w:rPr>
                <w:rFonts w:ascii="Cambria" w:eastAsia="MS Mincho" w:hAnsi="Cambria" w:cs="Times New Roman"/>
                <w:b/>
              </w:rPr>
              <w:t>PNG</w:t>
            </w:r>
            <w:r w:rsidRPr="00BB3755">
              <w:rPr>
                <w:rFonts w:ascii="Cambria" w:eastAsia="MS Mincho" w:hAnsi="Cambria" w:cs="Times New Roman"/>
                <w:b/>
                <w:vertAlign w:val="superscript"/>
              </w:rPr>
              <w:t>b</w:t>
            </w:r>
            <w:proofErr w:type="spellEnd"/>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76,000</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up to 10,000</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1,000-1,500</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"DOI" : "10.1007/BF01204453", "ISSN" : "0276-0460", "author" : [ { "dropping-particle" : "", "family" : "Milliman", "given" : "John D.", "non-dropping-particle" : "", "parse-names" : false, "suffix" : "" } ], "container-title" : "Geo-Marine Letters", "id" : "ITEM-1", "issue" : "3-4", "issued" : { "date-parts" : [ [ "1995", "9" ] ] }, "page" : "127-133", "title" : "Sediment discharge to the ocean from small mountainous rivers: The New Guinea example", "type" : "article-journal", "volume" : "15" }, "uris" : [ "http://www.mendeley.com/documents/?uuid=3bbed525-5f00-4f2b-a824-72252cf599f9" ] } ], "mendeley" : { "formattedCitation" : "(Milliman, 1995)", "plainTextFormattedCitation" : "(Milliman, 1995)", "previouslyFormattedCitation" : "(Milliman 1995)"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(Milliman, 1995)</w:t>
            </w:r>
            <w:r w:rsidRPr="00BB3755">
              <w:rPr>
                <w:rFonts w:ascii="Cambria" w:eastAsia="MS Mincho" w:hAnsi="Cambria" w:cs="Times New Roman"/>
              </w:rPr>
              <w:fldChar w:fldCharType="end"/>
            </w:r>
          </w:p>
        </w:tc>
      </w:tr>
      <w:tr w:rsidR="00BB3755" w:rsidRPr="00BB3755" w:rsidTr="00811791">
        <w:trPr>
          <w:trHeight w:val="305"/>
        </w:trPr>
        <w:tc>
          <w:tcPr>
            <w:tcW w:w="2245" w:type="dxa"/>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proofErr w:type="spellStart"/>
            <w:r w:rsidRPr="00BB3755">
              <w:rPr>
                <w:rFonts w:ascii="Cambria" w:eastAsia="MS Mincho" w:hAnsi="Cambria" w:cs="Times New Roman"/>
                <w:b/>
              </w:rPr>
              <w:t>Purari</w:t>
            </w:r>
            <w:proofErr w:type="spellEnd"/>
            <w:r w:rsidRPr="00BB3755">
              <w:rPr>
                <w:rFonts w:ascii="Cambria" w:eastAsia="MS Mincho" w:hAnsi="Cambria" w:cs="Times New Roman"/>
                <w:b/>
              </w:rPr>
              <w:t xml:space="preserve"> River, PNG</w:t>
            </w:r>
          </w:p>
        </w:tc>
        <w:tc>
          <w:tcPr>
            <w:tcW w:w="2018" w:type="dxa"/>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35,000</w:t>
            </w:r>
          </w:p>
        </w:tc>
        <w:tc>
          <w:tcPr>
            <w:tcW w:w="2247" w:type="dxa"/>
            <w:gridSpan w:val="2"/>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p>
        </w:tc>
        <w:tc>
          <w:tcPr>
            <w:tcW w:w="2218" w:type="dxa"/>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3,000</w:t>
            </w:r>
          </w:p>
        </w:tc>
        <w:tc>
          <w:tcPr>
            <w:tcW w:w="2522" w:type="dxa"/>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w:t>
            </w:r>
          </w:p>
        </w:tc>
      </w:tr>
      <w:tr w:rsidR="00BB3755" w:rsidRPr="00BB3755" w:rsidTr="00811791">
        <w:tc>
          <w:tcPr>
            <w:tcW w:w="11250" w:type="dxa"/>
            <w:gridSpan w:val="6"/>
            <w:tcBorders>
              <w:top w:val="single" w:sz="4" w:space="0" w:color="auto"/>
              <w:left w:val="nil"/>
              <w:bottom w:val="single" w:sz="4" w:space="0" w:color="auto"/>
              <w:right w:val="nil"/>
            </w:tcBorders>
          </w:tcPr>
          <w:p w:rsidR="00BB3755" w:rsidRPr="00BB3755" w:rsidRDefault="00BB3755" w:rsidP="00BB3755">
            <w:pPr>
              <w:spacing w:after="0" w:line="240" w:lineRule="auto"/>
              <w:rPr>
                <w:rFonts w:ascii="Cambria" w:eastAsia="MS Mincho" w:hAnsi="Cambria" w:cs="Times New Roman"/>
              </w:rPr>
            </w:pPr>
          </w:p>
        </w:tc>
      </w:tr>
      <w:tr w:rsidR="00BB3755" w:rsidRPr="00BB3755" w:rsidTr="00811791">
        <w:tc>
          <w:tcPr>
            <w:tcW w:w="4263" w:type="dxa"/>
            <w:gridSpan w:val="2"/>
            <w:tcBorders>
              <w:top w:val="single" w:sz="4" w:space="0" w:color="auto"/>
              <w:left w:val="nil"/>
              <w:bottom w:val="single" w:sz="4" w:space="0" w:color="auto"/>
              <w:right w:val="nil"/>
            </w:tcBorders>
          </w:tcPr>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Milliman and Syvitski (1992) Model:</w:t>
            </w:r>
          </w:p>
          <w:p w:rsidR="00BB3755" w:rsidRPr="00BB3755" w:rsidRDefault="00BB3755" w:rsidP="00BB3755">
            <w:pPr>
              <w:spacing w:after="0" w:line="240" w:lineRule="auto"/>
              <w:rPr>
                <w:rFonts w:ascii="Cambria" w:eastAsia="MS Mincho" w:hAnsi="Cambria" w:cs="Times New Roman"/>
                <w:b/>
                <w:vertAlign w:val="superscript"/>
              </w:rPr>
            </w:pPr>
            <w:r w:rsidRPr="00BB3755">
              <w:rPr>
                <w:rFonts w:ascii="Cambria" w:eastAsia="MS Mincho" w:hAnsi="Cambria" w:cs="Times New Roman"/>
                <w:b/>
              </w:rPr>
              <w:t xml:space="preserve">    sSSY = </w:t>
            </w:r>
            <w:proofErr w:type="spellStart"/>
            <w:r w:rsidRPr="00BB3755">
              <w:rPr>
                <w:rFonts w:ascii="Cambria" w:eastAsia="MS Mincho" w:hAnsi="Cambria" w:cs="Times New Roman"/>
                <w:b/>
              </w:rPr>
              <w:t>cA</w:t>
            </w:r>
            <w:r w:rsidRPr="00BB3755">
              <w:rPr>
                <w:rFonts w:ascii="Cambria" w:eastAsia="MS Mincho" w:hAnsi="Cambria" w:cs="Times New Roman"/>
                <w:b/>
                <w:vertAlign w:val="superscript"/>
              </w:rPr>
              <w:t>f</w:t>
            </w:r>
            <w:proofErr w:type="spellEnd"/>
          </w:p>
          <w:p w:rsidR="00BB3755" w:rsidRPr="00BB3755" w:rsidRDefault="00BB3755" w:rsidP="00BB3755">
            <w:pPr>
              <w:spacing w:after="0" w:line="240" w:lineRule="auto"/>
              <w:rPr>
                <w:rFonts w:ascii="Cambria" w:eastAsia="MS Mincho" w:hAnsi="Cambria" w:cs="Times New Roman"/>
                <w:i/>
              </w:rPr>
            </w:pPr>
            <w:r w:rsidRPr="00BB3755">
              <w:rPr>
                <w:rFonts w:ascii="Cambria" w:eastAsia="MS Mincho" w:hAnsi="Cambria" w:cs="Times New Roman"/>
                <w:i/>
              </w:rPr>
              <w:t xml:space="preserve">      </w:t>
            </w:r>
            <w:proofErr w:type="spellStart"/>
            <w:proofErr w:type="gramStart"/>
            <w:r w:rsidRPr="00BB3755">
              <w:rPr>
                <w:rFonts w:ascii="Cambria" w:eastAsia="MS Mincho" w:hAnsi="Cambria" w:cs="Times New Roman"/>
                <w:i/>
              </w:rPr>
              <w:t>c,</w:t>
            </w:r>
            <w:proofErr w:type="gramEnd"/>
            <w:r w:rsidRPr="00BB3755">
              <w:rPr>
                <w:rFonts w:ascii="Cambria" w:eastAsia="MS Mincho" w:hAnsi="Cambria" w:cs="Times New Roman"/>
                <w:i/>
              </w:rPr>
              <w:t>f</w:t>
            </w:r>
            <w:proofErr w:type="spellEnd"/>
            <w:r w:rsidRPr="00BB3755">
              <w:rPr>
                <w:rFonts w:ascii="Cambria" w:eastAsia="MS Mincho" w:hAnsi="Cambria" w:cs="Times New Roman"/>
                <w:i/>
              </w:rPr>
              <w:t xml:space="preserve"> = regression </w:t>
            </w:r>
            <w:proofErr w:type="spellStart"/>
            <w:r w:rsidRPr="00BB3755">
              <w:rPr>
                <w:rFonts w:ascii="Cambria" w:eastAsia="MS Mincho" w:hAnsi="Cambria" w:cs="Times New Roman"/>
                <w:i/>
              </w:rPr>
              <w:t>coeff</w:t>
            </w:r>
            <w:proofErr w:type="spellEnd"/>
            <w:r w:rsidRPr="00BB3755">
              <w:rPr>
                <w:rFonts w:ascii="Cambria" w:eastAsia="MS Mincho" w:hAnsi="Cambria" w:cs="Times New Roman"/>
                <w:i/>
              </w:rPr>
              <w:t>. for region/max elevation</w:t>
            </w:r>
          </w:p>
        </w:tc>
        <w:tc>
          <w:tcPr>
            <w:tcW w:w="1123" w:type="dxa"/>
            <w:tcBorders>
              <w:top w:val="single" w:sz="4" w:space="0" w:color="auto"/>
              <w:left w:val="nil"/>
              <w:bottom w:val="single" w:sz="4" w:space="0" w:color="auto"/>
              <w:right w:val="nil"/>
            </w:tcBorders>
            <w:vAlign w:val="bottom"/>
          </w:tcPr>
          <w:p w:rsidR="00BB3755" w:rsidRPr="00BB3755" w:rsidRDefault="00BB3755" w:rsidP="00BB3755">
            <w:pPr>
              <w:spacing w:after="0" w:line="240" w:lineRule="auto"/>
              <w:jc w:val="center"/>
              <w:rPr>
                <w:rFonts w:ascii="Cambria" w:eastAsia="MS Mincho" w:hAnsi="Cambria" w:cs="Times New Roman"/>
                <w:b/>
              </w:rPr>
            </w:pPr>
          </w:p>
          <w:p w:rsidR="00BB3755" w:rsidRPr="00BB3755" w:rsidRDefault="00BB3755" w:rsidP="00BB3755">
            <w:pPr>
              <w:spacing w:after="0" w:line="240" w:lineRule="auto"/>
              <w:jc w:val="center"/>
              <w:rPr>
                <w:rFonts w:ascii="Cambria" w:eastAsia="MS Mincho" w:hAnsi="Cambria" w:cs="Times New Roman"/>
                <w:b/>
              </w:rPr>
            </w:pPr>
          </w:p>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c</w:t>
            </w:r>
          </w:p>
        </w:tc>
        <w:tc>
          <w:tcPr>
            <w:tcW w:w="1124" w:type="dxa"/>
            <w:tcBorders>
              <w:top w:val="single" w:sz="4" w:space="0" w:color="auto"/>
              <w:left w:val="nil"/>
              <w:bottom w:val="single" w:sz="4" w:space="0" w:color="auto"/>
              <w:right w:val="nil"/>
            </w:tcBorders>
            <w:vAlign w:val="bottom"/>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rPr>
              <w:t>f</w:t>
            </w:r>
          </w:p>
        </w:tc>
        <w:tc>
          <w:tcPr>
            <w:tcW w:w="2218" w:type="dxa"/>
            <w:tcBorders>
              <w:top w:val="single" w:sz="4"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p>
          <w:p w:rsidR="00BB3755" w:rsidRPr="00BB3755" w:rsidRDefault="00BB3755" w:rsidP="00BB3755">
            <w:pPr>
              <w:spacing w:after="0" w:line="240" w:lineRule="auto"/>
              <w:jc w:val="center"/>
              <w:rPr>
                <w:rFonts w:ascii="Cambria" w:eastAsia="MS Mincho" w:hAnsi="Cambria" w:cs="Times New Roman"/>
                <w:b/>
              </w:rPr>
            </w:pPr>
          </w:p>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sSSY tons/km2/yr</w:t>
            </w:r>
          </w:p>
        </w:tc>
        <w:tc>
          <w:tcPr>
            <w:tcW w:w="2522" w:type="dxa"/>
            <w:tcBorders>
              <w:top w:val="single" w:sz="4"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p>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"previouslyFormattedCitation" : "(Milliman and Syvitski 1992)"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(Milliman and Syvitski, 1992)</w:t>
            </w:r>
            <w:r w:rsidRPr="00BB3755">
              <w:rPr>
                <w:rFonts w:ascii="Cambria" w:eastAsia="MS Mincho" w:hAnsi="Cambria" w:cs="Times New Roman"/>
              </w:rPr>
              <w:fldChar w:fldCharType="end"/>
            </w:r>
          </w:p>
        </w:tc>
      </w:tr>
      <w:tr w:rsidR="00BB3755" w:rsidRPr="00BB3755" w:rsidTr="00811791">
        <w:tc>
          <w:tcPr>
            <w:tcW w:w="2245" w:type="dxa"/>
            <w:tcBorders>
              <w:top w:val="single" w:sz="4" w:space="0" w:color="auto"/>
              <w:left w:val="nil"/>
              <w:bottom w:val="nil"/>
              <w:right w:val="nil"/>
            </w:tcBorders>
          </w:tcPr>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 xml:space="preserve">    Max </w:t>
            </w:r>
            <w:proofErr w:type="spellStart"/>
            <w:r w:rsidRPr="00BB3755">
              <w:rPr>
                <w:rFonts w:ascii="Cambria" w:eastAsia="MS Mincho" w:hAnsi="Cambria" w:cs="Times New Roman"/>
                <w:b/>
              </w:rPr>
              <w:t>elev</w:t>
            </w:r>
            <w:proofErr w:type="spellEnd"/>
            <w:r w:rsidRPr="00BB3755">
              <w:rPr>
                <w:rFonts w:ascii="Cambria" w:eastAsia="MS Mincho" w:hAnsi="Cambria" w:cs="Times New Roman"/>
                <w:b/>
              </w:rPr>
              <w:t xml:space="preserve"> &gt;3,000m</w:t>
            </w:r>
          </w:p>
        </w:tc>
        <w:tc>
          <w:tcPr>
            <w:tcW w:w="2018" w:type="dxa"/>
            <w:tcBorders>
              <w:top w:val="single" w:sz="4" w:space="0" w:color="auto"/>
              <w:left w:val="nil"/>
              <w:bottom w:val="nil"/>
              <w:right w:val="nil"/>
            </w:tcBorders>
          </w:tcPr>
          <w:p w:rsidR="00BB3755" w:rsidRPr="00BB3755" w:rsidRDefault="00BB3755" w:rsidP="00BB3755">
            <w:pPr>
              <w:spacing w:after="0" w:line="240" w:lineRule="auto"/>
              <w:rPr>
                <w:rFonts w:ascii="Cambria" w:eastAsia="MS Mincho" w:hAnsi="Cambria" w:cs="Times New Roman"/>
              </w:rPr>
            </w:pPr>
            <w:r w:rsidRPr="00BB3755">
              <w:rPr>
                <w:rFonts w:ascii="Cambria" w:eastAsia="MS Mincho" w:hAnsi="Cambria" w:cs="Times New Roman"/>
              </w:rPr>
              <w:t xml:space="preserve">Faga’alu </w:t>
            </w:r>
          </w:p>
          <w:p w:rsidR="00BB3755" w:rsidRPr="00BB3755" w:rsidRDefault="00BB3755" w:rsidP="00BB3755">
            <w:pPr>
              <w:spacing w:after="0" w:line="240" w:lineRule="auto"/>
              <w:rPr>
                <w:rFonts w:ascii="Cambria" w:eastAsia="MS Mincho" w:hAnsi="Cambria" w:cs="Times New Roman"/>
              </w:rPr>
            </w:pPr>
            <w:r w:rsidRPr="00BB3755">
              <w:rPr>
                <w:rFonts w:ascii="Cambria" w:eastAsia="MS Mincho" w:hAnsi="Cambria" w:cs="Times New Roman"/>
              </w:rPr>
              <w:t xml:space="preserve">        UPPER = 0.88</w:t>
            </w:r>
          </w:p>
          <w:p w:rsidR="00BB3755" w:rsidRPr="00BB3755" w:rsidRDefault="00BB3755" w:rsidP="00BB3755">
            <w:pPr>
              <w:spacing w:after="0" w:line="240" w:lineRule="auto"/>
              <w:rPr>
                <w:rFonts w:ascii="Cambria" w:eastAsia="MS Mincho" w:hAnsi="Cambria" w:cs="Times New Roman"/>
              </w:rPr>
            </w:pPr>
            <w:r w:rsidRPr="00BB3755">
              <w:rPr>
                <w:rFonts w:ascii="Cambria" w:eastAsia="MS Mincho" w:hAnsi="Cambria" w:cs="Times New Roman"/>
              </w:rPr>
              <w:t xml:space="preserve">        TOTAL = 1.78</w:t>
            </w:r>
          </w:p>
        </w:tc>
        <w:tc>
          <w:tcPr>
            <w:tcW w:w="1123"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280</w:t>
            </w:r>
          </w:p>
        </w:tc>
        <w:tc>
          <w:tcPr>
            <w:tcW w:w="1124"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-0.54</w:t>
            </w:r>
          </w:p>
        </w:tc>
        <w:tc>
          <w:tcPr>
            <w:tcW w:w="2218"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UPPER = 296</w:t>
            </w:r>
          </w:p>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TOTAL = 205</w:t>
            </w:r>
          </w:p>
        </w:tc>
        <w:tc>
          <w:tcPr>
            <w:tcW w:w="2522"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w:t>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 xml:space="preserve">    Max </w:t>
            </w:r>
            <w:proofErr w:type="spellStart"/>
            <w:r w:rsidRPr="00BB3755">
              <w:rPr>
                <w:rFonts w:ascii="Cambria" w:eastAsia="MS Mincho" w:hAnsi="Cambria" w:cs="Times New Roman"/>
                <w:b/>
              </w:rPr>
              <w:t>elev</w:t>
            </w:r>
            <w:proofErr w:type="spellEnd"/>
            <w:r w:rsidRPr="00BB3755">
              <w:rPr>
                <w:rFonts w:ascii="Cambria" w:eastAsia="MS Mincho" w:hAnsi="Cambria" w:cs="Times New Roman"/>
                <w:b/>
              </w:rPr>
              <w:t xml:space="preserve"> 1000-3000m</w:t>
            </w:r>
          </w:p>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 xml:space="preserve">    (Oceania)</w:t>
            </w:r>
          </w:p>
        </w:tc>
        <w:tc>
          <w:tcPr>
            <w:tcW w:w="2018" w:type="dxa"/>
            <w:tcBorders>
              <w:top w:val="nil"/>
              <w:left w:val="nil"/>
              <w:bottom w:val="nil"/>
              <w:right w:val="nil"/>
            </w:tcBorders>
          </w:tcPr>
          <w:p w:rsidR="00BB3755" w:rsidRPr="00BB3755" w:rsidRDefault="00BB3755" w:rsidP="00BB3755">
            <w:pPr>
              <w:spacing w:after="0" w:line="240" w:lineRule="auto"/>
              <w:rPr>
                <w:rFonts w:ascii="Cambria" w:eastAsia="MS Mincho" w:hAnsi="Cambria" w:cs="Times New Roman"/>
              </w:rPr>
            </w:pPr>
          </w:p>
        </w:tc>
        <w:tc>
          <w:tcPr>
            <w:tcW w:w="1123"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65</w:t>
            </w:r>
          </w:p>
        </w:tc>
        <w:tc>
          <w:tcPr>
            <w:tcW w:w="1124"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-0.46</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UPPER = 68</w:t>
            </w:r>
          </w:p>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TOTAL = 50</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w:t>
            </w:r>
          </w:p>
        </w:tc>
      </w:tr>
      <w:tr w:rsidR="00BB3755" w:rsidRPr="00BB3755" w:rsidTr="00811791">
        <w:tc>
          <w:tcPr>
            <w:tcW w:w="2245" w:type="dxa"/>
            <w:tcBorders>
              <w:top w:val="nil"/>
              <w:left w:val="nil"/>
              <w:bottom w:val="single" w:sz="12" w:space="0" w:color="auto"/>
              <w:right w:val="nil"/>
            </w:tcBorders>
          </w:tcPr>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 xml:space="preserve">    Max </w:t>
            </w:r>
            <w:proofErr w:type="spellStart"/>
            <w:r w:rsidRPr="00BB3755">
              <w:rPr>
                <w:rFonts w:ascii="Cambria" w:eastAsia="MS Mincho" w:hAnsi="Cambria" w:cs="Times New Roman"/>
                <w:b/>
              </w:rPr>
              <w:t>elev</w:t>
            </w:r>
            <w:proofErr w:type="spellEnd"/>
            <w:r w:rsidRPr="00BB3755">
              <w:rPr>
                <w:rFonts w:ascii="Cambria" w:eastAsia="MS Mincho" w:hAnsi="Cambria" w:cs="Times New Roman"/>
                <w:b/>
              </w:rPr>
              <w:t xml:space="preserve"> 500-1,000m</w:t>
            </w:r>
          </w:p>
        </w:tc>
        <w:tc>
          <w:tcPr>
            <w:tcW w:w="2018" w:type="dxa"/>
            <w:tcBorders>
              <w:top w:val="nil"/>
              <w:left w:val="nil"/>
              <w:bottom w:val="single" w:sz="12" w:space="0" w:color="auto"/>
              <w:right w:val="nil"/>
            </w:tcBorders>
          </w:tcPr>
          <w:p w:rsidR="00BB3755" w:rsidRPr="00BB3755" w:rsidRDefault="00BB3755" w:rsidP="00BB3755">
            <w:pPr>
              <w:spacing w:after="0" w:line="240" w:lineRule="auto"/>
              <w:rPr>
                <w:rFonts w:ascii="Cambria" w:eastAsia="MS Mincho" w:hAnsi="Cambria" w:cs="Times New Roman"/>
              </w:rPr>
            </w:pPr>
          </w:p>
        </w:tc>
        <w:tc>
          <w:tcPr>
            <w:tcW w:w="1123" w:type="dxa"/>
            <w:tcBorders>
              <w:top w:val="nil"/>
              <w:left w:val="nil"/>
              <w:bottom w:val="single" w:sz="12"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12</w:t>
            </w:r>
          </w:p>
        </w:tc>
        <w:tc>
          <w:tcPr>
            <w:tcW w:w="1124" w:type="dxa"/>
            <w:tcBorders>
              <w:top w:val="nil"/>
              <w:left w:val="nil"/>
              <w:bottom w:val="single" w:sz="12"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-0.59</w:t>
            </w:r>
          </w:p>
        </w:tc>
        <w:tc>
          <w:tcPr>
            <w:tcW w:w="2218" w:type="dxa"/>
            <w:tcBorders>
              <w:top w:val="nil"/>
              <w:left w:val="nil"/>
              <w:bottom w:val="single" w:sz="12"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UPPER = 13</w:t>
            </w:r>
          </w:p>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TOTAL = 9</w:t>
            </w:r>
          </w:p>
        </w:tc>
        <w:tc>
          <w:tcPr>
            <w:tcW w:w="2522" w:type="dxa"/>
            <w:tcBorders>
              <w:top w:val="nil"/>
              <w:left w:val="nil"/>
              <w:bottom w:val="single" w:sz="12"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w:t>
            </w:r>
          </w:p>
        </w:tc>
      </w:tr>
    </w:tbl>
    <w:p w:rsidR="00575AFD" w:rsidRDefault="00062282"/>
    <w:sectPr w:rsidR="00575AFD" w:rsidSect="00BB375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55"/>
    <w:rsid w:val="00062282"/>
    <w:rsid w:val="00512B2A"/>
    <w:rsid w:val="0059092E"/>
    <w:rsid w:val="005E7EC7"/>
    <w:rsid w:val="008405D2"/>
    <w:rsid w:val="00B03D61"/>
    <w:rsid w:val="00B8436D"/>
    <w:rsid w:val="00BB3755"/>
    <w:rsid w:val="00D00184"/>
    <w:rsid w:val="00D9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FDADA-5449-4507-BC67-FF40C833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755"/>
    <w:pPr>
      <w:spacing w:after="200" w:line="276" w:lineRule="auto"/>
    </w:pPr>
    <w:rPr>
      <w:rFonts w:eastAsiaTheme="minorEastAsia"/>
    </w:rPr>
  </w:style>
  <w:style w:type="paragraph" w:styleId="Heading1">
    <w:name w:val="heading 1"/>
    <w:basedOn w:val="Normal"/>
    <w:next w:val="Normal"/>
    <w:link w:val="Heading1Char"/>
    <w:uiPriority w:val="9"/>
    <w:qFormat/>
    <w:rsid w:val="00D00184"/>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after="0" w:line="240" w:lineRule="auto"/>
      <w:outlineLvl w:val="4"/>
    </w:pPr>
    <w:rPr>
      <w:rFonts w:asciiTheme="majorHAnsi" w:eastAsiaTheme="majorEastAsia" w:hAnsiTheme="majorHAnsi" w:cstheme="majorBidi"/>
      <w:color w:val="2E74B5"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pPr>
      <w:spacing w:after="0" w:line="240" w:lineRule="auto"/>
    </w:pPr>
    <w:rPr>
      <w:rFonts w:ascii="Calibri" w:eastAsiaTheme="majorEastAsia" w:hAnsi="Calibri" w:cs="Times New Roman"/>
      <w:b/>
      <w:color w:val="1F4E79" w:themeColor="accent1" w:themeShade="80"/>
      <w:sz w:val="28"/>
      <w:szCs w:val="20"/>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pPr>
      <w:spacing w:after="0" w:line="240" w:lineRule="auto"/>
    </w:pPr>
    <w:rPr>
      <w:rFonts w:ascii="Calibri" w:eastAsiaTheme="majorEastAsia" w:hAnsi="Calibri" w:cs="Times New Roman"/>
      <w:b/>
      <w:color w:val="0070C0"/>
      <w:sz w:val="26"/>
      <w:szCs w:val="20"/>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pPr>
      <w:spacing w:after="0" w:line="240" w:lineRule="auto"/>
    </w:pPr>
    <w:rPr>
      <w:rFonts w:ascii="Calibri" w:eastAsiaTheme="majorEastAsia" w:hAnsi="Calibri" w:cs="Times New Roman"/>
      <w:b/>
      <w:color w:val="0070C0"/>
      <w:sz w:val="24"/>
      <w:szCs w:val="20"/>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BB3755"/>
    <w:pPr>
      <w:spacing w:after="0" w:line="240" w:lineRule="auto"/>
    </w:pPr>
    <w:rPr>
      <w:rFonts w:eastAsiaTheme="minorEastAsi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36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915C2-A877-49FF-A26F-94CA02353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2813</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4</cp:revision>
  <cp:lastPrinted>2015-12-04T00:15:00Z</cp:lastPrinted>
  <dcterms:created xsi:type="dcterms:W3CDTF">2015-12-03T20:50:00Z</dcterms:created>
  <dcterms:modified xsi:type="dcterms:W3CDTF">2015-12-07T19:04:00Z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http://www.zotero.org/styles/journal-of-hydrology</vt:lpwstr>
  </property>
  <property fmtid="{D5CDD505-2E9C-101B-9397-08002B2CF9AE}" pid="3" name="Mendeley Document_1">
    <vt:lpwstr>True</vt:lpwstr>
  </property>
  <property fmtid="{D5CDD505-2E9C-101B-9397-08002B2CF9AE}" pid="4" name="Mendeley User Name_1">
    <vt:lpwstr>atm1984@gmail.com@www.mendeley.com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