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204"/>
        <w:gridCol w:w="1031"/>
        <w:gridCol w:w="1797"/>
        <w:gridCol w:w="1421"/>
        <w:gridCol w:w="2190"/>
        <w:gridCol w:w="1927"/>
      </w:tblGrid>
      <w:tr w:rsidR="006451AF" w:rsidRPr="006451AF" w:rsidTr="007078DA">
        <w:tc>
          <w:tcPr>
            <w:tcW w:w="11168" w:type="dxa"/>
            <w:gridSpan w:val="7"/>
            <w:tcBorders>
              <w:bottom w:val="single" w:sz="12" w:space="0" w:color="auto"/>
            </w:tcBorders>
          </w:tcPr>
          <w:p w:rsidR="006451AF" w:rsidRPr="006451AF" w:rsidRDefault="006451AF" w:rsidP="006451AF">
            <w:pPr>
              <w:rPr>
                <w:rFonts w:ascii="Times" w:hAnsi="Times" w:cs="Times"/>
              </w:rPr>
            </w:pPr>
            <w:r>
              <w:rPr>
                <w:rFonts w:ascii="Times" w:hAnsi="Times" w:cs="Times"/>
                <w:b/>
              </w:rPr>
              <w:t xml:space="preserve">Table 4. </w:t>
            </w:r>
            <w:r>
              <w:rPr>
                <w:rFonts w:ascii="Times" w:hAnsi="Times" w:cs="Times"/>
              </w:rPr>
              <w:t>Comparison of sedimentation rates between Tubes and SedPod deployments in similar fringing reefs embayments</w:t>
            </w:r>
          </w:p>
        </w:tc>
      </w:tr>
      <w:tr w:rsidR="006451AF" w:rsidRPr="006451AF" w:rsidTr="006451AF">
        <w:tc>
          <w:tcPr>
            <w:tcW w:w="1598"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Reference</w:t>
            </w:r>
          </w:p>
        </w:tc>
        <w:tc>
          <w:tcPr>
            <w:tcW w:w="1204"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Study Site</w:t>
            </w:r>
          </w:p>
          <w:p w:rsidR="006451AF" w:rsidRPr="006451AF" w:rsidRDefault="006451AF" w:rsidP="006451AF">
            <w:pPr>
              <w:rPr>
                <w:rFonts w:ascii="Times" w:hAnsi="Times" w:cs="Times"/>
                <w:b/>
              </w:rPr>
            </w:pPr>
          </w:p>
        </w:tc>
        <w:tc>
          <w:tcPr>
            <w:tcW w:w="1031"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Number of traps</w:t>
            </w:r>
          </w:p>
        </w:tc>
        <w:tc>
          <w:tcPr>
            <w:tcW w:w="1797"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Sample Interval</w:t>
            </w:r>
          </w:p>
          <w:p w:rsidR="006451AF" w:rsidRPr="006451AF" w:rsidRDefault="006451AF" w:rsidP="006451AF">
            <w:pPr>
              <w:rPr>
                <w:rFonts w:ascii="Times" w:hAnsi="Times" w:cs="Times"/>
                <w:b/>
              </w:rPr>
            </w:pPr>
          </w:p>
          <w:p w:rsidR="006451AF" w:rsidRPr="006451AF" w:rsidRDefault="006451AF" w:rsidP="006451AF">
            <w:pPr>
              <w:rPr>
                <w:rFonts w:ascii="Times" w:hAnsi="Times" w:cs="Times"/>
                <w:b/>
              </w:rPr>
            </w:pPr>
          </w:p>
        </w:tc>
        <w:tc>
          <w:tcPr>
            <w:tcW w:w="1421"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Deployment Time (d)</w:t>
            </w:r>
          </w:p>
        </w:tc>
        <w:tc>
          <w:tcPr>
            <w:tcW w:w="2190"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 xml:space="preserve">Tube Trap </w:t>
            </w:r>
            <w:r w:rsidRPr="006451AF">
              <w:rPr>
                <w:rFonts w:ascii="Times" w:hAnsi="Times" w:cs="Times"/>
                <w:b/>
              </w:rPr>
              <w:t>(g m</w:t>
            </w:r>
            <w:r w:rsidRPr="006451AF">
              <w:rPr>
                <w:rFonts w:ascii="Times" w:hAnsi="Times" w:cs="Times"/>
                <w:b/>
                <w:vertAlign w:val="superscript"/>
              </w:rPr>
              <w:t>-2</w:t>
            </w:r>
            <w:r w:rsidRPr="006451AF">
              <w:rPr>
                <w:rFonts w:ascii="Times" w:hAnsi="Times" w:cs="Times"/>
                <w:b/>
              </w:rPr>
              <w:t>d</w:t>
            </w:r>
            <w:r w:rsidRPr="006451AF">
              <w:rPr>
                <w:rFonts w:ascii="Times" w:hAnsi="Times" w:cs="Times"/>
                <w:b/>
                <w:vertAlign w:val="superscript"/>
              </w:rPr>
              <w:t>-1</w:t>
            </w:r>
            <w:r w:rsidRPr="006451AF">
              <w:rPr>
                <w:rFonts w:ascii="Times" w:hAnsi="Times" w:cs="Times"/>
                <w:b/>
              </w:rPr>
              <w:t>)</w:t>
            </w:r>
          </w:p>
        </w:tc>
        <w:tc>
          <w:tcPr>
            <w:tcW w:w="1927" w:type="dxa"/>
            <w:tcBorders>
              <w:top w:val="single" w:sz="12" w:space="0" w:color="auto"/>
              <w:bottom w:val="double" w:sz="4" w:space="0" w:color="auto"/>
            </w:tcBorders>
          </w:tcPr>
          <w:p w:rsidR="006451AF" w:rsidRPr="006451AF" w:rsidRDefault="006451AF" w:rsidP="006451AF">
            <w:pPr>
              <w:rPr>
                <w:rFonts w:ascii="Times" w:hAnsi="Times" w:cs="Times"/>
                <w:b/>
              </w:rPr>
            </w:pPr>
            <w:r w:rsidRPr="006451AF">
              <w:rPr>
                <w:rFonts w:ascii="Times" w:hAnsi="Times" w:cs="Times"/>
                <w:b/>
              </w:rPr>
              <w:t>SedPod (g m</w:t>
            </w:r>
            <w:r w:rsidRPr="006451AF">
              <w:rPr>
                <w:rFonts w:ascii="Times" w:hAnsi="Times" w:cs="Times"/>
                <w:b/>
                <w:vertAlign w:val="superscript"/>
              </w:rPr>
              <w:t>-2</w:t>
            </w:r>
            <w:r w:rsidRPr="006451AF">
              <w:rPr>
                <w:rFonts w:ascii="Times" w:hAnsi="Times" w:cs="Times"/>
                <w:b/>
              </w:rPr>
              <w:t>d</w:t>
            </w:r>
            <w:r w:rsidRPr="006451AF">
              <w:rPr>
                <w:rFonts w:ascii="Times" w:hAnsi="Times" w:cs="Times"/>
                <w:b/>
                <w:vertAlign w:val="superscript"/>
              </w:rPr>
              <w:t>-1</w:t>
            </w:r>
            <w:r w:rsidRPr="006451AF">
              <w:rPr>
                <w:rFonts w:ascii="Times" w:hAnsi="Times" w:cs="Times"/>
                <w:b/>
              </w:rPr>
              <w:t>)</w:t>
            </w:r>
          </w:p>
        </w:tc>
      </w:tr>
      <w:tr w:rsidR="006451AF" w:rsidRPr="006451AF" w:rsidTr="006451AF">
        <w:tc>
          <w:tcPr>
            <w:tcW w:w="1598" w:type="dxa"/>
            <w:tcBorders>
              <w:top w:val="double" w:sz="4" w:space="0" w:color="auto"/>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t>This study</w:t>
            </w:r>
          </w:p>
        </w:tc>
        <w:tc>
          <w:tcPr>
            <w:tcW w:w="1204"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Faga’alu, American Samoa</w:t>
            </w:r>
          </w:p>
        </w:tc>
        <w:tc>
          <w:tcPr>
            <w:tcW w:w="1031"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w:t>
            </w:r>
          </w:p>
        </w:tc>
        <w:tc>
          <w:tcPr>
            <w:tcW w:w="1797"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24-53 d (mean=36)</w:t>
            </w:r>
          </w:p>
        </w:tc>
        <w:tc>
          <w:tcPr>
            <w:tcW w:w="1421"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 year</w:t>
            </w:r>
          </w:p>
        </w:tc>
        <w:tc>
          <w:tcPr>
            <w:tcW w:w="2190"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1-623</w:t>
            </w:r>
          </w:p>
          <w:p w:rsidR="006451AF" w:rsidRPr="006451AF" w:rsidRDefault="006451AF" w:rsidP="006451AF">
            <w:pPr>
              <w:jc w:val="center"/>
              <w:rPr>
                <w:rFonts w:ascii="Times" w:hAnsi="Times" w:cs="Times"/>
              </w:rPr>
            </w:pPr>
            <w:r>
              <w:rPr>
                <w:rFonts w:ascii="Times" w:hAnsi="Times" w:cs="Times"/>
              </w:rPr>
              <w:t>(M</w:t>
            </w:r>
            <w:r w:rsidRPr="006451AF">
              <w:rPr>
                <w:rFonts w:ascii="Times" w:hAnsi="Times" w:cs="Times"/>
              </w:rPr>
              <w:t>ean</w:t>
            </w:r>
            <w:r>
              <w:rPr>
                <w:rFonts w:ascii="Times" w:hAnsi="Times" w:cs="Times"/>
              </w:rPr>
              <w:t xml:space="preserve"> totals varied from</w:t>
            </w:r>
            <w:r w:rsidRPr="006451AF">
              <w:rPr>
                <w:rFonts w:ascii="Times" w:hAnsi="Times" w:cs="Times"/>
              </w:rPr>
              <w:t xml:space="preserve"> 13-269)</w:t>
            </w:r>
          </w:p>
        </w:tc>
        <w:tc>
          <w:tcPr>
            <w:tcW w:w="1927" w:type="dxa"/>
            <w:tcBorders>
              <w:top w:val="double" w:sz="4" w:space="0" w:color="auto"/>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0-40</w:t>
            </w:r>
          </w:p>
          <w:p w:rsidR="006451AF" w:rsidRPr="006451AF" w:rsidRDefault="006451AF" w:rsidP="006451AF">
            <w:pPr>
              <w:jc w:val="center"/>
              <w:rPr>
                <w:rFonts w:ascii="Times" w:hAnsi="Times" w:cs="Times"/>
              </w:rPr>
            </w:pPr>
            <w:r>
              <w:rPr>
                <w:rFonts w:ascii="Times" w:hAnsi="Times" w:cs="Times"/>
              </w:rPr>
              <w:t>(M</w:t>
            </w:r>
            <w:r w:rsidRPr="006451AF">
              <w:rPr>
                <w:rFonts w:ascii="Times" w:hAnsi="Times" w:cs="Times"/>
              </w:rPr>
              <w:t>ean total</w:t>
            </w:r>
            <w:r>
              <w:rPr>
                <w:rFonts w:ascii="Times" w:hAnsi="Times" w:cs="Times"/>
              </w:rPr>
              <w:t>s varied from</w:t>
            </w:r>
            <w:r w:rsidRPr="006451AF">
              <w:rPr>
                <w:rFonts w:ascii="Times" w:hAnsi="Times" w:cs="Times"/>
              </w:rPr>
              <w:t xml:space="preserve"> 0.0-12.4)</w:t>
            </w:r>
          </w:p>
        </w:tc>
      </w:tr>
      <w:tr w:rsidR="006451AF" w:rsidRPr="006451AF" w:rsidTr="006451AF">
        <w:trPr>
          <w:trHeight w:val="575"/>
        </w:trPr>
        <w:tc>
          <w:tcPr>
            <w:tcW w:w="1598"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"ITEM-1",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"formattedCitation" : "(Bothner et al., 2006)", "manualFormatting" : "Bothner et al., (2006)", "plainTextFormattedCitation" : "(Bothner et al., 2006)", "previouslyFormattedCitation" : "(Bothner et al., 2006)"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 xml:space="preserve">Bothner et al., </w:t>
            </w:r>
            <w:r w:rsidRPr="006451AF">
              <w:rPr>
                <w:rFonts w:ascii="Times" w:hAnsi="Times" w:cs="Times"/>
                <w:noProof/>
              </w:rPr>
              <w:t>(</w:t>
            </w:r>
            <w:r w:rsidRPr="006451AF">
              <w:rPr>
                <w:rFonts w:ascii="Times" w:hAnsi="Times" w:cs="Times"/>
                <w:noProof/>
              </w:rPr>
              <w:t>2006)</w:t>
            </w:r>
            <w:r w:rsidRPr="006451AF">
              <w:rPr>
                <w:rFonts w:ascii="Times" w:hAnsi="Times" w:cs="Times"/>
              </w:rPr>
              <w:fldChar w:fldCharType="end"/>
            </w:r>
          </w:p>
        </w:tc>
        <w:tc>
          <w:tcPr>
            <w:tcW w:w="1204"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South Molokai, Hawaii</w:t>
            </w:r>
          </w:p>
        </w:tc>
        <w:tc>
          <w:tcPr>
            <w:tcW w:w="1031"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8</w:t>
            </w:r>
          </w:p>
        </w:tc>
        <w:tc>
          <w:tcPr>
            <w:tcW w:w="1797"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w:t>
            </w:r>
            <w:proofErr w:type="spellStart"/>
            <w:r w:rsidRPr="006451AF">
              <w:rPr>
                <w:rFonts w:ascii="Times" w:hAnsi="Times" w:cs="Times"/>
              </w:rPr>
              <w:t>STT</w:t>
            </w:r>
            <w:r w:rsidRPr="006451AF">
              <w:rPr>
                <w:rFonts w:ascii="Times" w:hAnsi="Times" w:cs="Times"/>
                <w:vertAlign w:val="superscript"/>
              </w:rPr>
              <w:t>a</w:t>
            </w:r>
            <w:proofErr w:type="spellEnd"/>
            <w:r w:rsidRPr="006451AF">
              <w:rPr>
                <w:rFonts w:ascii="Times" w:hAnsi="Times" w:cs="Times"/>
              </w:rPr>
              <w:t>)</w:t>
            </w:r>
          </w:p>
        </w:tc>
        <w:tc>
          <w:tcPr>
            <w:tcW w:w="1421"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 year</w:t>
            </w:r>
          </w:p>
        </w:tc>
        <w:tc>
          <w:tcPr>
            <w:tcW w:w="2190"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5-4,000 (non-storm)</w:t>
            </w:r>
          </w:p>
          <w:p w:rsidR="006451AF" w:rsidRPr="006451AF" w:rsidRDefault="006451AF" w:rsidP="006451AF">
            <w:pPr>
              <w:jc w:val="center"/>
              <w:rPr>
                <w:rFonts w:ascii="Times" w:hAnsi="Times" w:cs="Times"/>
              </w:rPr>
            </w:pPr>
            <w:r w:rsidRPr="006451AF">
              <w:rPr>
                <w:rFonts w:ascii="Times" w:hAnsi="Times" w:cs="Times"/>
              </w:rPr>
              <w:t>&gt;7,400 (storm)</w:t>
            </w:r>
          </w:p>
        </w:tc>
        <w:tc>
          <w:tcPr>
            <w:tcW w:w="1927"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w:t>
            </w:r>
          </w:p>
        </w:tc>
      </w:tr>
      <w:tr w:rsidR="006451AF" w:rsidRPr="006451AF" w:rsidTr="006451AF">
        <w:trPr>
          <w:trHeight w:val="287"/>
        </w:trPr>
        <w:tc>
          <w:tcPr>
            <w:tcW w:w="1598" w:type="dxa"/>
            <w:vMerge/>
            <w:tcBorders>
              <w:bottom w:val="single" w:sz="4" w:space="0" w:color="A5A5A5" w:themeColor="accent3"/>
            </w:tcBorders>
            <w:vAlign w:val="center"/>
          </w:tcPr>
          <w:p w:rsidR="006451AF" w:rsidRPr="006451AF" w:rsidRDefault="006451AF" w:rsidP="006451AF">
            <w:pPr>
              <w:rPr>
                <w:rFonts w:ascii="Times" w:hAnsi="Times" w:cs="Times"/>
              </w:rPr>
            </w:pPr>
          </w:p>
        </w:tc>
        <w:tc>
          <w:tcPr>
            <w:tcW w:w="1204"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c>
          <w:tcPr>
            <w:tcW w:w="1031" w:type="dxa"/>
            <w:tcBorders>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w:t>
            </w:r>
          </w:p>
        </w:tc>
        <w:tc>
          <w:tcPr>
            <w:tcW w:w="1797" w:type="dxa"/>
            <w:tcBorders>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4.5</w:t>
            </w:r>
            <w:r w:rsidRPr="006451AF">
              <w:rPr>
                <w:rFonts w:ascii="Times" w:hAnsi="Times" w:cs="Times"/>
              </w:rPr>
              <w:t xml:space="preserve"> d</w:t>
            </w:r>
            <w:r w:rsidRPr="006451AF">
              <w:rPr>
                <w:rFonts w:ascii="Times" w:hAnsi="Times" w:cs="Times"/>
              </w:rPr>
              <w:t xml:space="preserve"> (</w:t>
            </w:r>
            <w:proofErr w:type="spellStart"/>
            <w:r w:rsidRPr="006451AF">
              <w:rPr>
                <w:rFonts w:ascii="Times" w:hAnsi="Times" w:cs="Times"/>
              </w:rPr>
              <w:t>RST</w:t>
            </w:r>
            <w:r w:rsidRPr="006451AF">
              <w:rPr>
                <w:rFonts w:ascii="Times" w:hAnsi="Times" w:cs="Times"/>
                <w:vertAlign w:val="superscript"/>
              </w:rPr>
              <w:t>b</w:t>
            </w:r>
            <w:proofErr w:type="spellEnd"/>
            <w:r w:rsidRPr="006451AF">
              <w:rPr>
                <w:rFonts w:ascii="Times" w:hAnsi="Times" w:cs="Times"/>
              </w:rPr>
              <w:t>)</w:t>
            </w:r>
          </w:p>
        </w:tc>
        <w:tc>
          <w:tcPr>
            <w:tcW w:w="1421" w:type="dxa"/>
            <w:tcBorders>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 year</w:t>
            </w:r>
          </w:p>
        </w:tc>
        <w:tc>
          <w:tcPr>
            <w:tcW w:w="2190" w:type="dxa"/>
            <w:tcBorders>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1.5-1,800</w:t>
            </w:r>
          </w:p>
        </w:tc>
        <w:tc>
          <w:tcPr>
            <w:tcW w:w="1927"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r>
      <w:tr w:rsidR="006451AF" w:rsidRPr="006451AF" w:rsidTr="006451AF">
        <w:trPr>
          <w:trHeight w:val="683"/>
        </w:trPr>
        <w:tc>
          <w:tcPr>
            <w:tcW w:w="1598"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"manualFormatting" : "Storlazzi et al., (2009)", "plainTextFormattedCitation" : "(Storlazzi et al., 2009)", "previouslyFormattedCitation" : "(Storlazzi et al., 2009)"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 xml:space="preserve">Storlazzi et al., </w:t>
            </w:r>
            <w:r w:rsidRPr="006451AF">
              <w:rPr>
                <w:rFonts w:ascii="Times" w:hAnsi="Times" w:cs="Times"/>
                <w:noProof/>
              </w:rPr>
              <w:t>(</w:t>
            </w:r>
            <w:r w:rsidRPr="006451AF">
              <w:rPr>
                <w:rFonts w:ascii="Times" w:hAnsi="Times" w:cs="Times"/>
                <w:noProof/>
              </w:rPr>
              <w:t>2009)</w:t>
            </w:r>
            <w:r w:rsidRPr="006451AF">
              <w:rPr>
                <w:rFonts w:ascii="Times" w:hAnsi="Times" w:cs="Times"/>
              </w:rPr>
              <w:fldChar w:fldCharType="end"/>
            </w:r>
          </w:p>
        </w:tc>
        <w:tc>
          <w:tcPr>
            <w:tcW w:w="1204"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Hanalei Bay, Kauai, Hawaii</w:t>
            </w:r>
          </w:p>
        </w:tc>
        <w:tc>
          <w:tcPr>
            <w:tcW w:w="1031"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w:t>
            </w:r>
          </w:p>
        </w:tc>
        <w:tc>
          <w:tcPr>
            <w:tcW w:w="1797"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(STT)</w:t>
            </w:r>
          </w:p>
        </w:tc>
        <w:tc>
          <w:tcPr>
            <w:tcW w:w="1421"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d</w:t>
            </w:r>
          </w:p>
        </w:tc>
        <w:tc>
          <w:tcPr>
            <w:tcW w:w="2190"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177-636</w:t>
            </w:r>
          </w:p>
          <w:p w:rsidR="006451AF" w:rsidRPr="006451AF" w:rsidRDefault="006451AF" w:rsidP="006451AF">
            <w:pPr>
              <w:jc w:val="center"/>
              <w:rPr>
                <w:rFonts w:ascii="Times" w:hAnsi="Times" w:cs="Times"/>
              </w:rPr>
            </w:pPr>
            <w:r w:rsidRPr="006451AF">
              <w:rPr>
                <w:rFonts w:ascii="Times" w:hAnsi="Times" w:cs="Times"/>
              </w:rPr>
              <w:t>Mean:365±213</w:t>
            </w:r>
          </w:p>
        </w:tc>
        <w:tc>
          <w:tcPr>
            <w:tcW w:w="1927"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w:t>
            </w:r>
          </w:p>
        </w:tc>
      </w:tr>
      <w:tr w:rsidR="006451AF" w:rsidRPr="006451AF" w:rsidTr="006451AF">
        <w:trPr>
          <w:trHeight w:val="440"/>
        </w:trPr>
        <w:tc>
          <w:tcPr>
            <w:tcW w:w="1598" w:type="dxa"/>
            <w:vMerge/>
            <w:tcBorders>
              <w:bottom w:val="single" w:sz="4" w:space="0" w:color="A5A5A5" w:themeColor="accent3"/>
            </w:tcBorders>
            <w:vAlign w:val="center"/>
          </w:tcPr>
          <w:p w:rsidR="006451AF" w:rsidRPr="006451AF" w:rsidRDefault="006451AF" w:rsidP="006451AF">
            <w:pPr>
              <w:rPr>
                <w:rFonts w:ascii="Times" w:hAnsi="Times" w:cs="Times"/>
              </w:rPr>
            </w:pPr>
          </w:p>
        </w:tc>
        <w:tc>
          <w:tcPr>
            <w:tcW w:w="1204"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c>
          <w:tcPr>
            <w:tcW w:w="1031" w:type="dxa"/>
            <w:tcBorders>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2</w:t>
            </w:r>
          </w:p>
        </w:tc>
        <w:tc>
          <w:tcPr>
            <w:tcW w:w="1797" w:type="dxa"/>
            <w:tcBorders>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4.5</w:t>
            </w:r>
            <w:r w:rsidRPr="006451AF">
              <w:rPr>
                <w:rFonts w:ascii="Times" w:hAnsi="Times" w:cs="Times"/>
              </w:rPr>
              <w:t xml:space="preserve"> d</w:t>
            </w:r>
            <w:r w:rsidRPr="006451AF">
              <w:rPr>
                <w:rFonts w:ascii="Times" w:hAnsi="Times" w:cs="Times"/>
              </w:rPr>
              <w:t xml:space="preserve"> (RST)</w:t>
            </w:r>
          </w:p>
        </w:tc>
        <w:tc>
          <w:tcPr>
            <w:tcW w:w="1421" w:type="dxa"/>
            <w:tcBorders>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90 d</w:t>
            </w:r>
          </w:p>
        </w:tc>
        <w:tc>
          <w:tcPr>
            <w:tcW w:w="2190" w:type="dxa"/>
            <w:tcBorders>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5- 510</w:t>
            </w:r>
          </w:p>
          <w:p w:rsidR="006451AF" w:rsidRPr="006451AF" w:rsidRDefault="006451AF" w:rsidP="006451AF">
            <w:pPr>
              <w:jc w:val="center"/>
              <w:rPr>
                <w:rFonts w:ascii="Times" w:hAnsi="Times" w:cs="Times"/>
              </w:rPr>
            </w:pPr>
            <w:r w:rsidRPr="006451AF">
              <w:rPr>
                <w:rFonts w:ascii="Times" w:hAnsi="Times" w:cs="Times"/>
              </w:rPr>
              <w:t>Mean:87±123; 47±43</w:t>
            </w:r>
          </w:p>
        </w:tc>
        <w:tc>
          <w:tcPr>
            <w:tcW w:w="1927"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r>
      <w:tr w:rsidR="006451AF" w:rsidRPr="006451AF" w:rsidTr="006451AF">
        <w:trPr>
          <w:trHeight w:val="422"/>
        </w:trPr>
        <w:tc>
          <w:tcPr>
            <w:tcW w:w="1598"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"ISBN"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 ] }, "page" : "1-5", "title" : "SedPods: a low-cost coral proxy for measuring net sedimentation", "type" : "article-journal" }, "uris" : [ "http://www.mendeley.com/documents/?uuid=7e0738a6-4a21-4f04-8752-676153384766" ] } ], "mendeley" : { "formattedCitation" : "(Field et al., 2012)", "manualFormatting" : "Field et al., (2012)", "plainTextFormattedCitation" : "(Field et al., 2012)", "previouslyFormattedCitation" : "(Field et al., 2012)"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 xml:space="preserve">Field et al., </w:t>
            </w:r>
            <w:r w:rsidRPr="006451AF">
              <w:rPr>
                <w:rFonts w:ascii="Times" w:hAnsi="Times" w:cs="Times"/>
                <w:noProof/>
              </w:rPr>
              <w:t>(</w:t>
            </w:r>
            <w:r w:rsidRPr="006451AF">
              <w:rPr>
                <w:rFonts w:ascii="Times" w:hAnsi="Times" w:cs="Times"/>
                <w:noProof/>
              </w:rPr>
              <w:t>2012)</w:t>
            </w:r>
            <w:r w:rsidRPr="006451AF">
              <w:rPr>
                <w:rFonts w:ascii="Times" w:hAnsi="Times" w:cs="Times"/>
              </w:rPr>
              <w:fldChar w:fldCharType="end"/>
            </w:r>
          </w:p>
        </w:tc>
        <w:tc>
          <w:tcPr>
            <w:tcW w:w="1204"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Hanalei Bay, Kauai, Hawaii</w:t>
            </w:r>
          </w:p>
        </w:tc>
        <w:tc>
          <w:tcPr>
            <w:tcW w:w="1031" w:type="dxa"/>
            <w:tcBorders>
              <w:top w:val="single" w:sz="4" w:space="0" w:color="A5A5A5" w:themeColor="accent3"/>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1</w:t>
            </w:r>
          </w:p>
        </w:tc>
        <w:tc>
          <w:tcPr>
            <w:tcW w:w="1797"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36</w:t>
            </w:r>
            <w:r w:rsidRPr="006451AF">
              <w:rPr>
                <w:rFonts w:ascii="Times" w:hAnsi="Times" w:cs="Times"/>
              </w:rPr>
              <w:t xml:space="preserve">; </w:t>
            </w:r>
            <w:r w:rsidRPr="006451AF">
              <w:rPr>
                <w:rFonts w:ascii="Times" w:hAnsi="Times" w:cs="Times"/>
              </w:rPr>
              <w:t>60 d</w:t>
            </w:r>
            <w:r w:rsidRPr="006451AF">
              <w:rPr>
                <w:rFonts w:ascii="Times" w:hAnsi="Times" w:cs="Times"/>
              </w:rPr>
              <w:t xml:space="preserve"> (STT)</w:t>
            </w:r>
          </w:p>
        </w:tc>
        <w:tc>
          <w:tcPr>
            <w:tcW w:w="1421"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96 d</w:t>
            </w:r>
          </w:p>
        </w:tc>
        <w:tc>
          <w:tcPr>
            <w:tcW w:w="2190" w:type="dxa"/>
            <w:tcBorders>
              <w:top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67-172</w:t>
            </w:r>
          </w:p>
        </w:tc>
        <w:tc>
          <w:tcPr>
            <w:tcW w:w="1927" w:type="dxa"/>
            <w:vMerge w:val="restart"/>
            <w:tcBorders>
              <w:top w:val="single" w:sz="4" w:space="0" w:color="A5A5A5" w:themeColor="accent3"/>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3.5-6</w:t>
            </w:r>
          </w:p>
        </w:tc>
      </w:tr>
      <w:tr w:rsidR="006451AF" w:rsidRPr="006451AF" w:rsidTr="006451AF">
        <w:trPr>
          <w:trHeight w:val="405"/>
        </w:trPr>
        <w:tc>
          <w:tcPr>
            <w:tcW w:w="1598" w:type="dxa"/>
            <w:vMerge/>
            <w:tcBorders>
              <w:bottom w:val="single" w:sz="4" w:space="0" w:color="A5A5A5" w:themeColor="accent3"/>
            </w:tcBorders>
            <w:vAlign w:val="center"/>
          </w:tcPr>
          <w:p w:rsidR="006451AF" w:rsidRPr="006451AF" w:rsidRDefault="006451AF" w:rsidP="006451AF">
            <w:pPr>
              <w:rPr>
                <w:rFonts w:ascii="Times" w:hAnsi="Times" w:cs="Times"/>
              </w:rPr>
            </w:pPr>
          </w:p>
        </w:tc>
        <w:tc>
          <w:tcPr>
            <w:tcW w:w="1204"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c>
          <w:tcPr>
            <w:tcW w:w="1031" w:type="dxa"/>
            <w:tcBorders>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1</w:t>
            </w:r>
          </w:p>
        </w:tc>
        <w:tc>
          <w:tcPr>
            <w:tcW w:w="1797" w:type="dxa"/>
            <w:tcBorders>
              <w:bottom w:val="single" w:sz="4" w:space="0" w:color="A5A5A5" w:themeColor="accent3"/>
            </w:tcBorders>
            <w:vAlign w:val="center"/>
          </w:tcPr>
          <w:p w:rsidR="006451AF" w:rsidRPr="006451AF" w:rsidRDefault="006451AF" w:rsidP="006451AF">
            <w:pPr>
              <w:jc w:val="center"/>
              <w:rPr>
                <w:rFonts w:ascii="Times" w:hAnsi="Times" w:cs="Times"/>
              </w:rPr>
            </w:pPr>
            <w:r w:rsidRPr="006451AF">
              <w:rPr>
                <w:rFonts w:ascii="Times" w:hAnsi="Times" w:cs="Times"/>
              </w:rPr>
              <w:t>4.5 d (RST)</w:t>
            </w:r>
          </w:p>
        </w:tc>
        <w:tc>
          <w:tcPr>
            <w:tcW w:w="1421" w:type="dxa"/>
            <w:tcBorders>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96 d</w:t>
            </w:r>
          </w:p>
        </w:tc>
        <w:tc>
          <w:tcPr>
            <w:tcW w:w="2190" w:type="dxa"/>
            <w:tcBorders>
              <w:bottom w:val="single" w:sz="4" w:space="0" w:color="A5A5A5" w:themeColor="accent3"/>
            </w:tcBorders>
            <w:vAlign w:val="center"/>
          </w:tcPr>
          <w:p w:rsidR="006451AF" w:rsidRPr="006451AF" w:rsidRDefault="00810173" w:rsidP="006451AF">
            <w:pPr>
              <w:jc w:val="center"/>
              <w:rPr>
                <w:rFonts w:ascii="Times" w:hAnsi="Times" w:cs="Times"/>
              </w:rPr>
            </w:pPr>
            <w:r>
              <w:rPr>
                <w:rFonts w:ascii="Times" w:hAnsi="Times" w:cs="Times"/>
              </w:rPr>
              <w:t>Not reported</w:t>
            </w:r>
          </w:p>
        </w:tc>
        <w:tc>
          <w:tcPr>
            <w:tcW w:w="1927" w:type="dxa"/>
            <w:vMerge/>
            <w:tcBorders>
              <w:bottom w:val="single" w:sz="4" w:space="0" w:color="A5A5A5" w:themeColor="accent3"/>
            </w:tcBorders>
            <w:vAlign w:val="center"/>
          </w:tcPr>
          <w:p w:rsidR="006451AF" w:rsidRPr="006451AF" w:rsidRDefault="006451AF" w:rsidP="006451AF">
            <w:pPr>
              <w:jc w:val="center"/>
              <w:rPr>
                <w:rFonts w:ascii="Times" w:hAnsi="Times" w:cs="Times"/>
              </w:rPr>
            </w:pPr>
          </w:p>
        </w:tc>
      </w:tr>
      <w:tr w:rsidR="006451AF" w:rsidRPr="006451AF" w:rsidTr="006451AF">
        <w:tc>
          <w:tcPr>
            <w:tcW w:w="1598" w:type="dxa"/>
            <w:tcBorders>
              <w:top w:val="single" w:sz="4" w:space="0" w:color="A5A5A5" w:themeColor="accent3"/>
              <w:bottom w:val="single" w:sz="4" w:space="0" w:color="auto"/>
            </w:tcBorders>
            <w:vAlign w:val="center"/>
          </w:tcPr>
          <w:p w:rsidR="006451AF" w:rsidRPr="006451AF" w:rsidRDefault="006451AF" w:rsidP="006451AF">
            <w:pPr>
              <w:rPr>
                <w:rFonts w:ascii="Times" w:hAnsi="Times" w:cs="Times"/>
              </w:rPr>
            </w:pPr>
            <w:r w:rsidRPr="006451AF">
              <w:rPr>
                <w:rFonts w:ascii="Times" w:hAnsi="Times" w:cs="Times"/>
              </w:rPr>
              <w:fldChar w:fldCharType="begin" w:fldLock="1"/>
            </w:r>
            <w:r>
              <w:rPr>
                <w:rFonts w:ascii="Times" w:hAnsi="Times" w:cs="Times"/>
              </w:rPr>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US Virgin Islands", "type" : "paper-conference" }, "uris" : [ "http://www.mendeley.com/documents/?uuid=4a550275-a14b-4037-97ec-b971a87eb58c" ] } ], "mendeley" : { "formattedCitation" : "(Gray et al., 2012)", "manualFormatting" : "Gray et al., (2012)", "plainTextFormattedCitation" : "(Gray et al., 2012)", "previouslyFormattedCitation" : "(Gray et al., 2012)" }, "properties" : { "noteIndex" : 0 }, "schema" : "https://github.com/citation-style-language/schema/raw/master/csl-citation.json" }</w:instrText>
            </w:r>
            <w:r w:rsidRPr="006451AF">
              <w:rPr>
                <w:rFonts w:ascii="Times" w:hAnsi="Times" w:cs="Times"/>
              </w:rPr>
              <w:fldChar w:fldCharType="separate"/>
            </w:r>
            <w:r w:rsidRPr="006451AF">
              <w:rPr>
                <w:rFonts w:ascii="Times" w:hAnsi="Times" w:cs="Times"/>
                <w:noProof/>
              </w:rPr>
              <w:t xml:space="preserve">Gray et al., </w:t>
            </w:r>
            <w:r w:rsidRPr="006451AF">
              <w:rPr>
                <w:rFonts w:ascii="Times" w:hAnsi="Times" w:cs="Times"/>
                <w:noProof/>
              </w:rPr>
              <w:t>(</w:t>
            </w:r>
            <w:r w:rsidRPr="006451AF">
              <w:rPr>
                <w:rFonts w:ascii="Times" w:hAnsi="Times" w:cs="Times"/>
                <w:noProof/>
              </w:rPr>
              <w:t>2012)</w:t>
            </w:r>
            <w:r w:rsidRPr="006451AF">
              <w:rPr>
                <w:rFonts w:ascii="Times" w:hAnsi="Times" w:cs="Times"/>
              </w:rPr>
              <w:fldChar w:fldCharType="end"/>
            </w:r>
          </w:p>
        </w:tc>
        <w:tc>
          <w:tcPr>
            <w:tcW w:w="1204"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St. John, USVI</w:t>
            </w:r>
          </w:p>
        </w:tc>
        <w:tc>
          <w:tcPr>
            <w:tcW w:w="1031"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11</w:t>
            </w:r>
          </w:p>
        </w:tc>
        <w:tc>
          <w:tcPr>
            <w:tcW w:w="1797"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26</w:t>
            </w:r>
            <w:r w:rsidRPr="006451AF">
              <w:rPr>
                <w:rFonts w:ascii="Times" w:hAnsi="Times" w:cs="Times"/>
              </w:rPr>
              <w:t xml:space="preserve"> d</w:t>
            </w:r>
            <w:bookmarkStart w:id="0" w:name="_GoBack"/>
            <w:bookmarkEnd w:id="0"/>
          </w:p>
        </w:tc>
        <w:tc>
          <w:tcPr>
            <w:tcW w:w="1421"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3-5 year</w:t>
            </w:r>
          </w:p>
        </w:tc>
        <w:tc>
          <w:tcPr>
            <w:tcW w:w="2190"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sidRPr="006451AF">
              <w:rPr>
                <w:rFonts w:ascii="Times" w:hAnsi="Times" w:cs="Times"/>
              </w:rPr>
              <w:t>1 to &gt;5</w:t>
            </w:r>
            <w:r>
              <w:rPr>
                <w:rFonts w:ascii="Times" w:hAnsi="Times" w:cs="Times"/>
              </w:rPr>
              <w:t>,</w:t>
            </w:r>
            <w:r w:rsidRPr="006451AF">
              <w:rPr>
                <w:rFonts w:ascii="Times" w:hAnsi="Times" w:cs="Times"/>
              </w:rPr>
              <w:t>000 (Means ranged from 0-400) **terrigenous fraction only</w:t>
            </w:r>
          </w:p>
        </w:tc>
        <w:tc>
          <w:tcPr>
            <w:tcW w:w="1927" w:type="dxa"/>
            <w:tcBorders>
              <w:top w:val="single" w:sz="4" w:space="0" w:color="A5A5A5" w:themeColor="accent3"/>
              <w:bottom w:val="single" w:sz="4" w:space="0" w:color="auto"/>
            </w:tcBorders>
            <w:vAlign w:val="center"/>
          </w:tcPr>
          <w:p w:rsidR="006451AF" w:rsidRPr="006451AF" w:rsidRDefault="006451AF" w:rsidP="006451AF">
            <w:pPr>
              <w:jc w:val="center"/>
              <w:rPr>
                <w:rFonts w:ascii="Times" w:hAnsi="Times" w:cs="Times"/>
              </w:rPr>
            </w:pPr>
            <w:r>
              <w:rPr>
                <w:rFonts w:ascii="Times" w:hAnsi="Times" w:cs="Times"/>
              </w:rPr>
              <w:t>-</w:t>
            </w:r>
          </w:p>
        </w:tc>
      </w:tr>
      <w:tr w:rsidR="006451AF" w:rsidRPr="006451AF" w:rsidTr="006451AF">
        <w:tc>
          <w:tcPr>
            <w:tcW w:w="11168" w:type="dxa"/>
            <w:gridSpan w:val="7"/>
            <w:tcBorders>
              <w:top w:val="single" w:sz="4" w:space="0" w:color="auto"/>
              <w:bottom w:val="double" w:sz="4" w:space="0" w:color="auto"/>
            </w:tcBorders>
          </w:tcPr>
          <w:p w:rsidR="006451AF" w:rsidRPr="006451AF" w:rsidRDefault="006451AF" w:rsidP="006451AF">
            <w:pPr>
              <w:rPr>
                <w:rFonts w:ascii="Times" w:hAnsi="Times" w:cs="Times"/>
              </w:rPr>
            </w:pPr>
            <w:r>
              <w:rPr>
                <w:rFonts w:ascii="Times" w:hAnsi="Times" w:cs="Times"/>
              </w:rPr>
              <w:t xml:space="preserve">a. </w:t>
            </w:r>
            <w:r w:rsidRPr="006451AF">
              <w:rPr>
                <w:rFonts w:ascii="Times" w:hAnsi="Times" w:cs="Times"/>
              </w:rPr>
              <w:t>STT = Simple Tube Trap</w:t>
            </w:r>
          </w:p>
          <w:p w:rsidR="006451AF" w:rsidRPr="006451AF" w:rsidRDefault="006451AF" w:rsidP="006451AF">
            <w:pPr>
              <w:rPr>
                <w:rFonts w:ascii="Times" w:hAnsi="Times" w:cs="Times"/>
              </w:rPr>
            </w:pPr>
            <w:r>
              <w:rPr>
                <w:rFonts w:ascii="Times" w:hAnsi="Times" w:cs="Times"/>
              </w:rPr>
              <w:t xml:space="preserve">b. </w:t>
            </w:r>
            <w:r w:rsidRPr="006451AF">
              <w:rPr>
                <w:rFonts w:ascii="Times" w:hAnsi="Times" w:cs="Times"/>
              </w:rPr>
              <w:t>RST = Rotating Tube Trap</w:t>
            </w:r>
          </w:p>
        </w:tc>
      </w:tr>
    </w:tbl>
    <w:p w:rsidR="00C33BE3" w:rsidRDefault="00C33BE3"/>
    <w:p w:rsidR="00BF1B76" w:rsidRDefault="00BF1B76"/>
    <w:p w:rsidR="006451AF" w:rsidRPr="006451AF" w:rsidRDefault="00BC60C7">
      <w:pPr>
        <w:pStyle w:val="NormalWeb"/>
        <w:ind w:left="480" w:hanging="480"/>
        <w:divId w:val="1505705976"/>
        <w:rPr>
          <w:rFonts w:ascii="Calibri" w:hAnsi="Calibri"/>
          <w:noProof/>
          <w:sz w:val="22"/>
        </w:rPr>
      </w:pPr>
      <w:r>
        <w:fldChar w:fldCharType="begin" w:fldLock="1"/>
      </w:r>
      <w:r>
        <w:instrText xml:space="preserve">ADDIN Mendeley Bibliography CSL_BIBLIOGRAPHY </w:instrText>
      </w:r>
      <w:r>
        <w:fldChar w:fldCharType="separate"/>
      </w:r>
      <w:r w:rsidR="006451AF" w:rsidRPr="006451AF">
        <w:rPr>
          <w:rFonts w:ascii="Calibri" w:hAnsi="Calibri"/>
          <w:noProof/>
          <w:sz w:val="22"/>
        </w:rPr>
        <w:t>Bothner, M.H., Reynolds, R.L., Casso, M.A., Storlazzi, C.D., Field, M.E., 2006. Quantity, composition, and source of sediment collected in sediment traps along the fringing coral reef off Molokai, Hawaii. Mar. Pollut. Bull. 52, 1034–47. doi:10.1016/j.marpolbul.2006.01.008</w:t>
      </w:r>
    </w:p>
    <w:p w:rsidR="006451AF" w:rsidRPr="006451AF" w:rsidRDefault="006451AF">
      <w:pPr>
        <w:pStyle w:val="NormalWeb"/>
        <w:ind w:left="480" w:hanging="480"/>
        <w:divId w:val="1505705976"/>
        <w:rPr>
          <w:rFonts w:ascii="Calibri" w:hAnsi="Calibri"/>
          <w:noProof/>
          <w:sz w:val="22"/>
        </w:rPr>
      </w:pPr>
      <w:r w:rsidRPr="006451AF">
        <w:rPr>
          <w:rFonts w:ascii="Calibri" w:hAnsi="Calibri"/>
          <w:noProof/>
          <w:sz w:val="22"/>
        </w:rPr>
        <w:t>Field, M.E., Chezar, H., Storlazzi, C.D., 2012. SedPods: a low-cost coral proxy for measuring net sedimentation. Coral Reefs 1–5.</w:t>
      </w:r>
    </w:p>
    <w:p w:rsidR="006451AF" w:rsidRPr="006451AF" w:rsidRDefault="006451AF">
      <w:pPr>
        <w:pStyle w:val="NormalWeb"/>
        <w:ind w:left="480" w:hanging="480"/>
        <w:divId w:val="1505705976"/>
        <w:rPr>
          <w:rFonts w:ascii="Calibri" w:hAnsi="Calibri"/>
          <w:noProof/>
          <w:sz w:val="22"/>
        </w:rPr>
      </w:pPr>
      <w:r w:rsidRPr="006451AF">
        <w:rPr>
          <w:rFonts w:ascii="Calibri" w:hAnsi="Calibri"/>
          <w:noProof/>
          <w:sz w:val="22"/>
        </w:rPr>
        <w:lastRenderedPageBreak/>
        <w:t>Gray, S.C., Sears, W., Kolupski, M.L., Hastings, Z.C., Przyuski, N.W., Fox, M.D., Degrood, A., 2012. Factors affecting land-based sedimentation in coastal bays, US Virgin Islands, in: 12th International Coral Reef Symposium. Cairns, Australia, pp. 9–13.</w:t>
      </w:r>
    </w:p>
    <w:p w:rsidR="006451AF" w:rsidRPr="006451AF" w:rsidRDefault="006451AF">
      <w:pPr>
        <w:pStyle w:val="NormalWeb"/>
        <w:ind w:left="480" w:hanging="480"/>
        <w:divId w:val="1505705976"/>
        <w:rPr>
          <w:rFonts w:ascii="Calibri" w:hAnsi="Calibri"/>
          <w:noProof/>
          <w:sz w:val="22"/>
        </w:rPr>
      </w:pPr>
      <w:r w:rsidRPr="006451AF">
        <w:rPr>
          <w:rFonts w:ascii="Calibri" w:hAnsi="Calibri"/>
          <w:noProof/>
          <w:sz w:val="22"/>
        </w:rPr>
        <w:t>Storlazzi, C.D., Field, M.E., Bothner, M.H., Presto, M.K., Draut, A.E., 2009. Sedimentation processes in a coral reef embayment: Hanalei Bay, Kauai. Mar. Geol. 264, 140–151. doi:10.1016/j.margeo.2009.05.002</w:t>
      </w:r>
    </w:p>
    <w:p w:rsidR="00BF1B76" w:rsidRDefault="00BC60C7">
      <w:r>
        <w:fldChar w:fldCharType="end"/>
      </w:r>
    </w:p>
    <w:sectPr w:rsidR="00BF1B76" w:rsidSect="003769E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C2"/>
    <w:rsid w:val="0030157B"/>
    <w:rsid w:val="003769E0"/>
    <w:rsid w:val="00393703"/>
    <w:rsid w:val="004E6922"/>
    <w:rsid w:val="005F04C2"/>
    <w:rsid w:val="006451AF"/>
    <w:rsid w:val="007E0B9A"/>
    <w:rsid w:val="00810173"/>
    <w:rsid w:val="008B741A"/>
    <w:rsid w:val="009C155D"/>
    <w:rsid w:val="00B80159"/>
    <w:rsid w:val="00B84781"/>
    <w:rsid w:val="00BC60C7"/>
    <w:rsid w:val="00BF1B76"/>
    <w:rsid w:val="00C33BE3"/>
    <w:rsid w:val="00CB7715"/>
    <w:rsid w:val="00D81A79"/>
    <w:rsid w:val="00DF1A6D"/>
    <w:rsid w:val="00E214FB"/>
    <w:rsid w:val="00F6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C5B0-8C77-4DA6-9DC5-9CB14621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60C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76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9E0"/>
    <w:rPr>
      <w:rFonts w:ascii="Segoe UI" w:hAnsi="Segoe UI" w:cs="Segoe UI"/>
      <w:sz w:val="18"/>
      <w:szCs w:val="18"/>
    </w:rPr>
  </w:style>
  <w:style w:type="paragraph" w:styleId="ListParagraph">
    <w:name w:val="List Paragraph"/>
    <w:basedOn w:val="Normal"/>
    <w:uiPriority w:val="34"/>
    <w:qFormat/>
    <w:rsid w:val="0064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52857">
      <w:bodyDiv w:val="1"/>
      <w:marLeft w:val="0"/>
      <w:marRight w:val="0"/>
      <w:marTop w:val="0"/>
      <w:marBottom w:val="0"/>
      <w:divBdr>
        <w:top w:val="none" w:sz="0" w:space="0" w:color="auto"/>
        <w:left w:val="none" w:sz="0" w:space="0" w:color="auto"/>
        <w:bottom w:val="none" w:sz="0" w:space="0" w:color="auto"/>
        <w:right w:val="none" w:sz="0" w:space="0" w:color="auto"/>
      </w:divBdr>
      <w:divsChild>
        <w:div w:id="243534149">
          <w:marLeft w:val="0"/>
          <w:marRight w:val="0"/>
          <w:marTop w:val="0"/>
          <w:marBottom w:val="0"/>
          <w:divBdr>
            <w:top w:val="none" w:sz="0" w:space="0" w:color="auto"/>
            <w:left w:val="none" w:sz="0" w:space="0" w:color="auto"/>
            <w:bottom w:val="none" w:sz="0" w:space="0" w:color="auto"/>
            <w:right w:val="none" w:sz="0" w:space="0" w:color="auto"/>
          </w:divBdr>
          <w:divsChild>
            <w:div w:id="535699225">
              <w:marLeft w:val="0"/>
              <w:marRight w:val="0"/>
              <w:marTop w:val="0"/>
              <w:marBottom w:val="0"/>
              <w:divBdr>
                <w:top w:val="none" w:sz="0" w:space="0" w:color="auto"/>
                <w:left w:val="none" w:sz="0" w:space="0" w:color="auto"/>
                <w:bottom w:val="none" w:sz="0" w:space="0" w:color="auto"/>
                <w:right w:val="none" w:sz="0" w:space="0" w:color="auto"/>
              </w:divBdr>
              <w:divsChild>
                <w:div w:id="1902671837">
                  <w:marLeft w:val="0"/>
                  <w:marRight w:val="0"/>
                  <w:marTop w:val="0"/>
                  <w:marBottom w:val="0"/>
                  <w:divBdr>
                    <w:top w:val="none" w:sz="0" w:space="0" w:color="auto"/>
                    <w:left w:val="none" w:sz="0" w:space="0" w:color="auto"/>
                    <w:bottom w:val="none" w:sz="0" w:space="0" w:color="auto"/>
                    <w:right w:val="none" w:sz="0" w:space="0" w:color="auto"/>
                  </w:divBdr>
                  <w:divsChild>
                    <w:div w:id="15057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EE50-F7B2-4055-B015-E84611732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8</cp:revision>
  <dcterms:created xsi:type="dcterms:W3CDTF">2014-10-20T22:01:00Z</dcterms:created>
  <dcterms:modified xsi:type="dcterms:W3CDTF">2016-03-26T23:43:00Z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