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8"/>
        <w:gridCol w:w="1204"/>
        <w:gridCol w:w="1031"/>
        <w:gridCol w:w="1797"/>
        <w:gridCol w:w="1421"/>
        <w:gridCol w:w="2190"/>
        <w:gridCol w:w="1927"/>
      </w:tblGrid>
      <w:tr w:rsidR="006451AF" w:rsidRPr="006451AF" w:rsidTr="007078DA">
        <w:tc>
          <w:tcPr>
            <w:tcW w:w="11168" w:type="dxa"/>
            <w:gridSpan w:val="7"/>
            <w:tcBorders>
              <w:bottom w:val="single" w:sz="12" w:space="0" w:color="auto"/>
            </w:tcBorders>
          </w:tcPr>
          <w:p w:rsidR="006451AF" w:rsidRPr="006451AF" w:rsidRDefault="006451AF" w:rsidP="00C55FA0">
            <w:pPr>
              <w:rPr>
                <w:rFonts w:ascii="Times" w:hAnsi="Times" w:cs="Times"/>
              </w:rPr>
            </w:pPr>
            <w:r w:rsidRPr="00693F64">
              <w:rPr>
                <w:rFonts w:ascii="Times" w:hAnsi="Times" w:cs="Times"/>
              </w:rPr>
              <w:t>Table 4. Comparison</w:t>
            </w:r>
            <w:r>
              <w:rPr>
                <w:rFonts w:ascii="Times" w:hAnsi="Times" w:cs="Times"/>
              </w:rPr>
              <w:t xml:space="preserve"> of sedimentation rates between Tubes and SedPod deployments in similar fringing reefs embayments</w:t>
            </w:r>
            <w:r w:rsidR="00C55FA0">
              <w:rPr>
                <w:rFonts w:ascii="Times" w:hAnsi="Times" w:cs="Times"/>
              </w:rPr>
              <w:t>. Note: 1 mg cm</w:t>
            </w:r>
            <w:r w:rsidR="00C55FA0" w:rsidRPr="00C55FA0">
              <w:rPr>
                <w:rFonts w:ascii="Times" w:hAnsi="Times" w:cs="Times"/>
                <w:vertAlign w:val="superscript"/>
              </w:rPr>
              <w:t>-2</w:t>
            </w:r>
            <w:r w:rsidR="00C55FA0">
              <w:rPr>
                <w:rFonts w:ascii="Times" w:hAnsi="Times" w:cs="Times"/>
              </w:rPr>
              <w:t xml:space="preserve"> d</w:t>
            </w:r>
            <w:r w:rsidR="00C55FA0" w:rsidRPr="00C55FA0">
              <w:rPr>
                <w:rFonts w:ascii="Times" w:hAnsi="Times" w:cs="Times"/>
                <w:vertAlign w:val="superscript"/>
              </w:rPr>
              <w:t>-1</w:t>
            </w:r>
            <w:r w:rsidR="00C55FA0">
              <w:rPr>
                <w:rFonts w:ascii="Times" w:hAnsi="Times" w:cs="Times"/>
              </w:rPr>
              <w:t xml:space="preserve"> = 10 g m</w:t>
            </w:r>
            <w:r w:rsidR="00C55FA0" w:rsidRPr="00C55FA0">
              <w:rPr>
                <w:rFonts w:ascii="Times" w:hAnsi="Times" w:cs="Times"/>
                <w:vertAlign w:val="superscript"/>
              </w:rPr>
              <w:t>-2</w:t>
            </w:r>
            <w:r w:rsidR="00C55FA0">
              <w:rPr>
                <w:rFonts w:ascii="Times" w:hAnsi="Times" w:cs="Times"/>
              </w:rPr>
              <w:t xml:space="preserve"> d</w:t>
            </w:r>
            <w:r w:rsidR="00C55FA0" w:rsidRPr="00C55FA0">
              <w:rPr>
                <w:rFonts w:ascii="Times" w:hAnsi="Times" w:cs="Times"/>
                <w:vertAlign w:val="superscript"/>
              </w:rPr>
              <w:t>-1</w:t>
            </w:r>
          </w:p>
        </w:tc>
      </w:tr>
      <w:tr w:rsidR="006451AF" w:rsidRPr="006451AF" w:rsidTr="006451AF">
        <w:tc>
          <w:tcPr>
            <w:tcW w:w="1598"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Reference</w:t>
            </w:r>
          </w:p>
        </w:tc>
        <w:tc>
          <w:tcPr>
            <w:tcW w:w="1204"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Study Site</w:t>
            </w:r>
          </w:p>
          <w:p w:rsidR="006451AF" w:rsidRPr="006451AF" w:rsidRDefault="006451AF" w:rsidP="006451AF">
            <w:pPr>
              <w:rPr>
                <w:rFonts w:ascii="Times" w:hAnsi="Times" w:cs="Times"/>
                <w:b/>
              </w:rPr>
            </w:pPr>
          </w:p>
        </w:tc>
        <w:tc>
          <w:tcPr>
            <w:tcW w:w="1031"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Number of traps</w:t>
            </w:r>
          </w:p>
        </w:tc>
        <w:tc>
          <w:tcPr>
            <w:tcW w:w="1797"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Sample Interval</w:t>
            </w:r>
          </w:p>
          <w:p w:rsidR="006451AF" w:rsidRPr="006451AF" w:rsidRDefault="006451AF" w:rsidP="006451AF">
            <w:pPr>
              <w:rPr>
                <w:rFonts w:ascii="Times" w:hAnsi="Times" w:cs="Times"/>
                <w:b/>
              </w:rPr>
            </w:pPr>
          </w:p>
          <w:p w:rsidR="006451AF" w:rsidRPr="006451AF" w:rsidRDefault="006451AF" w:rsidP="006451AF">
            <w:pPr>
              <w:rPr>
                <w:rFonts w:ascii="Times" w:hAnsi="Times" w:cs="Times"/>
                <w:b/>
              </w:rPr>
            </w:pPr>
          </w:p>
        </w:tc>
        <w:tc>
          <w:tcPr>
            <w:tcW w:w="1421"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Deployment Time (d)</w:t>
            </w:r>
          </w:p>
        </w:tc>
        <w:tc>
          <w:tcPr>
            <w:tcW w:w="2190"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Tube Trap (g m</w:t>
            </w:r>
            <w:r w:rsidRPr="006451AF">
              <w:rPr>
                <w:rFonts w:ascii="Times" w:hAnsi="Times" w:cs="Times"/>
                <w:b/>
                <w:vertAlign w:val="superscript"/>
              </w:rPr>
              <w:t>-2</w:t>
            </w:r>
            <w:r w:rsidRPr="006451AF">
              <w:rPr>
                <w:rFonts w:ascii="Times" w:hAnsi="Times" w:cs="Times"/>
                <w:b/>
              </w:rPr>
              <w:t>d</w:t>
            </w:r>
            <w:r w:rsidRPr="006451AF">
              <w:rPr>
                <w:rFonts w:ascii="Times" w:hAnsi="Times" w:cs="Times"/>
                <w:b/>
                <w:vertAlign w:val="superscript"/>
              </w:rPr>
              <w:t>-1</w:t>
            </w:r>
            <w:r w:rsidRPr="006451AF">
              <w:rPr>
                <w:rFonts w:ascii="Times" w:hAnsi="Times" w:cs="Times"/>
                <w:b/>
              </w:rPr>
              <w:t>)</w:t>
            </w:r>
          </w:p>
        </w:tc>
        <w:tc>
          <w:tcPr>
            <w:tcW w:w="1927"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SedPod (g m</w:t>
            </w:r>
            <w:r w:rsidRPr="006451AF">
              <w:rPr>
                <w:rFonts w:ascii="Times" w:hAnsi="Times" w:cs="Times"/>
                <w:b/>
                <w:vertAlign w:val="superscript"/>
              </w:rPr>
              <w:t>-2</w:t>
            </w:r>
            <w:r w:rsidRPr="006451AF">
              <w:rPr>
                <w:rFonts w:ascii="Times" w:hAnsi="Times" w:cs="Times"/>
                <w:b/>
              </w:rPr>
              <w:t>d</w:t>
            </w:r>
            <w:r w:rsidRPr="006451AF">
              <w:rPr>
                <w:rFonts w:ascii="Times" w:hAnsi="Times" w:cs="Times"/>
                <w:b/>
                <w:vertAlign w:val="superscript"/>
              </w:rPr>
              <w:t>-1</w:t>
            </w:r>
            <w:r w:rsidRPr="006451AF">
              <w:rPr>
                <w:rFonts w:ascii="Times" w:hAnsi="Times" w:cs="Times"/>
                <w:b/>
              </w:rPr>
              <w:t>)</w:t>
            </w:r>
          </w:p>
        </w:tc>
      </w:tr>
      <w:tr w:rsidR="006451AF" w:rsidRPr="006451AF" w:rsidTr="007A1CDB">
        <w:tc>
          <w:tcPr>
            <w:tcW w:w="1598" w:type="dxa"/>
            <w:tcBorders>
              <w:top w:val="double" w:sz="4" w:space="0" w:color="auto"/>
              <w:bottom w:val="single" w:sz="4" w:space="0" w:color="A5A5A5" w:themeColor="accent3"/>
            </w:tcBorders>
            <w:vAlign w:val="center"/>
          </w:tcPr>
          <w:p w:rsidR="006451AF" w:rsidRPr="006451AF" w:rsidRDefault="006451AF" w:rsidP="006451AF">
            <w:pPr>
              <w:rPr>
                <w:rFonts w:ascii="Times" w:hAnsi="Times" w:cs="Times"/>
              </w:rPr>
            </w:pPr>
            <w:r w:rsidRPr="006451AF">
              <w:rPr>
                <w:rFonts w:ascii="Times" w:hAnsi="Times" w:cs="Times"/>
              </w:rPr>
              <w:t>This study</w:t>
            </w:r>
          </w:p>
        </w:tc>
        <w:tc>
          <w:tcPr>
            <w:tcW w:w="1204" w:type="dxa"/>
            <w:tcBorders>
              <w:top w:val="double" w:sz="4" w:space="0" w:color="auto"/>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Faga’alu, American Samoa</w:t>
            </w:r>
          </w:p>
        </w:tc>
        <w:tc>
          <w:tcPr>
            <w:tcW w:w="1031" w:type="dxa"/>
            <w:tcBorders>
              <w:top w:val="double" w:sz="4" w:space="0" w:color="auto"/>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9</w:t>
            </w:r>
          </w:p>
        </w:tc>
        <w:tc>
          <w:tcPr>
            <w:tcW w:w="1797" w:type="dxa"/>
            <w:tcBorders>
              <w:top w:val="double" w:sz="4" w:space="0" w:color="auto"/>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24-53 d (mean=36)</w:t>
            </w:r>
          </w:p>
        </w:tc>
        <w:tc>
          <w:tcPr>
            <w:tcW w:w="1421" w:type="dxa"/>
            <w:tcBorders>
              <w:top w:val="double" w:sz="4" w:space="0" w:color="auto"/>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1 year</w:t>
            </w:r>
          </w:p>
        </w:tc>
        <w:tc>
          <w:tcPr>
            <w:tcW w:w="2190" w:type="dxa"/>
            <w:tcBorders>
              <w:top w:val="double" w:sz="4" w:space="0" w:color="auto"/>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1-623</w:t>
            </w:r>
          </w:p>
          <w:p w:rsidR="006451AF" w:rsidRPr="006451AF" w:rsidRDefault="006451AF" w:rsidP="006451AF">
            <w:pPr>
              <w:jc w:val="center"/>
              <w:rPr>
                <w:rFonts w:ascii="Times" w:hAnsi="Times" w:cs="Times"/>
              </w:rPr>
            </w:pPr>
            <w:r>
              <w:rPr>
                <w:rFonts w:ascii="Times" w:hAnsi="Times" w:cs="Times"/>
              </w:rPr>
              <w:t>(M</w:t>
            </w:r>
            <w:r w:rsidRPr="006451AF">
              <w:rPr>
                <w:rFonts w:ascii="Times" w:hAnsi="Times" w:cs="Times"/>
              </w:rPr>
              <w:t>ean</w:t>
            </w:r>
            <w:r>
              <w:rPr>
                <w:rFonts w:ascii="Times" w:hAnsi="Times" w:cs="Times"/>
              </w:rPr>
              <w:t xml:space="preserve"> totals varied from</w:t>
            </w:r>
            <w:r w:rsidRPr="006451AF">
              <w:rPr>
                <w:rFonts w:ascii="Times" w:hAnsi="Times" w:cs="Times"/>
              </w:rPr>
              <w:t xml:space="preserve"> 13-269)</w:t>
            </w:r>
          </w:p>
        </w:tc>
        <w:tc>
          <w:tcPr>
            <w:tcW w:w="1927" w:type="dxa"/>
            <w:tcBorders>
              <w:top w:val="double" w:sz="4" w:space="0" w:color="auto"/>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0-40</w:t>
            </w:r>
          </w:p>
          <w:p w:rsidR="006451AF" w:rsidRPr="006451AF" w:rsidRDefault="006451AF" w:rsidP="006451AF">
            <w:pPr>
              <w:jc w:val="center"/>
              <w:rPr>
                <w:rFonts w:ascii="Times" w:hAnsi="Times" w:cs="Times"/>
              </w:rPr>
            </w:pPr>
            <w:r>
              <w:rPr>
                <w:rFonts w:ascii="Times" w:hAnsi="Times" w:cs="Times"/>
              </w:rPr>
              <w:t>(M</w:t>
            </w:r>
            <w:r w:rsidRPr="006451AF">
              <w:rPr>
                <w:rFonts w:ascii="Times" w:hAnsi="Times" w:cs="Times"/>
              </w:rPr>
              <w:t>ean total</w:t>
            </w:r>
            <w:r>
              <w:rPr>
                <w:rFonts w:ascii="Times" w:hAnsi="Times" w:cs="Times"/>
              </w:rPr>
              <w:t>s varied from</w:t>
            </w:r>
            <w:r w:rsidRPr="006451AF">
              <w:rPr>
                <w:rFonts w:ascii="Times" w:hAnsi="Times" w:cs="Times"/>
              </w:rPr>
              <w:t xml:space="preserve"> 0.0-12.4)</w:t>
            </w:r>
          </w:p>
        </w:tc>
      </w:tr>
      <w:tr w:rsidR="006451AF" w:rsidRPr="006451AF" w:rsidTr="007A1CDB">
        <w:trPr>
          <w:trHeight w:val="575"/>
        </w:trPr>
        <w:tc>
          <w:tcPr>
            <w:tcW w:w="1598"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rPr>
                <w:rFonts w:ascii="Times" w:hAnsi="Times" w:cs="Times"/>
              </w:rPr>
            </w:pPr>
            <w:r w:rsidRPr="006451AF">
              <w:rPr>
                <w:rFonts w:ascii="Times" w:hAnsi="Times" w:cs="Times"/>
              </w:rPr>
              <w:fldChar w:fldCharType="begin" w:fldLock="1"/>
            </w:r>
            <w:r>
              <w:rPr>
                <w:rFonts w:ascii="Times" w:hAnsi="Times" w:cs="Times"/>
              </w:rPr>
              <w:instrText>ADDIN CSL_CITATION { "citationItems" : [ { "id" : "ITEM-1", "itemData" : { "DOI" : "10.1016/j.marpolbul.2006.01.008", "ISSN" : "0025-326X", "PMID" : "16545399", "abstract" : "Sediment traps were used to evaluate the frequency, cause, and relative intensity of sediment mobility/resuspension along the fringing coral reef off southern Molokai (February 2000-May 2002). Two storms with high rainfall, floods, and exceptionally high waves resulted in sediment collection rates&gt;1000 times higher than during non-storm periods, primarily because of sediment resuspension by waves. Based on quantity and composition of trapped sediment, floods recharged the reef flat with land-derived sediment, but had a low potential for burying coral on the fore reef when accompanied by high waves. The trapped sediments have low concentrations of anthropogenic metals. The magnetic properties of trapped sediment may provide information about the sources of land-derived sediment reaching the fore reef. The high trapping rate and low sediment cover indicate that coral surfaces on the fore reef are exposed to transient resuspended sediment, and that the traps do not measure net sediment accumulation on the reef surface.", "author" : [ { "dropping-particle" : "", "family" : "Bothner", "given" : "Michael H.", "non-dropping-particle" : "", "parse-names" : false, "suffix" : "" }, { "dropping-particle" : "", "family" : "Reynolds", "given" : "Richard L.", "non-dropping-particle" : "", "parse-names" : false, "suffix" : "" }, { "dropping-particle" : "", "family" : "Casso", "given" : "Michael A.", "non-dropping-particle" : "", "parse-names" : false, "suffix" : "" }, { "dropping-particle" : "", "family" : "Storlazzi", "given" : "Curt D.", "non-dropping-particle" : "", "parse-names" : false, "suffix" : "" }, { "dropping-particle" : "", "family" : "Field", "given" : "Michael E.", "non-dropping-particle" : "", "parse-names" : false, "suffix" : "" } ], "container-title" : "Marine pollution bulletin", "id" : "ITEM-1", "issue" : "9", "issued" : { "date-parts" : [ [ "2006", "9" ] ] }, "page" : "1034-47", "title" : "Quantity, composition, and source of sediment collected in sediment traps along the fringing coral reef off Molokai, Hawaii.", "type" : "article-journal", "volume" : "52" }, "uris" : [ "http://www.mendeley.com/documents/?uuid=0dc48c07-24a1-4da5-95ad-c2a3f411e96b" ] } ], "mendeley" : { "formattedCitation" : "(Bothner et al., 2006)", "manualFormatting" : "Bothner et al., (2006)", "plainTextFormattedCitation" : "(Bothner et al., 2006)", "previouslyFormattedCitation" : "(Bothner et al., 2006)" }, "properties" : { "noteIndex" : 0 }, "schema" : "https://github.com/citation-style-language/schema/raw/master/csl-citation.json" }</w:instrText>
            </w:r>
            <w:r w:rsidRPr="006451AF">
              <w:rPr>
                <w:rFonts w:ascii="Times" w:hAnsi="Times" w:cs="Times"/>
              </w:rPr>
              <w:fldChar w:fldCharType="separate"/>
            </w:r>
            <w:r w:rsidRPr="006451AF">
              <w:rPr>
                <w:rFonts w:ascii="Times" w:hAnsi="Times" w:cs="Times"/>
                <w:noProof/>
              </w:rPr>
              <w:t>Bothner et al., (2006)</w:t>
            </w:r>
            <w:r w:rsidRPr="006451AF">
              <w:rPr>
                <w:rFonts w:ascii="Times" w:hAnsi="Times" w:cs="Times"/>
              </w:rPr>
              <w:fldChar w:fldCharType="end"/>
            </w:r>
          </w:p>
        </w:tc>
        <w:tc>
          <w:tcPr>
            <w:tcW w:w="1204"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South Molokai, Hawaii</w:t>
            </w:r>
          </w:p>
        </w:tc>
        <w:tc>
          <w:tcPr>
            <w:tcW w:w="1031"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8</w:t>
            </w:r>
          </w:p>
        </w:tc>
        <w:tc>
          <w:tcPr>
            <w:tcW w:w="1797"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~90 (</w:t>
            </w:r>
            <w:proofErr w:type="spellStart"/>
            <w:r w:rsidRPr="006451AF">
              <w:rPr>
                <w:rFonts w:ascii="Times" w:hAnsi="Times" w:cs="Times"/>
              </w:rPr>
              <w:t>STT</w:t>
            </w:r>
            <w:r w:rsidRPr="006451AF">
              <w:rPr>
                <w:rFonts w:ascii="Times" w:hAnsi="Times" w:cs="Times"/>
                <w:vertAlign w:val="superscript"/>
              </w:rPr>
              <w:t>a</w:t>
            </w:r>
            <w:proofErr w:type="spellEnd"/>
            <w:r w:rsidRPr="006451AF">
              <w:rPr>
                <w:rFonts w:ascii="Times" w:hAnsi="Times" w:cs="Times"/>
              </w:rPr>
              <w:t>)</w:t>
            </w:r>
          </w:p>
        </w:tc>
        <w:tc>
          <w:tcPr>
            <w:tcW w:w="1421"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2 year</w:t>
            </w:r>
          </w:p>
        </w:tc>
        <w:tc>
          <w:tcPr>
            <w:tcW w:w="2190"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5-4,000 (non-storm)</w:t>
            </w:r>
          </w:p>
          <w:p w:rsidR="006451AF" w:rsidRPr="006451AF" w:rsidRDefault="006451AF" w:rsidP="006451AF">
            <w:pPr>
              <w:jc w:val="center"/>
              <w:rPr>
                <w:rFonts w:ascii="Times" w:hAnsi="Times" w:cs="Times"/>
              </w:rPr>
            </w:pPr>
            <w:r w:rsidRPr="006451AF">
              <w:rPr>
                <w:rFonts w:ascii="Times" w:hAnsi="Times" w:cs="Times"/>
              </w:rPr>
              <w:t>&gt;7,400 (storm)</w:t>
            </w:r>
          </w:p>
        </w:tc>
        <w:tc>
          <w:tcPr>
            <w:tcW w:w="1927"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w:t>
            </w:r>
          </w:p>
        </w:tc>
      </w:tr>
      <w:tr w:rsidR="006451AF" w:rsidRPr="006451AF" w:rsidTr="007A1CDB">
        <w:trPr>
          <w:trHeight w:val="287"/>
        </w:trPr>
        <w:tc>
          <w:tcPr>
            <w:tcW w:w="1598" w:type="dxa"/>
            <w:vMerge/>
            <w:tcBorders>
              <w:bottom w:val="single" w:sz="4" w:space="0" w:color="A5A5A5" w:themeColor="accent3"/>
            </w:tcBorders>
            <w:vAlign w:val="center"/>
          </w:tcPr>
          <w:p w:rsidR="006451AF" w:rsidRPr="006451AF" w:rsidRDefault="006451AF" w:rsidP="006451AF">
            <w:pPr>
              <w:rPr>
                <w:rFonts w:ascii="Times" w:hAnsi="Times" w:cs="Times"/>
              </w:rPr>
            </w:pPr>
          </w:p>
        </w:tc>
        <w:tc>
          <w:tcPr>
            <w:tcW w:w="1204" w:type="dxa"/>
            <w:vMerge/>
            <w:tcBorders>
              <w:bottom w:val="single" w:sz="4" w:space="0" w:color="A5A5A5" w:themeColor="accent3"/>
            </w:tcBorders>
            <w:vAlign w:val="center"/>
          </w:tcPr>
          <w:p w:rsidR="006451AF" w:rsidRPr="006451AF" w:rsidRDefault="006451AF" w:rsidP="006451AF">
            <w:pPr>
              <w:jc w:val="center"/>
              <w:rPr>
                <w:rFonts w:ascii="Times" w:hAnsi="Times" w:cs="Times"/>
              </w:rPr>
            </w:pPr>
          </w:p>
        </w:tc>
        <w:tc>
          <w:tcPr>
            <w:tcW w:w="1031"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2</w:t>
            </w:r>
          </w:p>
        </w:tc>
        <w:tc>
          <w:tcPr>
            <w:tcW w:w="1797"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4.5 d (</w:t>
            </w:r>
            <w:proofErr w:type="spellStart"/>
            <w:r w:rsidRPr="006451AF">
              <w:rPr>
                <w:rFonts w:ascii="Times" w:hAnsi="Times" w:cs="Times"/>
              </w:rPr>
              <w:t>RST</w:t>
            </w:r>
            <w:r w:rsidRPr="006451AF">
              <w:rPr>
                <w:rFonts w:ascii="Times" w:hAnsi="Times" w:cs="Times"/>
                <w:vertAlign w:val="superscript"/>
              </w:rPr>
              <w:t>b</w:t>
            </w:r>
            <w:proofErr w:type="spellEnd"/>
            <w:r w:rsidRPr="006451AF">
              <w:rPr>
                <w:rFonts w:ascii="Times" w:hAnsi="Times" w:cs="Times"/>
              </w:rPr>
              <w:t>)</w:t>
            </w:r>
          </w:p>
        </w:tc>
        <w:tc>
          <w:tcPr>
            <w:tcW w:w="1421"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2 year</w:t>
            </w:r>
          </w:p>
        </w:tc>
        <w:tc>
          <w:tcPr>
            <w:tcW w:w="2190"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1.5-1,800</w:t>
            </w:r>
          </w:p>
        </w:tc>
        <w:tc>
          <w:tcPr>
            <w:tcW w:w="1927" w:type="dxa"/>
            <w:vMerge/>
            <w:tcBorders>
              <w:bottom w:val="single" w:sz="4" w:space="0" w:color="A5A5A5" w:themeColor="accent3"/>
            </w:tcBorders>
            <w:vAlign w:val="center"/>
          </w:tcPr>
          <w:p w:rsidR="006451AF" w:rsidRPr="006451AF" w:rsidRDefault="006451AF" w:rsidP="006451AF">
            <w:pPr>
              <w:jc w:val="center"/>
              <w:rPr>
                <w:rFonts w:ascii="Times" w:hAnsi="Times" w:cs="Times"/>
              </w:rPr>
            </w:pPr>
          </w:p>
        </w:tc>
      </w:tr>
      <w:tr w:rsidR="006451AF" w:rsidRPr="006451AF" w:rsidTr="007A1CDB">
        <w:trPr>
          <w:trHeight w:val="683"/>
        </w:trPr>
        <w:tc>
          <w:tcPr>
            <w:tcW w:w="1598"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rPr>
                <w:rFonts w:ascii="Times" w:hAnsi="Times" w:cs="Times"/>
              </w:rPr>
            </w:pPr>
            <w:r w:rsidRPr="006451AF">
              <w:rPr>
                <w:rFonts w:ascii="Times" w:hAnsi="Times" w:cs="Times"/>
              </w:rPr>
              <w:fldChar w:fldCharType="begin" w:fldLock="1"/>
            </w:r>
            <w:r>
              <w:rPr>
                <w:rFonts w:ascii="Times" w:hAnsi="Times" w:cs="Times"/>
              </w:rPr>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"formattedCitation" : "(Storlazzi et al., 2009)", "manualFormatting" : "Storlazzi et al., (2009)", "plainTextFormattedCitation" : "(Storlazzi et al., 2009)", "previouslyFormattedCitation" : "(Storlazzi et al., 2009)" }, "properties" : { "noteIndex" : 0 }, "schema" : "https://github.com/citation-style-language/schema/raw/master/csl-citation.json" }</w:instrText>
            </w:r>
            <w:r w:rsidRPr="006451AF">
              <w:rPr>
                <w:rFonts w:ascii="Times" w:hAnsi="Times" w:cs="Times"/>
              </w:rPr>
              <w:fldChar w:fldCharType="separate"/>
            </w:r>
            <w:r w:rsidRPr="006451AF">
              <w:rPr>
                <w:rFonts w:ascii="Times" w:hAnsi="Times" w:cs="Times"/>
                <w:noProof/>
              </w:rPr>
              <w:t>Storlazzi et al., (2009)</w:t>
            </w:r>
            <w:r w:rsidRPr="006451AF">
              <w:rPr>
                <w:rFonts w:ascii="Times" w:hAnsi="Times" w:cs="Times"/>
              </w:rPr>
              <w:fldChar w:fldCharType="end"/>
            </w:r>
          </w:p>
        </w:tc>
        <w:tc>
          <w:tcPr>
            <w:tcW w:w="1204"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Hanalei Bay, Kauai, Hawaii</w:t>
            </w:r>
          </w:p>
        </w:tc>
        <w:tc>
          <w:tcPr>
            <w:tcW w:w="1031"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4</w:t>
            </w:r>
          </w:p>
        </w:tc>
        <w:tc>
          <w:tcPr>
            <w:tcW w:w="1797"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~90 (STT)</w:t>
            </w:r>
          </w:p>
        </w:tc>
        <w:tc>
          <w:tcPr>
            <w:tcW w:w="1421"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90 d</w:t>
            </w:r>
          </w:p>
        </w:tc>
        <w:tc>
          <w:tcPr>
            <w:tcW w:w="2190"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177-636</w:t>
            </w:r>
          </w:p>
          <w:p w:rsidR="006451AF" w:rsidRPr="006451AF" w:rsidRDefault="006451AF" w:rsidP="006451AF">
            <w:pPr>
              <w:jc w:val="center"/>
              <w:rPr>
                <w:rFonts w:ascii="Times" w:hAnsi="Times" w:cs="Times"/>
              </w:rPr>
            </w:pPr>
            <w:r w:rsidRPr="006451AF">
              <w:rPr>
                <w:rFonts w:ascii="Times" w:hAnsi="Times" w:cs="Times"/>
              </w:rPr>
              <w:t>Mean:365±213</w:t>
            </w:r>
          </w:p>
        </w:tc>
        <w:tc>
          <w:tcPr>
            <w:tcW w:w="1927"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w:t>
            </w:r>
          </w:p>
        </w:tc>
      </w:tr>
      <w:tr w:rsidR="006451AF" w:rsidRPr="006451AF" w:rsidTr="007A1CDB">
        <w:trPr>
          <w:trHeight w:val="440"/>
        </w:trPr>
        <w:tc>
          <w:tcPr>
            <w:tcW w:w="1598" w:type="dxa"/>
            <w:vMerge/>
            <w:tcBorders>
              <w:bottom w:val="single" w:sz="4" w:space="0" w:color="A5A5A5" w:themeColor="accent3"/>
            </w:tcBorders>
            <w:vAlign w:val="center"/>
          </w:tcPr>
          <w:p w:rsidR="006451AF" w:rsidRPr="006451AF" w:rsidRDefault="006451AF" w:rsidP="006451AF">
            <w:pPr>
              <w:rPr>
                <w:rFonts w:ascii="Times" w:hAnsi="Times" w:cs="Times"/>
              </w:rPr>
            </w:pPr>
          </w:p>
        </w:tc>
        <w:tc>
          <w:tcPr>
            <w:tcW w:w="1204" w:type="dxa"/>
            <w:vMerge/>
            <w:tcBorders>
              <w:bottom w:val="single" w:sz="4" w:space="0" w:color="A5A5A5" w:themeColor="accent3"/>
            </w:tcBorders>
            <w:vAlign w:val="center"/>
          </w:tcPr>
          <w:p w:rsidR="006451AF" w:rsidRPr="006451AF" w:rsidRDefault="006451AF" w:rsidP="006451AF">
            <w:pPr>
              <w:jc w:val="center"/>
              <w:rPr>
                <w:rFonts w:ascii="Times" w:hAnsi="Times" w:cs="Times"/>
              </w:rPr>
            </w:pPr>
          </w:p>
        </w:tc>
        <w:tc>
          <w:tcPr>
            <w:tcW w:w="1031"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2</w:t>
            </w:r>
          </w:p>
        </w:tc>
        <w:tc>
          <w:tcPr>
            <w:tcW w:w="1797"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4.5 d (RST)</w:t>
            </w:r>
          </w:p>
        </w:tc>
        <w:tc>
          <w:tcPr>
            <w:tcW w:w="1421"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90 d</w:t>
            </w:r>
          </w:p>
        </w:tc>
        <w:tc>
          <w:tcPr>
            <w:tcW w:w="2190"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5- 510</w:t>
            </w:r>
          </w:p>
          <w:p w:rsidR="006451AF" w:rsidRPr="006451AF" w:rsidRDefault="006451AF" w:rsidP="006451AF">
            <w:pPr>
              <w:jc w:val="center"/>
              <w:rPr>
                <w:rFonts w:ascii="Times" w:hAnsi="Times" w:cs="Times"/>
              </w:rPr>
            </w:pPr>
            <w:r w:rsidRPr="006451AF">
              <w:rPr>
                <w:rFonts w:ascii="Times" w:hAnsi="Times" w:cs="Times"/>
              </w:rPr>
              <w:t>Mean:87±123; 47±43</w:t>
            </w:r>
          </w:p>
        </w:tc>
        <w:tc>
          <w:tcPr>
            <w:tcW w:w="1927" w:type="dxa"/>
            <w:vMerge/>
            <w:tcBorders>
              <w:bottom w:val="single" w:sz="4" w:space="0" w:color="A5A5A5" w:themeColor="accent3"/>
            </w:tcBorders>
            <w:vAlign w:val="center"/>
          </w:tcPr>
          <w:p w:rsidR="006451AF" w:rsidRPr="006451AF" w:rsidRDefault="006451AF" w:rsidP="006451AF">
            <w:pPr>
              <w:jc w:val="center"/>
              <w:rPr>
                <w:rFonts w:ascii="Times" w:hAnsi="Times" w:cs="Times"/>
              </w:rPr>
            </w:pPr>
          </w:p>
        </w:tc>
      </w:tr>
      <w:tr w:rsidR="006451AF" w:rsidRPr="006451AF" w:rsidTr="007A1CDB">
        <w:trPr>
          <w:trHeight w:val="422"/>
        </w:trPr>
        <w:tc>
          <w:tcPr>
            <w:tcW w:w="1598"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rPr>
                <w:rFonts w:ascii="Times" w:hAnsi="Times" w:cs="Times"/>
              </w:rPr>
            </w:pPr>
            <w:r w:rsidRPr="006451AF">
              <w:rPr>
                <w:rFonts w:ascii="Times" w:hAnsi="Times" w:cs="Times"/>
              </w:rPr>
              <w:fldChar w:fldCharType="begin" w:fldLock="1"/>
            </w:r>
            <w:r>
              <w:rPr>
                <w:rFonts w:ascii="Times" w:hAnsi="Times" w:cs="Times"/>
              </w:rPr>
              <w:instrText>ADDIN CSL_CITATION { "citationItems" : [ { "id" : "ITEM-1", "itemData" : { "ISBN"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 ] }, "page" : "1-5", "title" : "SedPods: a low-cost coral proxy for measuring net sedimentation", "type" : "article-journal" }, "uris" : [ "http://www.mendeley.com/documents/?uuid=7e0738a6-4a21-4f04-8752-676153384766" ] } ], "mendeley" : { "formattedCitation" : "(Field et al., 2012)", "manualFormatting" : "Field et al., (2012)", "plainTextFormattedCitation" : "(Field et al., 2012)", "previouslyFormattedCitation" : "(Field et al., 2012)" }, "properties" : { "noteIndex" : 0 }, "schema" : "https://github.com/citation-style-language/schema/raw/master/csl-citation.json" }</w:instrText>
            </w:r>
            <w:r w:rsidRPr="006451AF">
              <w:rPr>
                <w:rFonts w:ascii="Times" w:hAnsi="Times" w:cs="Times"/>
              </w:rPr>
              <w:fldChar w:fldCharType="separate"/>
            </w:r>
            <w:r w:rsidRPr="006451AF">
              <w:rPr>
                <w:rFonts w:ascii="Times" w:hAnsi="Times" w:cs="Times"/>
                <w:noProof/>
              </w:rPr>
              <w:t>Field et al., (2012)</w:t>
            </w:r>
            <w:r w:rsidRPr="006451AF">
              <w:rPr>
                <w:rFonts w:ascii="Times" w:hAnsi="Times" w:cs="Times"/>
              </w:rPr>
              <w:fldChar w:fldCharType="end"/>
            </w:r>
          </w:p>
        </w:tc>
        <w:tc>
          <w:tcPr>
            <w:tcW w:w="1204"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Hanalei Bay, Kauai, Hawaii</w:t>
            </w:r>
          </w:p>
        </w:tc>
        <w:tc>
          <w:tcPr>
            <w:tcW w:w="1031" w:type="dxa"/>
            <w:tcBorders>
              <w:top w:val="single" w:sz="4" w:space="0" w:color="A5A5A5" w:themeColor="accent3"/>
              <w:bottom w:val="single" w:sz="4" w:space="0" w:color="A5A5A5" w:themeColor="accent3"/>
            </w:tcBorders>
            <w:vAlign w:val="center"/>
          </w:tcPr>
          <w:p w:rsidR="006451AF" w:rsidRPr="006451AF" w:rsidRDefault="00810173" w:rsidP="006451AF">
            <w:pPr>
              <w:jc w:val="center"/>
              <w:rPr>
                <w:rFonts w:ascii="Times" w:hAnsi="Times" w:cs="Times"/>
              </w:rPr>
            </w:pPr>
            <w:r>
              <w:rPr>
                <w:rFonts w:ascii="Times" w:hAnsi="Times" w:cs="Times"/>
              </w:rPr>
              <w:t>1</w:t>
            </w:r>
          </w:p>
        </w:tc>
        <w:tc>
          <w:tcPr>
            <w:tcW w:w="1797"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36; 60 d (STT)</w:t>
            </w:r>
          </w:p>
        </w:tc>
        <w:tc>
          <w:tcPr>
            <w:tcW w:w="1421"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96 d</w:t>
            </w:r>
          </w:p>
        </w:tc>
        <w:tc>
          <w:tcPr>
            <w:tcW w:w="2190"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67-172</w:t>
            </w:r>
          </w:p>
        </w:tc>
        <w:tc>
          <w:tcPr>
            <w:tcW w:w="1927"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3.5-6</w:t>
            </w:r>
          </w:p>
        </w:tc>
      </w:tr>
      <w:tr w:rsidR="006451AF" w:rsidRPr="006451AF" w:rsidTr="007A1CDB">
        <w:trPr>
          <w:trHeight w:val="405"/>
        </w:trPr>
        <w:tc>
          <w:tcPr>
            <w:tcW w:w="1598" w:type="dxa"/>
            <w:vMerge/>
            <w:tcBorders>
              <w:bottom w:val="single" w:sz="4" w:space="0" w:color="A5A5A5" w:themeColor="accent3"/>
            </w:tcBorders>
            <w:vAlign w:val="center"/>
          </w:tcPr>
          <w:p w:rsidR="006451AF" w:rsidRPr="006451AF" w:rsidRDefault="006451AF" w:rsidP="006451AF">
            <w:pPr>
              <w:rPr>
                <w:rFonts w:ascii="Times" w:hAnsi="Times" w:cs="Times"/>
              </w:rPr>
            </w:pPr>
          </w:p>
        </w:tc>
        <w:tc>
          <w:tcPr>
            <w:tcW w:w="1204" w:type="dxa"/>
            <w:vMerge/>
            <w:tcBorders>
              <w:bottom w:val="single" w:sz="4" w:space="0" w:color="A5A5A5" w:themeColor="accent3"/>
            </w:tcBorders>
            <w:vAlign w:val="center"/>
          </w:tcPr>
          <w:p w:rsidR="006451AF" w:rsidRPr="006451AF" w:rsidRDefault="006451AF" w:rsidP="006451AF">
            <w:pPr>
              <w:jc w:val="center"/>
              <w:rPr>
                <w:rFonts w:ascii="Times" w:hAnsi="Times" w:cs="Times"/>
              </w:rPr>
            </w:pPr>
          </w:p>
        </w:tc>
        <w:tc>
          <w:tcPr>
            <w:tcW w:w="1031" w:type="dxa"/>
            <w:tcBorders>
              <w:top w:val="single" w:sz="4" w:space="0" w:color="A5A5A5" w:themeColor="accent3"/>
              <w:bottom w:val="single" w:sz="4" w:space="0" w:color="A5A5A5" w:themeColor="accent3"/>
            </w:tcBorders>
            <w:vAlign w:val="center"/>
          </w:tcPr>
          <w:p w:rsidR="006451AF" w:rsidRPr="006451AF" w:rsidRDefault="00810173" w:rsidP="006451AF">
            <w:pPr>
              <w:jc w:val="center"/>
              <w:rPr>
                <w:rFonts w:ascii="Times" w:hAnsi="Times" w:cs="Times"/>
              </w:rPr>
            </w:pPr>
            <w:r>
              <w:rPr>
                <w:rFonts w:ascii="Times" w:hAnsi="Times" w:cs="Times"/>
              </w:rPr>
              <w:t>1</w:t>
            </w:r>
          </w:p>
        </w:tc>
        <w:tc>
          <w:tcPr>
            <w:tcW w:w="1797"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4.5 d (RST)</w:t>
            </w:r>
          </w:p>
        </w:tc>
        <w:tc>
          <w:tcPr>
            <w:tcW w:w="1421" w:type="dxa"/>
            <w:tcBorders>
              <w:top w:val="single" w:sz="4" w:space="0" w:color="A5A5A5" w:themeColor="accent3"/>
              <w:bottom w:val="single" w:sz="4" w:space="0" w:color="A5A5A5" w:themeColor="accent3"/>
            </w:tcBorders>
            <w:vAlign w:val="center"/>
          </w:tcPr>
          <w:p w:rsidR="006451AF" w:rsidRPr="006451AF" w:rsidRDefault="00810173" w:rsidP="006451AF">
            <w:pPr>
              <w:jc w:val="center"/>
              <w:rPr>
                <w:rFonts w:ascii="Times" w:hAnsi="Times" w:cs="Times"/>
              </w:rPr>
            </w:pPr>
            <w:r>
              <w:rPr>
                <w:rFonts w:ascii="Times" w:hAnsi="Times" w:cs="Times"/>
              </w:rPr>
              <w:t>96 d</w:t>
            </w:r>
          </w:p>
        </w:tc>
        <w:tc>
          <w:tcPr>
            <w:tcW w:w="2190" w:type="dxa"/>
            <w:tcBorders>
              <w:top w:val="single" w:sz="4" w:space="0" w:color="A5A5A5" w:themeColor="accent3"/>
              <w:bottom w:val="single" w:sz="4" w:space="0" w:color="A5A5A5" w:themeColor="accent3"/>
            </w:tcBorders>
            <w:vAlign w:val="center"/>
          </w:tcPr>
          <w:p w:rsidR="006451AF" w:rsidRPr="006451AF" w:rsidRDefault="00810173" w:rsidP="006451AF">
            <w:pPr>
              <w:jc w:val="center"/>
              <w:rPr>
                <w:rFonts w:ascii="Times" w:hAnsi="Times" w:cs="Times"/>
              </w:rPr>
            </w:pPr>
            <w:r>
              <w:rPr>
                <w:rFonts w:ascii="Times" w:hAnsi="Times" w:cs="Times"/>
              </w:rPr>
              <w:t>Not reported</w:t>
            </w:r>
          </w:p>
        </w:tc>
        <w:tc>
          <w:tcPr>
            <w:tcW w:w="1927" w:type="dxa"/>
            <w:vMerge/>
            <w:tcBorders>
              <w:bottom w:val="single" w:sz="4" w:space="0" w:color="A5A5A5" w:themeColor="accent3"/>
            </w:tcBorders>
            <w:vAlign w:val="center"/>
          </w:tcPr>
          <w:p w:rsidR="006451AF" w:rsidRPr="006451AF" w:rsidRDefault="006451AF" w:rsidP="006451AF">
            <w:pPr>
              <w:jc w:val="center"/>
              <w:rPr>
                <w:rFonts w:ascii="Times" w:hAnsi="Times" w:cs="Times"/>
              </w:rPr>
            </w:pPr>
          </w:p>
        </w:tc>
      </w:tr>
      <w:tr w:rsidR="006451AF" w:rsidRPr="006451AF" w:rsidTr="006451AF">
        <w:tc>
          <w:tcPr>
            <w:tcW w:w="1598" w:type="dxa"/>
            <w:tcBorders>
              <w:top w:val="single" w:sz="4" w:space="0" w:color="A5A5A5" w:themeColor="accent3"/>
              <w:bottom w:val="single" w:sz="4" w:space="0" w:color="auto"/>
            </w:tcBorders>
            <w:vAlign w:val="center"/>
          </w:tcPr>
          <w:p w:rsidR="006451AF" w:rsidRPr="006451AF" w:rsidRDefault="006451AF" w:rsidP="006451AF">
            <w:pPr>
              <w:rPr>
                <w:rFonts w:ascii="Times" w:hAnsi="Times" w:cs="Times"/>
              </w:rPr>
            </w:pPr>
            <w:r w:rsidRPr="006451AF">
              <w:rPr>
                <w:rFonts w:ascii="Times" w:hAnsi="Times" w:cs="Times"/>
              </w:rPr>
              <w:fldChar w:fldCharType="begin" w:fldLock="1"/>
            </w:r>
            <w:r>
              <w:rPr>
                <w:rFonts w:ascii="Times" w:hAnsi="Times" w:cs="Times"/>
              </w:rPr>
              <w:instrText>ADDIN CSL_CITATION { "citationItems" : [ { "id" : "ITEM-1", "itemData" : { "author" : [ { "dropping-particle" : "", "family" : "Gray", "given" : "Sarah C", "non-dropping-particle" : "", "parse-names" : false, "suffix" : "" }, { "dropping-particle" : "", "family" : "Sears", "given" : "Whitney", "non-dropping-particle" : "", "parse-names" : false, "suffix" : "" }, { "dropping-particle" : "", "family" : "Kolupski", "given" : "Megan L", "non-dropping-particle" : "", "parse-names" : false, "suffix" : "" }, { "dropping-particle" : "", "family" : "Hastings", "given" : "Zoe C", "non-dropping-particle" : "", "parse-names" : false, "suffix" : "" }, { "dropping-particle" : "", "family" : "Przyuski", "given" : "Nicholas W", "non-dropping-particle" : "", "parse-names" : false, "suffix" : "" }, { "dropping-particle" : "", "family" : "Fox", "given" : "Michael D", "non-dropping-particle" : "", "parse-names" : false, "suffix" : "" }, { "dropping-particle" : "", "family" : "Degrood", "given" : "Amalia", "non-dropping-particle" : "", "parse-names" : false, "suffix" : "" } ], "container-title" : "12th International Coral Reef Symposium", "id" : "ITEM-1", "issue" : "July", "issued" : { "date-parts" : [ [ "2012" ] ] }, "page" : "9-13", "publisher-place" : "Cairns, Australia", "title" : "Factors affecting land-based sedimentation in coastal bays, US Virgin Islands", "type" : "paper-conference" }, "uris" : [ "http://www.mendeley.com/documents/?uuid=4a550275-a14b-4037-97ec-b971a87eb58c" ] } ], "mendeley" : { "formattedCitation" : "(Gray et al., 2012)", "manualFormatting" : "Gray et al., (2012)", "plainTextFormattedCitation" : "(Gray et al., 2012)", "previouslyFormattedCitation" : "(Gray et al., 2012)" }, "properties" : { "noteIndex" : 0 }, "schema" : "https://github.com/citation-style-language/schema/raw/master/csl-citation.json" }</w:instrText>
            </w:r>
            <w:r w:rsidRPr="006451AF">
              <w:rPr>
                <w:rFonts w:ascii="Times" w:hAnsi="Times" w:cs="Times"/>
              </w:rPr>
              <w:fldChar w:fldCharType="separate"/>
            </w:r>
            <w:r w:rsidRPr="006451AF">
              <w:rPr>
                <w:rFonts w:ascii="Times" w:hAnsi="Times" w:cs="Times"/>
                <w:noProof/>
              </w:rPr>
              <w:t>Gray et al., (2012)</w:t>
            </w:r>
            <w:r w:rsidRPr="006451AF">
              <w:rPr>
                <w:rFonts w:ascii="Times" w:hAnsi="Times" w:cs="Times"/>
              </w:rPr>
              <w:fldChar w:fldCharType="end"/>
            </w:r>
          </w:p>
        </w:tc>
        <w:tc>
          <w:tcPr>
            <w:tcW w:w="1204" w:type="dxa"/>
            <w:tcBorders>
              <w:top w:val="single" w:sz="4" w:space="0" w:color="A5A5A5" w:themeColor="accent3"/>
              <w:bottom w:val="single" w:sz="4" w:space="0" w:color="auto"/>
            </w:tcBorders>
            <w:vAlign w:val="center"/>
          </w:tcPr>
          <w:p w:rsidR="006451AF" w:rsidRPr="006451AF" w:rsidRDefault="006451AF" w:rsidP="006451AF">
            <w:pPr>
              <w:jc w:val="center"/>
              <w:rPr>
                <w:rFonts w:ascii="Times" w:hAnsi="Times" w:cs="Times"/>
              </w:rPr>
            </w:pPr>
            <w:r w:rsidRPr="006451AF">
              <w:rPr>
                <w:rFonts w:ascii="Times" w:hAnsi="Times" w:cs="Times"/>
              </w:rPr>
              <w:t>St. John, USVI</w:t>
            </w:r>
          </w:p>
        </w:tc>
        <w:tc>
          <w:tcPr>
            <w:tcW w:w="1031" w:type="dxa"/>
            <w:tcBorders>
              <w:top w:val="single" w:sz="4" w:space="0" w:color="A5A5A5" w:themeColor="accent3"/>
              <w:bottom w:val="single" w:sz="4" w:space="0" w:color="auto"/>
            </w:tcBorders>
            <w:vAlign w:val="center"/>
          </w:tcPr>
          <w:p w:rsidR="006451AF" w:rsidRPr="006451AF" w:rsidRDefault="006451AF" w:rsidP="006451AF">
            <w:pPr>
              <w:jc w:val="center"/>
              <w:rPr>
                <w:rFonts w:ascii="Times" w:hAnsi="Times" w:cs="Times"/>
              </w:rPr>
            </w:pPr>
            <w:r w:rsidRPr="006451AF">
              <w:rPr>
                <w:rFonts w:ascii="Times" w:hAnsi="Times" w:cs="Times"/>
              </w:rPr>
              <w:t>11</w:t>
            </w:r>
          </w:p>
        </w:tc>
        <w:tc>
          <w:tcPr>
            <w:tcW w:w="1797" w:type="dxa"/>
            <w:tcBorders>
              <w:top w:val="single" w:sz="4" w:space="0" w:color="A5A5A5" w:themeColor="accent3"/>
              <w:bottom w:val="single" w:sz="4" w:space="0" w:color="auto"/>
            </w:tcBorders>
            <w:vAlign w:val="center"/>
          </w:tcPr>
          <w:p w:rsidR="006451AF" w:rsidRPr="006451AF" w:rsidRDefault="006451AF" w:rsidP="006451AF">
            <w:pPr>
              <w:jc w:val="center"/>
              <w:rPr>
                <w:rFonts w:ascii="Times" w:hAnsi="Times" w:cs="Times"/>
              </w:rPr>
            </w:pPr>
            <w:r w:rsidRPr="006451AF">
              <w:rPr>
                <w:rFonts w:ascii="Times" w:hAnsi="Times" w:cs="Times"/>
              </w:rPr>
              <w:t>26 d</w:t>
            </w:r>
          </w:p>
        </w:tc>
        <w:tc>
          <w:tcPr>
            <w:tcW w:w="1421" w:type="dxa"/>
            <w:tcBorders>
              <w:top w:val="single" w:sz="4" w:space="0" w:color="A5A5A5" w:themeColor="accent3"/>
              <w:bottom w:val="single" w:sz="4" w:space="0" w:color="auto"/>
            </w:tcBorders>
            <w:vAlign w:val="center"/>
          </w:tcPr>
          <w:p w:rsidR="006451AF" w:rsidRPr="006451AF" w:rsidRDefault="006451AF" w:rsidP="006451AF">
            <w:pPr>
              <w:jc w:val="center"/>
              <w:rPr>
                <w:rFonts w:ascii="Times" w:hAnsi="Times" w:cs="Times"/>
              </w:rPr>
            </w:pPr>
            <w:r w:rsidRPr="006451AF">
              <w:rPr>
                <w:rFonts w:ascii="Times" w:hAnsi="Times" w:cs="Times"/>
              </w:rPr>
              <w:t>3-5 year</w:t>
            </w:r>
          </w:p>
        </w:tc>
        <w:tc>
          <w:tcPr>
            <w:tcW w:w="2190" w:type="dxa"/>
            <w:tcBorders>
              <w:top w:val="single" w:sz="4" w:space="0" w:color="A5A5A5" w:themeColor="accent3"/>
              <w:bottom w:val="single" w:sz="4" w:space="0" w:color="auto"/>
            </w:tcBorders>
            <w:vAlign w:val="center"/>
          </w:tcPr>
          <w:p w:rsidR="006451AF" w:rsidRPr="006451AF" w:rsidRDefault="006451AF" w:rsidP="006451AF">
            <w:pPr>
              <w:jc w:val="center"/>
              <w:rPr>
                <w:rFonts w:ascii="Times" w:hAnsi="Times" w:cs="Times"/>
              </w:rPr>
            </w:pPr>
            <w:r w:rsidRPr="006451AF">
              <w:rPr>
                <w:rFonts w:ascii="Times" w:hAnsi="Times" w:cs="Times"/>
              </w:rPr>
              <w:t>1 to &gt;5</w:t>
            </w:r>
            <w:r>
              <w:rPr>
                <w:rFonts w:ascii="Times" w:hAnsi="Times" w:cs="Times"/>
              </w:rPr>
              <w:t>,</w:t>
            </w:r>
            <w:r w:rsidRPr="006451AF">
              <w:rPr>
                <w:rFonts w:ascii="Times" w:hAnsi="Times" w:cs="Times"/>
              </w:rPr>
              <w:t>000 (Means ranged from 0-400) **terrigenous fraction only</w:t>
            </w:r>
          </w:p>
        </w:tc>
        <w:tc>
          <w:tcPr>
            <w:tcW w:w="1927" w:type="dxa"/>
            <w:tcBorders>
              <w:top w:val="single" w:sz="4" w:space="0" w:color="A5A5A5" w:themeColor="accent3"/>
              <w:bottom w:val="single" w:sz="4" w:space="0" w:color="auto"/>
            </w:tcBorders>
            <w:vAlign w:val="center"/>
          </w:tcPr>
          <w:p w:rsidR="006451AF" w:rsidRPr="006451AF" w:rsidRDefault="006451AF" w:rsidP="006451AF">
            <w:pPr>
              <w:jc w:val="center"/>
              <w:rPr>
                <w:rFonts w:ascii="Times" w:hAnsi="Times" w:cs="Times"/>
              </w:rPr>
            </w:pPr>
            <w:r>
              <w:rPr>
                <w:rFonts w:ascii="Times" w:hAnsi="Times" w:cs="Times"/>
              </w:rPr>
              <w:t>-</w:t>
            </w:r>
          </w:p>
        </w:tc>
      </w:tr>
      <w:tr w:rsidR="00CB1FD6" w:rsidRPr="006451AF" w:rsidTr="006451AF">
        <w:tc>
          <w:tcPr>
            <w:tcW w:w="1598" w:type="dxa"/>
            <w:tcBorders>
              <w:top w:val="single" w:sz="4" w:space="0" w:color="A5A5A5" w:themeColor="accent3"/>
              <w:bottom w:val="single" w:sz="4" w:space="0" w:color="auto"/>
            </w:tcBorders>
            <w:vAlign w:val="center"/>
          </w:tcPr>
          <w:p w:rsidR="00CB1FD6" w:rsidRPr="006451AF" w:rsidRDefault="00CB1FD6" w:rsidP="006451AF">
            <w:pPr>
              <w:rPr>
                <w:rFonts w:ascii="Times" w:hAnsi="Times" w:cs="Times"/>
              </w:rPr>
            </w:pPr>
            <w:r>
              <w:rPr>
                <w:rFonts w:ascii="Times" w:hAnsi="Times" w:cs="Times"/>
              </w:rPr>
              <w:fldChar w:fldCharType="begin" w:fldLock="1"/>
            </w:r>
            <w:r>
              <w:rPr>
                <w:rFonts w:ascii="Times" w:hAnsi="Times" w:cs="Times"/>
              </w:rPr>
              <w:instrText>ADDIN CSL_CITATION { "citationItems" : [ { "id" : "ITEM-1", "itemData" : { "DOI" : "10.1007/s11852-013-0247-2", "ISBN" : "1400-0350", "ISSN" : "14000350", "abstract" : "Some major anthropogenic stressors have impacts that occur at infrequent, unpredictable intervals; their effects are difficult to evaluate in a timely manner unless space is substituted for time. In this paper we substitute space for time along an environmental gradient that aliases a predicted temporal response to habitat restoration. We herein describe a 3-year study that combined field experiments and descriptive surveys of a fringing reef at Pelekane Bay, west Hawaii, along a sedimentation gradient from an intermittent stream that episodically discharges from the Kohala Watershed. This degraded watershed is now being restored by grazer exclusion, habitat engineering, and replanting of native flora. Sediment traps, arrays of settling plates, marked branches of endemic finger coral Porites compressa, together with surveys of benthic composition, densities of recruits of economically important parrotfishes, and the relative use of corals by fish recruits, were evaluated during the summers of 2010-2012. As expected, sediment accumulation rate decreased while all coral metrics and the densities, use, and preference of corals by recruit fishes generally increased with distance from the point of sediment discharge. Proportionate abundances of recruit through large adult-sized parrotfishes, overlayed on distributions (mapped by separate study) of sediment impact, allowed us to estimate, as an example, the amount and value of parrotfish rersources that are being unrealized because of sediment impacts on recruit parrotfish. Our Pelekane Bay case study thus illustrates how \"space-for-time\" substitution can be efficiently applied in an evaluation of potential watershed reclamation of reef resources-at a time considerably prior to likely temporal responses of the reef and its resources to watershed restoration.", "author" : [ { "dropping-particle" : "", "family" : "DeMartini", "given" : "E.", "non-dropping-particle" : "", "parse-names" : false, "suffix" : "" }, { "dropping-particle" : "", "family" : "Jokiel", "given" : "P.", "non-dropping-particle" : "", "parse-names" : false, "suffix" : "" }, { "dropping-particle" : "", "family" : "Beets", "given" : "J.", "non-dropping-particle" : "", "parse-names" : false, "suffix" : "" }, { "dropping-particle" : "", "family" : "Stender", "given" : "Y.", "non-dropping-particle" : "", "parse-names" : false, "suffix" : "" }, { "dropping-particle" : "", "family" : "Storlazzi", "given" : "C.", "non-dropping-particle" : "", "parse-names" : false, "suffix" : "" }, { "dropping-particle" : "", "family" : "Minton", "given" : "D.", "non-dropping-particle" : "", "parse-names" : false, "suffix" : "" }, { "dropping-particle" : "", "family" : "Conklin", "given" : "E.", "non-dropping-particle" : "", "parse-names" : false, "suffix" : "" } ], "container-title" : "Journal of Coastal Conservation", "id" : "ITEM-1", "issue" : "3", "issued" : { "date-parts" : [ [ "2013" ] ] }, "page" : "417-429", "title" : "Terrigenous sediment impact on coral recruitment and growth affects the use of coral habitat by recruit parrotfishes (F. Scaridae)", "type" : "article-journal", "volume" : "17" }, "uris" : [ "http://www.mendeley.com/documents/?uuid=cd5ef868-f2b1-4e76-bd64-f246ed30b0c1" ] } ], "mendeley" : { "formattedCitation" : "(DeMartini et al., 2013)", "plainTextFormattedCitation" : "(DeMartini et al., 2013)" }, "properties" : { "noteIndex" : 0 }, "schema" : "https://github.com/citation-style-language/schema/raw/master/csl-citation.json" }</w:instrText>
            </w:r>
            <w:r>
              <w:rPr>
                <w:rFonts w:ascii="Times" w:hAnsi="Times" w:cs="Times"/>
              </w:rPr>
              <w:fldChar w:fldCharType="separate"/>
            </w:r>
            <w:r w:rsidRPr="00CB1FD6">
              <w:rPr>
                <w:rFonts w:ascii="Times" w:hAnsi="Times" w:cs="Times"/>
                <w:noProof/>
              </w:rPr>
              <w:t>(DeMartini et al., 2013)</w:t>
            </w:r>
            <w:r>
              <w:rPr>
                <w:rFonts w:ascii="Times" w:hAnsi="Times" w:cs="Times"/>
              </w:rPr>
              <w:fldChar w:fldCharType="end"/>
            </w:r>
          </w:p>
        </w:tc>
        <w:tc>
          <w:tcPr>
            <w:tcW w:w="1204" w:type="dxa"/>
            <w:tcBorders>
              <w:top w:val="single" w:sz="4" w:space="0" w:color="A5A5A5" w:themeColor="accent3"/>
              <w:bottom w:val="single" w:sz="4" w:space="0" w:color="auto"/>
            </w:tcBorders>
            <w:vAlign w:val="center"/>
          </w:tcPr>
          <w:p w:rsidR="00CB1FD6" w:rsidRPr="006451AF" w:rsidRDefault="00CB1FD6" w:rsidP="006451AF">
            <w:pPr>
              <w:jc w:val="center"/>
              <w:rPr>
                <w:rFonts w:ascii="Times" w:hAnsi="Times" w:cs="Times"/>
              </w:rPr>
            </w:pPr>
            <w:proofErr w:type="spellStart"/>
            <w:r>
              <w:rPr>
                <w:rFonts w:ascii="Times" w:hAnsi="Times" w:cs="Times"/>
              </w:rPr>
              <w:t>Pelekane</w:t>
            </w:r>
            <w:proofErr w:type="spellEnd"/>
            <w:r>
              <w:rPr>
                <w:rFonts w:ascii="Times" w:hAnsi="Times" w:cs="Times"/>
              </w:rPr>
              <w:t xml:space="preserve"> Bay, Hawaii</w:t>
            </w:r>
          </w:p>
        </w:tc>
        <w:tc>
          <w:tcPr>
            <w:tcW w:w="1031" w:type="dxa"/>
            <w:tcBorders>
              <w:top w:val="single" w:sz="4" w:space="0" w:color="A5A5A5" w:themeColor="accent3"/>
              <w:bottom w:val="single" w:sz="4" w:space="0" w:color="auto"/>
            </w:tcBorders>
            <w:vAlign w:val="center"/>
          </w:tcPr>
          <w:p w:rsidR="00CB1FD6" w:rsidRPr="006451AF" w:rsidRDefault="00CB1FD6" w:rsidP="006451AF">
            <w:pPr>
              <w:jc w:val="center"/>
              <w:rPr>
                <w:rFonts w:ascii="Times" w:hAnsi="Times" w:cs="Times"/>
              </w:rPr>
            </w:pPr>
            <w:r>
              <w:rPr>
                <w:rFonts w:ascii="Times" w:hAnsi="Times" w:cs="Times"/>
              </w:rPr>
              <w:t>6</w:t>
            </w:r>
          </w:p>
        </w:tc>
        <w:tc>
          <w:tcPr>
            <w:tcW w:w="1797" w:type="dxa"/>
            <w:tcBorders>
              <w:top w:val="single" w:sz="4" w:space="0" w:color="A5A5A5" w:themeColor="accent3"/>
              <w:bottom w:val="single" w:sz="4" w:space="0" w:color="auto"/>
            </w:tcBorders>
            <w:vAlign w:val="center"/>
          </w:tcPr>
          <w:p w:rsidR="00CB1FD6" w:rsidRPr="006451AF" w:rsidRDefault="00CB1FD6" w:rsidP="006451AF">
            <w:pPr>
              <w:jc w:val="center"/>
              <w:rPr>
                <w:rFonts w:ascii="Times" w:hAnsi="Times" w:cs="Times"/>
              </w:rPr>
            </w:pPr>
            <w:r>
              <w:rPr>
                <w:rFonts w:ascii="Times" w:hAnsi="Times" w:cs="Times"/>
              </w:rPr>
              <w:t>&lt;1-12 weeks (opportunistic)</w:t>
            </w:r>
          </w:p>
        </w:tc>
        <w:tc>
          <w:tcPr>
            <w:tcW w:w="1421" w:type="dxa"/>
            <w:tcBorders>
              <w:top w:val="single" w:sz="4" w:space="0" w:color="A5A5A5" w:themeColor="accent3"/>
              <w:bottom w:val="single" w:sz="4" w:space="0" w:color="auto"/>
            </w:tcBorders>
            <w:vAlign w:val="center"/>
          </w:tcPr>
          <w:p w:rsidR="00CB1FD6" w:rsidRPr="006451AF" w:rsidRDefault="00CB1FD6" w:rsidP="006451AF">
            <w:pPr>
              <w:jc w:val="center"/>
              <w:rPr>
                <w:rFonts w:ascii="Times" w:hAnsi="Times" w:cs="Times"/>
              </w:rPr>
            </w:pPr>
            <w:r>
              <w:rPr>
                <w:rFonts w:ascii="Times" w:hAnsi="Times" w:cs="Times"/>
              </w:rPr>
              <w:t>1-2 years? Hard to tell</w:t>
            </w:r>
          </w:p>
        </w:tc>
        <w:tc>
          <w:tcPr>
            <w:tcW w:w="2190" w:type="dxa"/>
            <w:tcBorders>
              <w:top w:val="single" w:sz="4" w:space="0" w:color="A5A5A5" w:themeColor="accent3"/>
              <w:bottom w:val="single" w:sz="4" w:space="0" w:color="auto"/>
            </w:tcBorders>
            <w:vAlign w:val="center"/>
          </w:tcPr>
          <w:p w:rsidR="00CB1FD6" w:rsidRPr="008D1588" w:rsidRDefault="008D1588" w:rsidP="008D1588">
            <w:pPr>
              <w:jc w:val="center"/>
              <w:rPr>
                <w:rFonts w:ascii="Times" w:hAnsi="Times" w:cs="Times"/>
              </w:rPr>
            </w:pPr>
            <w:bookmarkStart w:id="0" w:name="_GoBack"/>
            <w:bookmarkEnd w:id="0"/>
            <w:r>
              <w:rPr>
                <w:rFonts w:ascii="Times" w:hAnsi="Times" w:cs="Times"/>
              </w:rPr>
              <w:t xml:space="preserve">0 </w:t>
            </w:r>
            <w:r w:rsidRPr="008D1588">
              <w:rPr>
                <w:rFonts w:ascii="Times" w:hAnsi="Times" w:cs="Times"/>
              </w:rPr>
              <w:t>to &gt;</w:t>
            </w:r>
            <w:r w:rsidR="00C55FA0" w:rsidRPr="008D1588">
              <w:rPr>
                <w:rFonts w:ascii="Times" w:hAnsi="Times" w:cs="Times"/>
              </w:rPr>
              <w:t>30</w:t>
            </w:r>
            <w:r w:rsidRPr="008D1588">
              <w:rPr>
                <w:rFonts w:ascii="Times" w:hAnsi="Times" w:cs="Times"/>
              </w:rPr>
              <w:t>,000</w:t>
            </w:r>
          </w:p>
        </w:tc>
        <w:tc>
          <w:tcPr>
            <w:tcW w:w="1927" w:type="dxa"/>
            <w:tcBorders>
              <w:top w:val="single" w:sz="4" w:space="0" w:color="A5A5A5" w:themeColor="accent3"/>
              <w:bottom w:val="single" w:sz="4" w:space="0" w:color="auto"/>
            </w:tcBorders>
            <w:vAlign w:val="center"/>
          </w:tcPr>
          <w:p w:rsidR="00CB1FD6" w:rsidRDefault="00CB1FD6" w:rsidP="006451AF">
            <w:pPr>
              <w:jc w:val="center"/>
              <w:rPr>
                <w:rFonts w:ascii="Times" w:hAnsi="Times" w:cs="Times"/>
              </w:rPr>
            </w:pPr>
          </w:p>
        </w:tc>
      </w:tr>
      <w:tr w:rsidR="006451AF" w:rsidRPr="006451AF" w:rsidTr="006451AF">
        <w:tc>
          <w:tcPr>
            <w:tcW w:w="11168" w:type="dxa"/>
            <w:gridSpan w:val="7"/>
            <w:tcBorders>
              <w:top w:val="single" w:sz="4" w:space="0" w:color="auto"/>
              <w:bottom w:val="double" w:sz="4" w:space="0" w:color="auto"/>
            </w:tcBorders>
          </w:tcPr>
          <w:p w:rsidR="006451AF" w:rsidRPr="006451AF" w:rsidRDefault="006451AF" w:rsidP="006451AF">
            <w:pPr>
              <w:rPr>
                <w:rFonts w:ascii="Times" w:hAnsi="Times" w:cs="Times"/>
              </w:rPr>
            </w:pPr>
            <w:r>
              <w:rPr>
                <w:rFonts w:ascii="Times" w:hAnsi="Times" w:cs="Times"/>
              </w:rPr>
              <w:t xml:space="preserve">a. </w:t>
            </w:r>
            <w:r w:rsidRPr="006451AF">
              <w:rPr>
                <w:rFonts w:ascii="Times" w:hAnsi="Times" w:cs="Times"/>
              </w:rPr>
              <w:t>STT = Simple Tube Trap</w:t>
            </w:r>
          </w:p>
          <w:p w:rsidR="006451AF" w:rsidRPr="006451AF" w:rsidRDefault="006451AF" w:rsidP="006451AF">
            <w:pPr>
              <w:rPr>
                <w:rFonts w:ascii="Times" w:hAnsi="Times" w:cs="Times"/>
              </w:rPr>
            </w:pPr>
            <w:r>
              <w:rPr>
                <w:rFonts w:ascii="Times" w:hAnsi="Times" w:cs="Times"/>
              </w:rPr>
              <w:t xml:space="preserve">b. </w:t>
            </w:r>
            <w:r w:rsidRPr="006451AF">
              <w:rPr>
                <w:rFonts w:ascii="Times" w:hAnsi="Times" w:cs="Times"/>
              </w:rPr>
              <w:t>RST = Rotating Tube Trap</w:t>
            </w:r>
          </w:p>
        </w:tc>
      </w:tr>
    </w:tbl>
    <w:p w:rsidR="00C33BE3" w:rsidRDefault="00C33BE3"/>
    <w:p w:rsidR="00BF1B76" w:rsidRDefault="00BF1B76"/>
    <w:p w:rsidR="007A1CDB" w:rsidRDefault="007A1CDB"/>
    <w:p w:rsidR="007A1CDB" w:rsidRDefault="007A1CDB"/>
    <w:p w:rsidR="007A1CDB" w:rsidRDefault="007A1CDB"/>
    <w:p w:rsidR="00CB1FD6" w:rsidRPr="00CB1FD6" w:rsidRDefault="00BC60C7">
      <w:pPr>
        <w:pStyle w:val="NormalWeb"/>
        <w:ind w:left="480" w:hanging="480"/>
        <w:divId w:val="290289006"/>
        <w:rPr>
          <w:rFonts w:ascii="Calibri" w:hAnsi="Calibri"/>
          <w:noProof/>
          <w:sz w:val="22"/>
        </w:rPr>
      </w:pPr>
      <w:r>
        <w:fldChar w:fldCharType="begin" w:fldLock="1"/>
      </w:r>
      <w:r>
        <w:instrText xml:space="preserve">ADDIN Mendeley Bibliography CSL_BIBLIOGRAPHY </w:instrText>
      </w:r>
      <w:r>
        <w:fldChar w:fldCharType="separate"/>
      </w:r>
      <w:r w:rsidR="00CB1FD6" w:rsidRPr="00CB1FD6">
        <w:rPr>
          <w:rFonts w:ascii="Calibri" w:hAnsi="Calibri"/>
          <w:noProof/>
          <w:sz w:val="22"/>
        </w:rPr>
        <w:t>Bothner, M.H., Reynolds, R.L., Casso, M.A., Storlazzi, C.D., Field, M.E., 2006. Quantity, composition, and source of sediment collected in sediment traps along the fringing coral reef off Molokai, Hawaii. Mar. Pollut. Bull. 52, 1034–47. doi:10.1016/j.marpolbul.2006.01.008</w:t>
      </w:r>
    </w:p>
    <w:p w:rsidR="00CB1FD6" w:rsidRPr="00CB1FD6" w:rsidRDefault="00CB1FD6">
      <w:pPr>
        <w:pStyle w:val="NormalWeb"/>
        <w:ind w:left="480" w:hanging="480"/>
        <w:divId w:val="290289006"/>
        <w:rPr>
          <w:rFonts w:ascii="Calibri" w:hAnsi="Calibri"/>
          <w:noProof/>
          <w:sz w:val="22"/>
        </w:rPr>
      </w:pPr>
      <w:r w:rsidRPr="00CB1FD6">
        <w:rPr>
          <w:rFonts w:ascii="Calibri" w:hAnsi="Calibri"/>
          <w:noProof/>
          <w:sz w:val="22"/>
        </w:rPr>
        <w:t>DeMartini, E., Jokiel, P., Beets, J., Stender, Y., Storlazzi, C., Minton, D., Conklin, E., 2013. Terrigenous sediment impact on coral recruitment and growth affects the use of coral habitat by recruit parrotfishes (F. Scaridae). J. Coast. Conserv. 17, 417–429. doi:10.1007/s11852-013-0247-2</w:t>
      </w:r>
    </w:p>
    <w:p w:rsidR="00CB1FD6" w:rsidRPr="00CB1FD6" w:rsidRDefault="00CB1FD6">
      <w:pPr>
        <w:pStyle w:val="NormalWeb"/>
        <w:ind w:left="480" w:hanging="480"/>
        <w:divId w:val="290289006"/>
        <w:rPr>
          <w:rFonts w:ascii="Calibri" w:hAnsi="Calibri"/>
          <w:noProof/>
          <w:sz w:val="22"/>
        </w:rPr>
      </w:pPr>
      <w:r w:rsidRPr="00CB1FD6">
        <w:rPr>
          <w:rFonts w:ascii="Calibri" w:hAnsi="Calibri"/>
          <w:noProof/>
          <w:sz w:val="22"/>
        </w:rPr>
        <w:t>Field, M.E., Chezar, H., Storlazzi, C.D., 2012. SedPods: a low-cost coral proxy for measuring net sedimentation. Coral Reefs 1–5.</w:t>
      </w:r>
    </w:p>
    <w:p w:rsidR="00CB1FD6" w:rsidRPr="00CB1FD6" w:rsidRDefault="00CB1FD6">
      <w:pPr>
        <w:pStyle w:val="NormalWeb"/>
        <w:ind w:left="480" w:hanging="480"/>
        <w:divId w:val="290289006"/>
        <w:rPr>
          <w:rFonts w:ascii="Calibri" w:hAnsi="Calibri"/>
          <w:noProof/>
          <w:sz w:val="22"/>
        </w:rPr>
      </w:pPr>
      <w:r w:rsidRPr="00CB1FD6">
        <w:rPr>
          <w:rFonts w:ascii="Calibri" w:hAnsi="Calibri"/>
          <w:noProof/>
          <w:sz w:val="22"/>
        </w:rPr>
        <w:t>Gray, S.C., Sears, W., Kolupski, M.L., Hastings, Z.C., Przyuski, N.W., Fox, M.D., Degrood, A., 2012. Factors affecting land-based sedimentation in coastal bays, US Virgin Islands, in: 12th International Coral Reef Symposium. Cairns, Australia, pp. 9–13.</w:t>
      </w:r>
    </w:p>
    <w:p w:rsidR="00CB1FD6" w:rsidRPr="00CB1FD6" w:rsidRDefault="00CB1FD6">
      <w:pPr>
        <w:pStyle w:val="NormalWeb"/>
        <w:ind w:left="480" w:hanging="480"/>
        <w:divId w:val="290289006"/>
        <w:rPr>
          <w:rFonts w:ascii="Calibri" w:hAnsi="Calibri"/>
          <w:noProof/>
          <w:sz w:val="22"/>
        </w:rPr>
      </w:pPr>
      <w:r w:rsidRPr="00CB1FD6">
        <w:rPr>
          <w:rFonts w:ascii="Calibri" w:hAnsi="Calibri"/>
          <w:noProof/>
          <w:sz w:val="22"/>
        </w:rPr>
        <w:t>Storlazzi, C.D., Field, M.E., Bothner, M.H., Presto, M.K., Draut, A.E., 2009. Sedimentation processes in a coral reef embayment: Hanalei Bay, Kauai. Mar. Geol. 264, 140–151. doi:10.1016/j.margeo.2009.05.002</w:t>
      </w:r>
    </w:p>
    <w:p w:rsidR="00BF1B76" w:rsidRDefault="00BC60C7">
      <w:r>
        <w:fldChar w:fldCharType="end"/>
      </w:r>
    </w:p>
    <w:sectPr w:rsidR="00BF1B76" w:rsidSect="003769E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B42AD"/>
    <w:multiLevelType w:val="hybridMultilevel"/>
    <w:tmpl w:val="D2E63A50"/>
    <w:lvl w:ilvl="0" w:tplc="03B2364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42E2E"/>
    <w:multiLevelType w:val="hybridMultilevel"/>
    <w:tmpl w:val="68424DA6"/>
    <w:lvl w:ilvl="0" w:tplc="6A5CA96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060EE"/>
    <w:multiLevelType w:val="hybridMultilevel"/>
    <w:tmpl w:val="AEAA26E6"/>
    <w:lvl w:ilvl="0" w:tplc="BB1A48D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087029"/>
    <w:multiLevelType w:val="hybridMultilevel"/>
    <w:tmpl w:val="2F6A5130"/>
    <w:lvl w:ilvl="0" w:tplc="28BC42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4C2"/>
    <w:rsid w:val="00036F7B"/>
    <w:rsid w:val="0030157B"/>
    <w:rsid w:val="003769E0"/>
    <w:rsid w:val="00393703"/>
    <w:rsid w:val="004D700F"/>
    <w:rsid w:val="004E6922"/>
    <w:rsid w:val="005F04C2"/>
    <w:rsid w:val="006451AF"/>
    <w:rsid w:val="00693F64"/>
    <w:rsid w:val="007A1CDB"/>
    <w:rsid w:val="007E0B9A"/>
    <w:rsid w:val="00810173"/>
    <w:rsid w:val="008B741A"/>
    <w:rsid w:val="008D1588"/>
    <w:rsid w:val="009C155D"/>
    <w:rsid w:val="00B80159"/>
    <w:rsid w:val="00B84781"/>
    <w:rsid w:val="00BC60C7"/>
    <w:rsid w:val="00BF1B76"/>
    <w:rsid w:val="00C33BE3"/>
    <w:rsid w:val="00C55FA0"/>
    <w:rsid w:val="00CB1FD6"/>
    <w:rsid w:val="00CB7715"/>
    <w:rsid w:val="00D81A79"/>
    <w:rsid w:val="00DF1A6D"/>
    <w:rsid w:val="00E214FB"/>
    <w:rsid w:val="00F6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CC5B0-8C77-4DA6-9DC5-9CB14621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C60C7"/>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3769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9E0"/>
    <w:rPr>
      <w:rFonts w:ascii="Segoe UI" w:hAnsi="Segoe UI" w:cs="Segoe UI"/>
      <w:sz w:val="18"/>
      <w:szCs w:val="18"/>
    </w:rPr>
  </w:style>
  <w:style w:type="paragraph" w:styleId="ListParagraph">
    <w:name w:val="List Paragraph"/>
    <w:basedOn w:val="Normal"/>
    <w:uiPriority w:val="34"/>
    <w:qFormat/>
    <w:rsid w:val="00645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352857">
      <w:bodyDiv w:val="1"/>
      <w:marLeft w:val="0"/>
      <w:marRight w:val="0"/>
      <w:marTop w:val="0"/>
      <w:marBottom w:val="0"/>
      <w:divBdr>
        <w:top w:val="none" w:sz="0" w:space="0" w:color="auto"/>
        <w:left w:val="none" w:sz="0" w:space="0" w:color="auto"/>
        <w:bottom w:val="none" w:sz="0" w:space="0" w:color="auto"/>
        <w:right w:val="none" w:sz="0" w:space="0" w:color="auto"/>
      </w:divBdr>
      <w:divsChild>
        <w:div w:id="243534149">
          <w:marLeft w:val="0"/>
          <w:marRight w:val="0"/>
          <w:marTop w:val="0"/>
          <w:marBottom w:val="0"/>
          <w:divBdr>
            <w:top w:val="none" w:sz="0" w:space="0" w:color="auto"/>
            <w:left w:val="none" w:sz="0" w:space="0" w:color="auto"/>
            <w:bottom w:val="none" w:sz="0" w:space="0" w:color="auto"/>
            <w:right w:val="none" w:sz="0" w:space="0" w:color="auto"/>
          </w:divBdr>
          <w:divsChild>
            <w:div w:id="535699225">
              <w:marLeft w:val="0"/>
              <w:marRight w:val="0"/>
              <w:marTop w:val="0"/>
              <w:marBottom w:val="0"/>
              <w:divBdr>
                <w:top w:val="none" w:sz="0" w:space="0" w:color="auto"/>
                <w:left w:val="none" w:sz="0" w:space="0" w:color="auto"/>
                <w:bottom w:val="none" w:sz="0" w:space="0" w:color="auto"/>
                <w:right w:val="none" w:sz="0" w:space="0" w:color="auto"/>
              </w:divBdr>
              <w:divsChild>
                <w:div w:id="1902671837">
                  <w:marLeft w:val="0"/>
                  <w:marRight w:val="0"/>
                  <w:marTop w:val="0"/>
                  <w:marBottom w:val="0"/>
                  <w:divBdr>
                    <w:top w:val="none" w:sz="0" w:space="0" w:color="auto"/>
                    <w:left w:val="none" w:sz="0" w:space="0" w:color="auto"/>
                    <w:bottom w:val="none" w:sz="0" w:space="0" w:color="auto"/>
                    <w:right w:val="none" w:sz="0" w:space="0" w:color="auto"/>
                  </w:divBdr>
                  <w:divsChild>
                    <w:div w:id="1505705976">
                      <w:marLeft w:val="0"/>
                      <w:marRight w:val="0"/>
                      <w:marTop w:val="0"/>
                      <w:marBottom w:val="0"/>
                      <w:divBdr>
                        <w:top w:val="none" w:sz="0" w:space="0" w:color="auto"/>
                        <w:left w:val="none" w:sz="0" w:space="0" w:color="auto"/>
                        <w:bottom w:val="none" w:sz="0" w:space="0" w:color="auto"/>
                        <w:right w:val="none" w:sz="0" w:space="0" w:color="auto"/>
                      </w:divBdr>
                      <w:divsChild>
                        <w:div w:id="2902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60095-BDC6-4B74-9A03-1AA25D986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6</cp:revision>
  <cp:lastPrinted>2016-03-26T23:46:00Z</cp:lastPrinted>
  <dcterms:created xsi:type="dcterms:W3CDTF">2016-03-26T23:44:00Z</dcterms:created>
  <dcterms:modified xsi:type="dcterms:W3CDTF">2016-03-31T00:32:00Z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