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pBdr>
          <w:bottom w:val="single" w:sz="8" w:space="4" w:color="4a90d9"/>
        </w:pBdr>
      </w:pPr>
      <w:r>
        <w:rPr>
          <w:rFonts w:ascii="Microsoft YaHei" w:hAnsi="Microsoft YaHei" w:eastAsia="Microsoft YaHei"/>
          <w:b/>
          <w:color w:val="1A1A1A"/>
          <w:sz w:val="36"/>
        </w:rPr>
        <w:t>MindMatch 项目技术文档</w:t>
      </w:r>
    </w:p>
    <w:p>
      <w:pPr>
        <w:spacing w:before="360" w:after="160"/>
      </w:pPr>
      <w:r>
        <w:rPr>
          <w:color w:val="4A90D9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2C3E50"/>
          <w:sz w:val="28"/>
        </w:rPr>
        <w:t>一、问题诊断与方案设计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1.1 问题诊断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根据近年权威数据显示，当代中国年轻人面临职业选择困境：73% 大学生困惑方向，44% 毕业生后悔选专业，35% 学非所用，48% 跳槽后悔，职场满意度仅 2.72/5。这一现象背后是</w:t>
      </w:r>
      <w:r>
        <w:rPr>
          <w:rFonts w:ascii="Microsoft YaHei" w:hAnsi="Microsoft YaHei" w:eastAsia="Microsoft YaHei"/>
          <w:b/>
        </w:rPr>
        <w:t>自我认知的普遍缺失</w:t>
      </w:r>
      <w:r>
        <w:rPr>
          <w:rFonts w:ascii="Microsoft YaHei" w:hAnsi="Microsoft YaHei" w:eastAsia="Microsoft YaHei"/>
        </w:rPr>
        <w:t>——导致职业决策带有盲目性。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现有测评工具（MBTI、霍兰德等）依赖自陈量表，存在社会赞许性偏差，且仅输出标签，无法捕捉真实行为模式，难以为职业决策提供充分依据。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1.2 方案设计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  <w:b/>
        </w:rPr>
        <w:t>目标人群</w:t>
      </w:r>
      <w:r>
        <w:rPr>
          <w:rFonts w:ascii="Microsoft YaHei" w:hAnsi="Microsoft YaHei" w:eastAsia="Microsoft YaHei"/>
        </w:rPr>
        <w:t>：处于职业规划窗口期的在校大学生，以及有转行探索需求的在职人员。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  <w:b/>
        </w:rPr>
        <w:t>使用场景</w:t>
      </w:r>
      <w:r>
        <w:rPr>
          <w:rFonts w:ascii="Microsoft YaHei" w:hAnsi="Microsoft YaHei" w:eastAsia="Microsoft YaHei"/>
        </w:rPr>
        <w:t>：校招批量初筛方向匹配、企业内部转岗评估、职业咨询师辅助工具。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MindMatch 通过 4 款小游戏采集心理特质及决策过程量，匹配算法聚焦大方向，智能体结合多源数据引导用户自省，给出更准确的职业方向建议。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设计定位：</w:t>
      </w:r>
      <w:r>
        <w:rPr>
          <w:rFonts w:ascii="Microsoft YaHei" w:hAnsi="Microsoft YaHei" w:eastAsia="Microsoft YaHei"/>
          <w:b/>
        </w:rPr>
        <w:t>基于心理学框架，通过游戏化过程数据采集行为模式，结合大模型多源数据，引导用户自我探索、验证职业方向并提供可执行的行动建议。</w:t>
      </w:r>
    </w:p>
    <w:p>
      <w:pPr>
        <w:spacing w:before="0" w:after="0"/>
        <w:ind w:left="567"/>
      </w:pPr>
      <w:r>
        <w:rPr>
          <w:rFonts w:ascii="Courier New" w:hAnsi="Courier New"/>
          <w:color w:val="2C3E50"/>
          <w:sz w:val="20"/>
        </w:rPr>
        <w:t>4 款游戏采集 → 14 维画像 + 行为叙事 → 肖像页 + 职业匹配 → Agent 对话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  <w:b/>
        </w:rPr>
        <w:t>核心原则：通过心理学和数据指引，帮用户自我探索。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核心创新：多源数据融合（14 维画像 + 行为叙事）+ AI 引导式对话，了解用户实际情况，进行动态校准与建议。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160"/>
      </w:pPr>
      <w:r>
        <w:rPr>
          <w:color w:val="4A90D9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2C3E50"/>
          <w:sz w:val="28"/>
        </w:rPr>
        <w:t>二、技术实现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2.1 数据选用与采集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4 款游戏覆盖"动机—价值观—认知—意义"四层构念，基于 McClelland 三动机理论、Schein 八锚模型、Riding CSA 认知风格、Steger MLQ 意义量表设计，采集行为过程量（决策时间、卡片操作序列、反应时差等），输出汇聚为 14 维标准化画像，保留过程量供 AI 结合多源数据生成更准确建议。选用这四类游戏，覆盖职业选择中"想做什么（动机）— 适合什么（价值观）— 怎么思考（认知）— 为何坚持（意义）"四个决策维度，避免单维度误判。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2.2 匹配算法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双轨混合：轨道一用高斯核（σ=0.20）消除阶跃函数决策死区，两阶段加权；轨道二用 TOPSIS 多准则决策。双轨交叉验证后对比度拉伸（K=1.4），两级匹配（6 方向→54 职业）。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2.3 智能体对话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Agent v2 基于 Function Calling 实现结构化编排，融合 14 维画像、行为叙事、方向排名等多源数据引导用户深度自省，输出更准确的职业方向建议。4 阶段：结果共鸣（2-3 轮）→ 深度挖掘（3-4 轮）→ 现实校准（2-3 轮）→ 行动地图（2-3 轮）。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4495E"/>
          <w:sz w:val="24"/>
        </w:rPr>
        <w:t>2.4 技术架构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基于 HTML/CSS/JS（ES Modules）+ 腾讯云 CloudBase 静态托管 + SCF 云函数 + DeepSeek/混元 API 构建。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160"/>
      </w:pPr>
      <w:r>
        <w:rPr>
          <w:color w:val="4A90D9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2C3E50"/>
          <w:sz w:val="28"/>
        </w:rPr>
        <w:t>三、关键迭代过程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  <w:b/>
        </w:rPr>
        <w:t>迭代一：匹配算法</w:t>
      </w:r>
    </w:p>
    <w:p>
      <w:pPr>
        <w:pStyle w:val="ListBullet"/>
      </w:pPr>
      <w:r>
        <w:rPr>
          <w:rFonts w:ascii="Microsoft YaHei" w:hAnsi="Microsoft YaHei" w:eastAsia="Microsoft YaHei"/>
        </w:rPr>
        <w:t>迭代前：阶跃函数硬截断，存在决策死区；单一算法路径，无交叉验证</w:t>
      </w:r>
    </w:p>
    <w:p>
      <w:pPr>
        <w:pStyle w:val="ListBullet"/>
      </w:pPr>
      <w:r>
        <w:rPr>
          <w:rFonts w:ascii="Microsoft YaHei" w:hAnsi="Microsoft YaHei" w:eastAsia="Microsoft YaHei"/>
        </w:rPr>
        <w:t>迭代后：高斯核（σ=0.20）连续可导消除死区；TOPSIS 双轨混合交叉验证；两级匹配（6 方向 → 54 职业）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  <w:b/>
        </w:rPr>
        <w:t>迭代二：Agent 架构</w:t>
      </w:r>
    </w:p>
    <w:p>
      <w:pPr>
        <w:pStyle w:val="ListBullet"/>
      </w:pPr>
      <w:r>
        <w:rPr>
          <w:rFonts w:ascii="Microsoft YaHei" w:hAnsi="Microsoft YaHei" w:eastAsia="Microsoft YaHei"/>
        </w:rPr>
        <w:t>迭代前：v1 五阶段独立对话，状态分散，工具全集常驻，易出现跳阶和幻觉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迭代后：v2 四阶段工具编排，统一状态机，动态工具枚举（每阶段仅暴露允许工具），加入 </w:t>
      </w:r>
      <w:r>
        <w:rPr>
          <w:rFonts w:ascii="Courier New" w:hAnsi="Courier New"/>
          <w:sz w:val="20"/>
        </w:rPr>
        <w:t>ensureEndsWithQuestion</w:t>
      </w:r>
      <w:r>
        <w:rPr>
          <w:rFonts w:ascii="Microsoft YaHei" w:hAnsi="Microsoft YaHei" w:eastAsia="Microsoft YaHei"/>
        </w:rPr>
        <w:t xml:space="preserve"> 后处理器强制提问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360" w:after="160"/>
      </w:pPr>
      <w:r>
        <w:rPr>
          <w:color w:val="4A90D9"/>
          <w:sz w:val="28"/>
        </w:rPr>
        <w:t xml:space="preserve">▎ </w:t>
      </w:r>
      <w:r>
        <w:rPr>
          <w:rFonts w:ascii="Microsoft YaHei" w:hAnsi="Microsoft YaHei" w:eastAsia="Microsoft YaHei"/>
          <w:b/>
          <w:color w:val="2C3E50"/>
          <w:sz w:val="28"/>
        </w:rPr>
        <w:t>四、效果评估</w:t>
      </w:r>
    </w:p>
    <w:p>
      <w:pPr>
        <w:spacing w:line="384" w:lineRule="auto"/>
        <w:ind w:firstLine="0"/>
      </w:pPr>
      <w:r>
        <w:rPr>
          <w:rFonts w:ascii="Microsoft YaHei" w:hAnsi="Microsoft YaHei" w:eastAsia="Microsoft YaHei"/>
        </w:rPr>
        <w:t>系统已完成端到端流程验证，匹配逻辑与 Agent 对话流程符合设计预期。当前 demo 仅供参考，匹配准确度需更多真实用户数据持续校准优化。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