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>Mittweida, &lt;tag&gt;.10.2017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DD7FCE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DD7FCE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DD7FCE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</w:t>
            </w:r>
            <w:bookmarkStart w:id="0" w:name="_GoBack"/>
            <w:bookmarkEnd w:id="0"/>
            <w:r w:rsidRPr="00CB6B20">
              <w:rPr>
                <w:rFonts w:cs="Arial"/>
                <w:szCs w:val="24"/>
                <w:lang w:val="en-US"/>
              </w:rPr>
              <w:t>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964262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, &lt;tag&gt;.</w:t>
            </w:r>
            <w:r w:rsidR="00964262">
              <w:rPr>
                <w:rFonts w:cs="Arial"/>
                <w:b/>
                <w:szCs w:val="24"/>
                <w:lang w:val="de-AT"/>
              </w:rPr>
              <w:t>10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03CF5">
            <w:r>
              <w:t>Diese Arbeit behandelt den empirischen Vergleich von Verteilungsmethoden für paarweise, ungeordnete Berechnungen. Durch die Verteilung der Berechnungen, soll eine möglichst gute Auslastung des unterliegenden Berechnungssystems erreicht werden.</w:t>
            </w:r>
          </w:p>
          <w:p w:rsidR="005970CE" w:rsidRPr="00703CF5" w:rsidRDefault="00703CF5" w:rsidP="005970CE">
            <w:r>
              <w:t>Zuerst werden paarweise, ungeordnete Berechnungen im Detail beschrieben um dem Leser das notwendige Fundament zu liefern, auf dem die Arbeit aufbaut.</w:t>
            </w:r>
          </w:p>
        </w:tc>
      </w:tr>
    </w:tbl>
    <w:p w:rsidR="004906B0" w:rsidRPr="00456599" w:rsidRDefault="004906B0" w:rsidP="004A3F2F">
      <w:pPr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73" w:rsidRDefault="003D4073" w:rsidP="00201FB4">
      <w:r>
        <w:separator/>
      </w:r>
    </w:p>
  </w:endnote>
  <w:endnote w:type="continuationSeparator" w:id="0">
    <w:p w:rsidR="003D4073" w:rsidRDefault="003D4073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73" w:rsidRDefault="003D4073" w:rsidP="00201FB4">
      <w:r>
        <w:separator/>
      </w:r>
    </w:p>
  </w:footnote>
  <w:footnote w:type="continuationSeparator" w:id="0">
    <w:p w:rsidR="003D4073" w:rsidRDefault="003D4073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476A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41200"/>
    <w:rsid w:val="00947D34"/>
    <w:rsid w:val="009542A2"/>
    <w:rsid w:val="00964262"/>
    <w:rsid w:val="00993152"/>
    <w:rsid w:val="009C49E6"/>
    <w:rsid w:val="009D6DCD"/>
    <w:rsid w:val="00A01FAD"/>
    <w:rsid w:val="00A11BCD"/>
    <w:rsid w:val="00A34EA0"/>
    <w:rsid w:val="00A769B7"/>
    <w:rsid w:val="00A8745E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F2A61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8D230-57D6-4955-A963-EFB51D24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L. Winkler</dc:creator>
  <cp:keywords/>
  <dc:description/>
  <cp:lastModifiedBy>David Hofer</cp:lastModifiedBy>
  <cp:revision>6</cp:revision>
  <cp:lastPrinted>2010-09-17T11:07:00Z</cp:lastPrinted>
  <dcterms:created xsi:type="dcterms:W3CDTF">2011-01-27T14:43:00Z</dcterms:created>
  <dcterms:modified xsi:type="dcterms:W3CDTF">2017-10-28T07:49:00Z</dcterms:modified>
</cp:coreProperties>
</file>